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14fc35d486fdd1fb1fb4bd6bfe1cc13a5dd01e5"/>
    <w:p>
      <w:pPr>
        <w:pStyle w:val="Heading1"/>
      </w:pPr>
      <w:r>
        <w:t xml:space="preserve">Guía de Oportunidades para Toda la Vida 07 — Especialista en Servicio al Cliente</w:t>
      </w:r>
    </w:p>
    <w:p>
      <w:pPr>
        <w:pStyle w:val="FirstParagraph"/>
      </w:pPr>
      <w:r>
        <w:rPr>
          <w:bCs/>
          <w:b/>
        </w:rPr>
        <w:t xml:space="preserve">Candidata de publicación controlada 2026 en español latinoamericano (es-419)</w:t>
      </w:r>
      <w:r>
        <w:t xml:space="preserve"> </w:t>
      </w:r>
      <w:r>
        <w:t xml:space="preserve">Versión 2.0 • agosto de 2026</w:t>
      </w:r>
      <w:r>
        <w:t xml:space="preserve"> </w:t>
      </w:r>
      <w:r>
        <w:t xml:space="preserve">Creado y dirigido por Alberto (Al) Leiva</w:t>
      </w:r>
      <w:r>
        <w:br/>
      </w:r>
      <w:r>
        <w:t xml:space="preserve">Investigación, organización, edición y preparación de documentos con apoyo de ChatGPT, OpenAI</w:t>
      </w:r>
    </w:p>
    <w:p>
      <w:pPr>
        <w:pStyle w:val="BlockText"/>
      </w:pPr>
      <w:r>
        <w:rPr>
          <w:bCs/>
          <w:b/>
        </w:rPr>
        <w:t xml:space="preserve">Estado controlado:</w:t>
      </w:r>
      <w:r>
        <w:t xml:space="preserve"> </w:t>
      </w:r>
      <w:r>
        <w:t xml:space="preserve">Esta es la versión revisada en español latinoamericano de la fuente inglesa congelada para la candidata de publicación controlada de 2026. Ha aprobado los controles del proyecto de paridad, terminología, enlaces, codificación, DOCX, PDF, metadatos, renderizado y publicación documentados en el repositorio. Esto no constituye certificación humana independiente, certificación profesional de traducción, certificación de accesibilidad, acreditación, revisión legal ni garantía de resultados.</w:t>
      </w:r>
    </w:p>
    <w:bookmarkStart w:id="20" w:name="la-promesa-de-esta-guía"/>
    <w:p>
      <w:pPr>
        <w:pStyle w:val="Heading2"/>
      </w:pPr>
      <w:r>
        <w:t xml:space="preserve">La promesa de esta guía</w:t>
      </w:r>
    </w:p>
    <w:p>
      <w:pPr>
        <w:pStyle w:val="FirstParagraph"/>
      </w:pPr>
      <w:r>
        <w:t xml:space="preserve">Esta guía no promete que el trabajo de servicio al cliente sea adecuado para todas las personas, que la capacitación sea gratuita, que un certificado privado conduzca a un empleo, que exista trabajo remoto ni que un salario determinado esté disponible en una ubicación específica. Está diseñada para ayudar a comprender el trabajo, comparar formas asequibles de desarrollar habilidades, proteger la información de clientes y empleadores, usar la tecnología y la IA de manera responsable y verificar los requisitos locales antes de gastar dinero o asumir una obligación.</w:t>
      </w:r>
    </w:p>
    <w:bookmarkEnd w:id="20"/>
    <w:bookmarkStart w:id="21" w:name="por-qué-existe-esta-guía"/>
    <w:p>
      <w:pPr>
        <w:pStyle w:val="Heading2"/>
      </w:pPr>
      <w:r>
        <w:t xml:space="preserve">Por qué existe esta guía</w:t>
      </w:r>
    </w:p>
    <w:p>
      <w:pPr>
        <w:pStyle w:val="FirstParagraph"/>
      </w:pPr>
      <w:r>
        <w:t xml:space="preserve">Las Guías de Oportunidades para Toda la Vida buscan hacer más accesible la exploración profesional y educativa para personas que pueden enfrentar barreras relacionadas con la edad, la discapacidad, los ingresos, la geografía, el idioma o una trayectoria laboral no tradicional. El servicio al cliente puede ser una puerta de entrada a muchas industrias y puede conducir a operaciones, soporte de ventas, gestión de cuentas, calidad, capacitación, gestión de personal, soporte técnico o supervisión. También puede implicar trabajo emocional, metas de desempeño, obligaciones de privacidad, interacciones difíciles, software que cambia rápidamente y horarios que pueden incluir noches, fines de semana o días festivos. Conviene entender estas realidades antes de pagar una capacitación o aceptar un puesto.</w:t>
      </w:r>
    </w:p>
    <w:bookmarkEnd w:id="21"/>
    <w:bookmarkStart w:id="22" w:name="reconocimiento-del-apoyo-de-ia"/>
    <w:p>
      <w:pPr>
        <w:pStyle w:val="Heading2"/>
      </w:pPr>
      <w:r>
        <w:t xml:space="preserve">Reconocimiento del apoyo de IA</w:t>
      </w:r>
    </w:p>
    <w:p>
      <w:pPr>
        <w:pStyle w:val="FirstParagraph"/>
      </w:pPr>
      <w:r>
        <w:t xml:space="preserve">Alberto (Al) Leiva concibió y dirige este proyecto y conserva la responsabilidad sobre la guía. ChatGPT de OpenAI se utilizó como herramienta de apoyo para investigación, organización, edición y preparación de documentos. El apoyo de IA no constituye certificación humana independiente, certificación profesional de traducción, acreditación, revisión legal, asesoría financiera, certificación de accesibilidad ni reemplaza las fuentes oficiales actuales y el juicio humano calificado.</w:t>
      </w:r>
    </w:p>
    <w:bookmarkEnd w:id="22"/>
    <w:bookmarkStart w:id="23" w:name="límites-éticos-y-prácticos"/>
    <w:p>
      <w:pPr>
        <w:pStyle w:val="Heading2"/>
      </w:pPr>
      <w:r>
        <w:t xml:space="preserve">Límites éticos y prácticos</w:t>
      </w:r>
    </w:p>
    <w:p>
      <w:pPr>
        <w:pStyle w:val="FirstParagraph"/>
      </w:pPr>
      <w:r>
        <w:t xml:space="preserve">Esta guía ofrece información general sobre educación y navegación profesional. No constituye asesoría individualizada legal, financiera, tributaria, migratoria, médica, de salud mental, protección al consumidor, licenciamiento o empleo. Los requisitos de servicio al cliente varían según país, jurisdicción, empleador, industria, producto, contrato, canal, ley de privacidad, normas de grabación, entorno de pagos, obligaciones de accesibilidad y plataforma tecnológica. Verifique los hechos de alto impacto con la autoridad vigente o con un profesional calificado antes de asumir un compromiso financiero, educativo, laboral, legal o regulatorio.</w:t>
      </w:r>
    </w:p>
    <w:p>
      <w:r>
        <w:pict>
          <v:rect style="width:0;height:1.5pt" o:hralign="center" o:hrstd="t" o:hr="t"/>
        </w:pict>
      </w:r>
    </w:p>
    <w:bookmarkEnd w:id="23"/>
    <w:bookmarkStart w:id="24" w:name="X5e5a83c2e3d7df8a2b4b8ebf34ad781a08e1d75"/>
    <w:p>
      <w:pPr>
        <w:pStyle w:val="Heading2"/>
      </w:pPr>
      <w:r>
        <w:t xml:space="preserve">1. Cómo usar esta guía</w:t>
      </w:r>
    </w:p>
    <w:p>
      <w:pPr>
        <w:pStyle w:val="FirstParagraph"/>
      </w:pPr>
      <w:r>
        <w:t xml:space="preserve">Comience por el trabajo real, no por una escuela ni por quien vende una credencial.</w:t>
      </w:r>
    </w:p>
    <w:p>
      <w:pPr>
        <w:numPr>
          <w:ilvl w:val="0"/>
          <w:numId w:val="1001"/>
        </w:numPr>
        <w:pStyle w:val="Compact"/>
      </w:pPr>
      <w:r>
        <w:t xml:space="preserve">Identifique el título exacto que usan los empleadores en su ubicación.</w:t>
      </w:r>
    </w:p>
    <w:p>
      <w:pPr>
        <w:numPr>
          <w:ilvl w:val="0"/>
          <w:numId w:val="1001"/>
        </w:numPr>
        <w:pStyle w:val="Compact"/>
      </w:pPr>
      <w:r>
        <w:t xml:space="preserve">Lea las funciones, los canales requeridos, el horario, las métricas de desempeño y la autoridad de escalamiento en lugar de confiar solo en el título.</w:t>
      </w:r>
    </w:p>
    <w:p>
      <w:pPr>
        <w:numPr>
          <w:ilvl w:val="0"/>
          <w:numId w:val="1001"/>
        </w:numPr>
        <w:pStyle w:val="Compact"/>
      </w:pPr>
      <w:r>
        <w:t xml:space="preserve">Separe los requisitos legales o regulados de las preferencias normales del empleador y de las credenciales privadas opcionales.</w:t>
      </w:r>
    </w:p>
    <w:p>
      <w:pPr>
        <w:numPr>
          <w:ilvl w:val="0"/>
          <w:numId w:val="1001"/>
        </w:numPr>
        <w:pStyle w:val="Compact"/>
      </w:pPr>
      <w:r>
        <w:t xml:space="preserve">Revise vacantes locales actuales y fuentes ocupacionales oficiales antes de depender de resúmenes nacionales.</w:t>
      </w:r>
    </w:p>
    <w:p>
      <w:pPr>
        <w:numPr>
          <w:ilvl w:val="0"/>
          <w:numId w:val="1001"/>
        </w:numPr>
        <w:pStyle w:val="Compact"/>
      </w:pPr>
      <w:r>
        <w:t xml:space="preserve">Compare el costo total de una ruta de capacitación, incluidos matrícula, exámenes, software, equipos, internet, transporte, cuidado de dependientes, ingresos dejados de percibir, renovaciones y práctica no remunerada.</w:t>
      </w:r>
    </w:p>
    <w:p>
      <w:pPr>
        <w:numPr>
          <w:ilvl w:val="0"/>
          <w:numId w:val="1001"/>
        </w:numPr>
        <w:pStyle w:val="Compact"/>
      </w:pPr>
      <w:r>
        <w:t xml:space="preserve">Pregunte qué ocurre si una capacitación financiada por el empleador debe reembolsarse después de una renuncia o salida anticipada.</w:t>
      </w:r>
    </w:p>
    <w:p>
      <w:pPr>
        <w:numPr>
          <w:ilvl w:val="0"/>
          <w:numId w:val="1001"/>
        </w:numPr>
        <w:pStyle w:val="Compact"/>
      </w:pPr>
      <w:r>
        <w:t xml:space="preserve">Deténgase si un proveedor lo presiona para pagar de inmediato, promete empleo, oculta condiciones de reembolso o presenta un certificado privado opcional como si fuera una licencia legal cuando no lo es.</w:t>
      </w:r>
    </w:p>
    <w:p>
      <w:pPr>
        <w:pStyle w:val="FirstParagraph"/>
      </w:pPr>
      <w:r>
        <w:t xml:space="preserve">Una secuencia práctica es: investigar el trabajo, probar habilidades básicas de forma gratuita, identificar requisitos reales del empleador, usar primero opciones públicas o financiadas por el empleador y pagar únicamente cuando un siguiente paso específico lo justifique.</w:t>
      </w:r>
    </w:p>
    <w:bookmarkEnd w:id="24"/>
    <w:bookmarkStart w:id="25" w:name="Xded4b9e64871cbc7132962013d5edae5933fbb6"/>
    <w:p>
      <w:pPr>
        <w:pStyle w:val="Heading2"/>
      </w:pPr>
      <w:r>
        <w:t xml:space="preserve">2. En qué consiste el trabajo</w:t>
      </w:r>
    </w:p>
    <w:p>
      <w:pPr>
        <w:pStyle w:val="FirstParagraph"/>
      </w:pPr>
      <w:r>
        <w:t xml:space="preserve">Los especialistas y representantes de servicio al cliente ayudan a las personas a obtener información, resolver problemas rutinarios, completar transacciones autorizadas, comprender políticas, corregir problemas de cuenta o llegar al especialista adecuado. El trabajo puede realizarse por teléfono, correo electrónico, chat web, mensajería, redes sociales, video, sistemas de tickets, mesas de servicio, centros de contacto, tiendas, oficinas, entornos de salud, servicios financieros, entidades públicas, empresas de servicios públicos, viajes, tecnología, logística o equipos remotos de atención.</w:t>
      </w:r>
    </w:p>
    <w:p>
      <w:pPr>
        <w:pStyle w:val="BodyText"/>
      </w:pPr>
      <w:r>
        <w:t xml:space="preserve">Títulos comunes incluyen:</w:t>
      </w:r>
    </w:p>
    <w:p>
      <w:pPr>
        <w:numPr>
          <w:ilvl w:val="0"/>
          <w:numId w:val="1002"/>
        </w:numPr>
        <w:pStyle w:val="Compact"/>
      </w:pPr>
      <w:r>
        <w:t xml:space="preserve">Representante de Servicio al Cliente;</w:t>
      </w:r>
    </w:p>
    <w:p>
      <w:pPr>
        <w:numPr>
          <w:ilvl w:val="0"/>
          <w:numId w:val="1002"/>
        </w:numPr>
        <w:pStyle w:val="Compact"/>
      </w:pPr>
      <w:r>
        <w:t xml:space="preserve">Especialista en Servicio al Cliente;</w:t>
      </w:r>
    </w:p>
    <w:p>
      <w:pPr>
        <w:numPr>
          <w:ilvl w:val="0"/>
          <w:numId w:val="1002"/>
        </w:numPr>
        <w:pStyle w:val="Compact"/>
      </w:pPr>
      <w:r>
        <w:t xml:space="preserve">Representante de Atención al Cliente;</w:t>
      </w:r>
    </w:p>
    <w:p>
      <w:pPr>
        <w:numPr>
          <w:ilvl w:val="0"/>
          <w:numId w:val="1002"/>
        </w:numPr>
        <w:pStyle w:val="Compact"/>
      </w:pPr>
      <w:r>
        <w:t xml:space="preserve">Agente de Centro de Contacto;</w:t>
      </w:r>
    </w:p>
    <w:p>
      <w:pPr>
        <w:numPr>
          <w:ilvl w:val="0"/>
          <w:numId w:val="1002"/>
        </w:numPr>
        <w:pStyle w:val="Compact"/>
      </w:pPr>
      <w:r>
        <w:t xml:space="preserve">Representante de Servicios al Miembro;</w:t>
      </w:r>
    </w:p>
    <w:p>
      <w:pPr>
        <w:numPr>
          <w:ilvl w:val="0"/>
          <w:numId w:val="1002"/>
        </w:numPr>
        <w:pStyle w:val="Compact"/>
      </w:pPr>
      <w:r>
        <w:t xml:space="preserve">Representante de Servicios al Cliente;</w:t>
      </w:r>
    </w:p>
    <w:p>
      <w:pPr>
        <w:numPr>
          <w:ilvl w:val="0"/>
          <w:numId w:val="1002"/>
        </w:numPr>
        <w:pStyle w:val="Compact"/>
      </w:pPr>
      <w:r>
        <w:t xml:space="preserve">Representante de Soporte;</w:t>
      </w:r>
    </w:p>
    <w:p>
      <w:pPr>
        <w:numPr>
          <w:ilvl w:val="0"/>
          <w:numId w:val="1002"/>
        </w:numPr>
        <w:pStyle w:val="Compact"/>
      </w:pPr>
      <w:r>
        <w:t xml:space="preserve">Asociado de Experiencia del Cliente; y</w:t>
      </w:r>
    </w:p>
    <w:p>
      <w:pPr>
        <w:numPr>
          <w:ilvl w:val="0"/>
          <w:numId w:val="1002"/>
        </w:numPr>
        <w:pStyle w:val="Compact"/>
      </w:pPr>
      <w:r>
        <w:t xml:space="preserve">Agente de Servicio.</w:t>
      </w:r>
    </w:p>
    <w:p>
      <w:pPr>
        <w:pStyle w:val="FirstParagraph"/>
      </w:pPr>
      <w:r>
        <w:t xml:space="preserve">Los títulos no son intercambiables. Un puesto puede incluir ventas, cobranza, solución de problemas técnicos, seguros, salud, banca, viajes, servicios públicos o funciones reguladas que requieran capacitación o autorización adicional. Compare siempre las responsabilidades reales.</w:t>
      </w:r>
    </w:p>
    <w:bookmarkEnd w:id="25"/>
    <w:bookmarkStart w:id="27" w:name="Xb3625c04c5c27857905b80f967214e77b4f1001"/>
    <w:p>
      <w:pPr>
        <w:pStyle w:val="Heading2"/>
      </w:pPr>
      <w:r>
        <w:t xml:space="preserve">3. Funciones, herramientas y flujo de trabajo realistas</w:t>
      </w:r>
    </w:p>
    <w:p>
      <w:pPr>
        <w:pStyle w:val="FirstParagraph"/>
      </w:pPr>
      <w:r>
        <w:t xml:space="preserve">Las tareas típicas pueden incluir:</w:t>
      </w:r>
    </w:p>
    <w:p>
      <w:pPr>
        <w:numPr>
          <w:ilvl w:val="0"/>
          <w:numId w:val="1003"/>
        </w:numPr>
        <w:pStyle w:val="Compact"/>
      </w:pPr>
      <w:r>
        <w:t xml:space="preserve">verificar la identidad del cliente mediante procedimientos aprobados;</w:t>
      </w:r>
    </w:p>
    <w:p>
      <w:pPr>
        <w:numPr>
          <w:ilvl w:val="0"/>
          <w:numId w:val="1003"/>
        </w:numPr>
        <w:pStyle w:val="Compact"/>
      </w:pPr>
      <w:r>
        <w:t xml:space="preserve">recibir y documentar preguntas, quejas, solicitudes, pedidos, devoluciones o problemas de servicio;</w:t>
      </w:r>
    </w:p>
    <w:p>
      <w:pPr>
        <w:numPr>
          <w:ilvl w:val="0"/>
          <w:numId w:val="1003"/>
        </w:numPr>
        <w:pStyle w:val="Compact"/>
      </w:pPr>
      <w:r>
        <w:t xml:space="preserve">explicar políticas, productos, servicios, estado de cuenta o pasos siguientes aprobados;</w:t>
      </w:r>
    </w:p>
    <w:p>
      <w:pPr>
        <w:numPr>
          <w:ilvl w:val="0"/>
          <w:numId w:val="1003"/>
        </w:numPr>
        <w:pStyle w:val="Compact"/>
      </w:pPr>
      <w:r>
        <w:t xml:space="preserve">consultar una base de conocimiento y usar guiones o árboles de decisión aprobados;</w:t>
      </w:r>
    </w:p>
    <w:p>
      <w:pPr>
        <w:numPr>
          <w:ilvl w:val="0"/>
          <w:numId w:val="1003"/>
        </w:numPr>
        <w:pStyle w:val="Compact"/>
      </w:pPr>
      <w:r>
        <w:t xml:space="preserve">actualizar registros de clientes solo dentro de la autoridad asignada;</w:t>
      </w:r>
    </w:p>
    <w:p>
      <w:pPr>
        <w:numPr>
          <w:ilvl w:val="0"/>
          <w:numId w:val="1003"/>
        </w:numPr>
        <w:pStyle w:val="Compact"/>
      </w:pPr>
      <w:r>
        <w:t xml:space="preserve">crear, enrutar, priorizar y cerrar tickets;</w:t>
      </w:r>
    </w:p>
    <w:p>
      <w:pPr>
        <w:numPr>
          <w:ilvl w:val="0"/>
          <w:numId w:val="1003"/>
        </w:numPr>
        <w:pStyle w:val="Compact"/>
      </w:pPr>
      <w:r>
        <w:t xml:space="preserve">procesar transacciones autorizadas o transferir la actividad de pago a sistemas aprobados;</w:t>
      </w:r>
    </w:p>
    <w:p>
      <w:pPr>
        <w:numPr>
          <w:ilvl w:val="0"/>
          <w:numId w:val="1003"/>
        </w:numPr>
        <w:pStyle w:val="Compact"/>
      </w:pPr>
      <w:r>
        <w:t xml:space="preserve">desescalar conversaciones difíciles sin hacer promesas no autorizadas;</w:t>
      </w:r>
    </w:p>
    <w:p>
      <w:pPr>
        <w:numPr>
          <w:ilvl w:val="0"/>
          <w:numId w:val="1003"/>
        </w:numPr>
        <w:pStyle w:val="Compact"/>
      </w:pPr>
      <w:r>
        <w:t xml:space="preserve">identificar posibles fraudes, ingeniería social, toma de cuentas, abuso, riesgos de seguridad o asuntos regulados y escalarlos;</w:t>
      </w:r>
    </w:p>
    <w:p>
      <w:pPr>
        <w:numPr>
          <w:ilvl w:val="0"/>
          <w:numId w:val="1003"/>
        </w:numPr>
        <w:pStyle w:val="Compact"/>
      </w:pPr>
      <w:r>
        <w:t xml:space="preserve">documentar con precisión hechos, acciones, compromisos y asuntos pendientes; y</w:t>
      </w:r>
    </w:p>
    <w:p>
      <w:pPr>
        <w:numPr>
          <w:ilvl w:val="0"/>
          <w:numId w:val="1003"/>
        </w:numPr>
        <w:pStyle w:val="Compact"/>
      </w:pPr>
      <w:r>
        <w:t xml:space="preserve">cumplir requisitos de calidad, privacidad, accesibilidad, seguridad y retención de registros.</w:t>
      </w:r>
    </w:p>
    <w:p>
      <w:pPr>
        <w:pStyle w:val="FirstParagraph"/>
      </w:pPr>
      <w:r>
        <w:t xml:space="preserve">Las herramientas comunes pueden incluir plataformas de gestión de relaciones con clientes (CRM), sistemas de tickets, software de centros de contacto, correo electrónico, chat, bases de conocimiento, telefonía, herramientas de gestión de personal, interfaces seguras de pago, sistemas de verificación de identidad, suites de colaboración, hojas de cálculo y asistencia habilitada por IA aprobada.</w:t>
      </w:r>
    </w:p>
    <w:bookmarkStart w:id="26" w:name="un-ciclo-de-interacción-realista"/>
    <w:p>
      <w:pPr>
        <w:pStyle w:val="Heading3"/>
      </w:pPr>
      <w:r>
        <w:t xml:space="preserve">Un ciclo de interacción realista</w:t>
      </w:r>
    </w:p>
    <w:p>
      <w:pPr>
        <w:numPr>
          <w:ilvl w:val="0"/>
          <w:numId w:val="1004"/>
        </w:numPr>
        <w:pStyle w:val="Compact"/>
      </w:pPr>
      <w:r>
        <w:t xml:space="preserve">Reciba el contacto por un canal aprobado.</w:t>
      </w:r>
    </w:p>
    <w:p>
      <w:pPr>
        <w:numPr>
          <w:ilvl w:val="0"/>
          <w:numId w:val="1004"/>
        </w:numPr>
        <w:pStyle w:val="Compact"/>
      </w:pPr>
      <w:r>
        <w:t xml:space="preserve">Determine si se requiere verificación de identidad o consentimiento.</w:t>
      </w:r>
    </w:p>
    <w:p>
      <w:pPr>
        <w:numPr>
          <w:ilvl w:val="0"/>
          <w:numId w:val="1004"/>
        </w:numPr>
        <w:pStyle w:val="Compact"/>
      </w:pPr>
      <w:r>
        <w:t xml:space="preserve">Escuche o lea con atención y reformule el problema sin asumir hechos.</w:t>
      </w:r>
    </w:p>
    <w:p>
      <w:pPr>
        <w:numPr>
          <w:ilvl w:val="0"/>
          <w:numId w:val="1004"/>
        </w:numPr>
        <w:pStyle w:val="Compact"/>
      </w:pPr>
      <w:r>
        <w:t xml:space="preserve">Consulte la base de conocimiento, registro de cuenta, política o flujo de trabajo aprobado.</w:t>
      </w:r>
    </w:p>
    <w:p>
      <w:pPr>
        <w:numPr>
          <w:ilvl w:val="0"/>
          <w:numId w:val="1004"/>
        </w:numPr>
        <w:pStyle w:val="Compact"/>
      </w:pPr>
      <w:r>
        <w:t xml:space="preserve">Complete únicamente las acciones dentro de su autoridad.</w:t>
      </w:r>
    </w:p>
    <w:p>
      <w:pPr>
        <w:numPr>
          <w:ilvl w:val="0"/>
          <w:numId w:val="1004"/>
        </w:numPr>
        <w:pStyle w:val="Compact"/>
      </w:pPr>
      <w:r>
        <w:t xml:space="preserve">Explique el resultado, las limitaciones y el siguiente paso con lenguaje claro.</w:t>
      </w:r>
    </w:p>
    <w:p>
      <w:pPr>
        <w:numPr>
          <w:ilvl w:val="0"/>
          <w:numId w:val="1004"/>
        </w:numPr>
        <w:pStyle w:val="Compact"/>
      </w:pPr>
      <w:r>
        <w:t xml:space="preserve">Escale cuando se alcancen límites de riesgo, autoridad, seguridad, privacidad, pagos, asuntos legales, médicos o técnicos.</w:t>
      </w:r>
    </w:p>
    <w:p>
      <w:pPr>
        <w:numPr>
          <w:ilvl w:val="0"/>
          <w:numId w:val="1004"/>
        </w:numPr>
        <w:pStyle w:val="Compact"/>
      </w:pPr>
      <w:r>
        <w:t xml:space="preserve">Documente la interacción con precisión.</w:t>
      </w:r>
    </w:p>
    <w:p>
      <w:pPr>
        <w:numPr>
          <w:ilvl w:val="0"/>
          <w:numId w:val="1004"/>
        </w:numPr>
        <w:pStyle w:val="Compact"/>
      </w:pPr>
      <w:r>
        <w:t xml:space="preserve">Cierre el caso solo cuando se complete la disposición y el seguimiento requeridos.</w:t>
      </w:r>
    </w:p>
    <w:p>
      <w:pPr>
        <w:pStyle w:val="FirstParagraph"/>
      </w:pPr>
      <w:r>
        <w:t xml:space="preserve">La velocidad importa en muchos entornos de servicio, pero nunca debe prevalecer sobre la verificación de identidad, la privacidad, la accesibilidad, la precisión, el trato legal, los controles de pago o la seguridad.</w:t>
      </w:r>
    </w:p>
    <w:bookmarkEnd w:id="26"/>
    <w:bookmarkEnd w:id="27"/>
    <w:bookmarkStart w:id="28" w:name="X8972db704f8f41c254f48ff7fde7bc029a43b3e"/>
    <w:p>
      <w:pPr>
        <w:pStyle w:val="Heading2"/>
      </w:pPr>
      <w:r>
        <w:t xml:space="preserve">4. Ajuste profesional, condiciones de trabajo y bienestar</w:t>
      </w:r>
    </w:p>
    <w:p>
      <w:pPr>
        <w:pStyle w:val="FirstParagraph"/>
      </w:pPr>
      <w:r>
        <w:t xml:space="preserve">Pregúntese:</w:t>
      </w:r>
    </w:p>
    <w:p>
      <w:pPr>
        <w:numPr>
          <w:ilvl w:val="0"/>
          <w:numId w:val="1005"/>
        </w:numPr>
        <w:pStyle w:val="Compact"/>
      </w:pPr>
      <w:r>
        <w:t xml:space="preserve">¿Puedo mantener el respeto cuando otra persona está frustrada, confundida o molesta?</w:t>
      </w:r>
    </w:p>
    <w:p>
      <w:pPr>
        <w:numPr>
          <w:ilvl w:val="0"/>
          <w:numId w:val="1005"/>
        </w:numPr>
        <w:pStyle w:val="Compact"/>
      </w:pPr>
      <w:r>
        <w:t xml:space="preserve">¿Puedo seguir guiones y controles obligatorios sin sonar mecánico?</w:t>
      </w:r>
    </w:p>
    <w:p>
      <w:pPr>
        <w:numPr>
          <w:ilvl w:val="0"/>
          <w:numId w:val="1005"/>
        </w:numPr>
        <w:pStyle w:val="Compact"/>
      </w:pPr>
      <w:r>
        <w:t xml:space="preserve">¿Puedo documentar detalles mientras escucho con atención?</w:t>
      </w:r>
    </w:p>
    <w:p>
      <w:pPr>
        <w:numPr>
          <w:ilvl w:val="0"/>
          <w:numId w:val="1005"/>
        </w:numPr>
        <w:pStyle w:val="Compact"/>
      </w:pPr>
      <w:r>
        <w:t xml:space="preserve">¿Puedo tolerar contactos repetitivos y medición del desempeño?</w:t>
      </w:r>
    </w:p>
    <w:p>
      <w:pPr>
        <w:numPr>
          <w:ilvl w:val="0"/>
          <w:numId w:val="1005"/>
        </w:numPr>
        <w:pStyle w:val="Compact"/>
      </w:pPr>
      <w:r>
        <w:t xml:space="preserve">¿Puedo pedir ayuda en lugar de adivinar cuando mi autoridad no está clara?</w:t>
      </w:r>
    </w:p>
    <w:p>
      <w:pPr>
        <w:numPr>
          <w:ilvl w:val="0"/>
          <w:numId w:val="1005"/>
        </w:numPr>
        <w:pStyle w:val="Compact"/>
      </w:pPr>
      <w:r>
        <w:t xml:space="preserve">¿Puedo proteger información confidencial aunque quien llama parezca urgente o persuasivo?</w:t>
      </w:r>
    </w:p>
    <w:p>
      <w:pPr>
        <w:numPr>
          <w:ilvl w:val="0"/>
          <w:numId w:val="1005"/>
        </w:numPr>
        <w:pStyle w:val="Compact"/>
      </w:pPr>
      <w:r>
        <w:t xml:space="preserve">¿Son sostenibles para mí el horario, el uso de auriculares, el tiempo frente a pantalla, estar sentado o de pie y el volumen de contactos?</w:t>
      </w:r>
    </w:p>
    <w:p>
      <w:pPr>
        <w:numPr>
          <w:ilvl w:val="0"/>
          <w:numId w:val="1005"/>
        </w:numPr>
        <w:pStyle w:val="Compact"/>
      </w:pPr>
      <w:r>
        <w:t xml:space="preserve">¿Qué ajustes, tecnología de apoyo, horarios previsibles, reducción de ruido, cambios ergonómicos, subtítulos, compatibilidad con lectores de pantalla o formatos alternativos de comunicación me ayudarían a trabajar de manera consistente?</w:t>
      </w:r>
    </w:p>
    <w:p>
      <w:pPr>
        <w:pStyle w:val="FirstParagraph"/>
      </w:pPr>
      <w:r>
        <w:t xml:space="preserve">El trabajo con clientes puede incluir agresión verbal, lenguaje discriminatorio, amenazas, historias angustiantes o conflictos repetidos. Los empleadores deben contar con procedimientos de escalamiento, seguridad y manejo del abuso. No se debe esperar que una persona tolere amenazas, acoso o conductas inseguras simplemente porque el puesto es de atención al cliente.</w:t>
      </w:r>
    </w:p>
    <w:bookmarkEnd w:id="28"/>
    <w:bookmarkStart w:id="29" w:name="X5086d8475e8a217d945e1625c9b824a8f9f32ca"/>
    <w:p>
      <w:pPr>
        <w:pStyle w:val="Heading2"/>
      </w:pPr>
      <w:r>
        <w:t xml:space="preserve">5. Ética, autoridad, prevención del fraude y escalamiento</w:t>
      </w:r>
    </w:p>
    <w:p>
      <w:pPr>
        <w:pStyle w:val="FirstParagraph"/>
      </w:pPr>
      <w:r>
        <w:t xml:space="preserve">Un buen servicio también implica saber cuándo no actuar.</w:t>
      </w:r>
    </w:p>
    <w:p>
      <w:pPr>
        <w:pStyle w:val="BodyText"/>
      </w:pPr>
      <w:r>
        <w:t xml:space="preserve">No haga lo siguiente:</w:t>
      </w:r>
    </w:p>
    <w:p>
      <w:pPr>
        <w:numPr>
          <w:ilvl w:val="0"/>
          <w:numId w:val="1006"/>
        </w:numPr>
        <w:pStyle w:val="Compact"/>
      </w:pPr>
      <w:r>
        <w:t xml:space="preserve">omitir la verificación de identidad porque el cliente está impaciente;</w:t>
      </w:r>
    </w:p>
    <w:p>
      <w:pPr>
        <w:numPr>
          <w:ilvl w:val="0"/>
          <w:numId w:val="1006"/>
        </w:numPr>
        <w:pStyle w:val="Compact"/>
      </w:pPr>
      <w:r>
        <w:t xml:space="preserve">divulgar información de cuenta, salud, finanzas, viajes, educación, empleo o identificación de otra persona sin autorización;</w:t>
      </w:r>
    </w:p>
    <w:p>
      <w:pPr>
        <w:numPr>
          <w:ilvl w:val="0"/>
          <w:numId w:val="1006"/>
        </w:numPr>
        <w:pStyle w:val="Compact"/>
      </w:pPr>
      <w:r>
        <w:t xml:space="preserve">crear créditos, reembolsos, descuentos, promesas, cambios de cuenta o excepciones fuera de su autoridad;</w:t>
      </w:r>
    </w:p>
    <w:p>
      <w:pPr>
        <w:numPr>
          <w:ilvl w:val="0"/>
          <w:numId w:val="1006"/>
        </w:numPr>
        <w:pStyle w:val="Compact"/>
      </w:pPr>
      <w:r>
        <w:t xml:space="preserve">modificar notas para que una métrica de servicio se vea mejor;</w:t>
      </w:r>
    </w:p>
    <w:p>
      <w:pPr>
        <w:numPr>
          <w:ilvl w:val="0"/>
          <w:numId w:val="1006"/>
        </w:numPr>
        <w:pStyle w:val="Compact"/>
      </w:pPr>
      <w:r>
        <w:t xml:space="preserve">fabricar consentimiento, firmas, aprobaciones, disposiciones, contactos o evidencia de resolución;</w:t>
      </w:r>
    </w:p>
    <w:p>
      <w:pPr>
        <w:numPr>
          <w:ilvl w:val="0"/>
          <w:numId w:val="1006"/>
        </w:numPr>
        <w:pStyle w:val="Compact"/>
      </w:pPr>
      <w:r>
        <w:t xml:space="preserve">mover información de tarjetas o bancos a notas, chat, correo electrónico, capturas de pantalla, dispositivos personales o sistemas no aprobados;</w:t>
      </w:r>
    </w:p>
    <w:p>
      <w:pPr>
        <w:numPr>
          <w:ilvl w:val="0"/>
          <w:numId w:val="1006"/>
        </w:numPr>
        <w:pStyle w:val="Compact"/>
      </w:pPr>
      <w:r>
        <w:t xml:space="preserve">usar correo personal, almacenamiento personal en la nube o mensajería no aprobada para datos de clientes; ni</w:t>
      </w:r>
    </w:p>
    <w:p>
      <w:pPr>
        <w:numPr>
          <w:ilvl w:val="0"/>
          <w:numId w:val="1006"/>
        </w:numPr>
        <w:pStyle w:val="Compact"/>
      </w:pPr>
      <w:r>
        <w:t xml:space="preserve">pegar información confidencial del cliente o del empleador en una herramienta pública o no aprobada de IA.</w:t>
      </w:r>
    </w:p>
    <w:p>
      <w:pPr>
        <w:pStyle w:val="FirstParagraph"/>
      </w:pPr>
      <w:r>
        <w:t xml:space="preserve">Deténgase y escale cuando:</w:t>
      </w:r>
    </w:p>
    <w:p>
      <w:pPr>
        <w:numPr>
          <w:ilvl w:val="0"/>
          <w:numId w:val="1007"/>
        </w:numPr>
        <w:pStyle w:val="Compact"/>
      </w:pPr>
      <w:r>
        <w:t xml:space="preserve">no pueda verificarse la identidad;</w:t>
      </w:r>
    </w:p>
    <w:p>
      <w:pPr>
        <w:numPr>
          <w:ilvl w:val="0"/>
          <w:numId w:val="1007"/>
        </w:numPr>
        <w:pStyle w:val="Compact"/>
      </w:pPr>
      <w:r>
        <w:t xml:space="preserve">una solicitud incluya instrucciones inusuales de pago, cambios de datos bancarios, restablecimiento de credenciales o posible toma de cuenta;</w:t>
      </w:r>
    </w:p>
    <w:p>
      <w:pPr>
        <w:numPr>
          <w:ilvl w:val="0"/>
          <w:numId w:val="1007"/>
        </w:numPr>
        <w:pStyle w:val="Compact"/>
      </w:pPr>
      <w:r>
        <w:t xml:space="preserve">un cliente pida omitir un control;</w:t>
      </w:r>
    </w:p>
    <w:p>
      <w:pPr>
        <w:numPr>
          <w:ilvl w:val="0"/>
          <w:numId w:val="1007"/>
        </w:numPr>
        <w:pStyle w:val="Compact"/>
      </w:pPr>
      <w:r>
        <w:t xml:space="preserve">un asunto de seguridad, abuso, autolesión, fraude, discriminación, carácter legal, médico, financiero o regulado exceda su función;</w:t>
      </w:r>
    </w:p>
    <w:p>
      <w:pPr>
        <w:numPr>
          <w:ilvl w:val="0"/>
          <w:numId w:val="1007"/>
        </w:numPr>
        <w:pStyle w:val="Compact"/>
      </w:pPr>
      <w:r>
        <w:t xml:space="preserve">la salida de un sistema contradiga una política o hechos conocidos;</w:t>
      </w:r>
    </w:p>
    <w:p>
      <w:pPr>
        <w:numPr>
          <w:ilvl w:val="0"/>
          <w:numId w:val="1007"/>
        </w:numPr>
        <w:pStyle w:val="Compact"/>
      </w:pPr>
      <w:r>
        <w:t xml:space="preserve">una pregunta sobre grabación o monitoreo requiera tratamiento específico de la jurisdicción; o</w:t>
      </w:r>
    </w:p>
    <w:p>
      <w:pPr>
        <w:numPr>
          <w:ilvl w:val="0"/>
          <w:numId w:val="1007"/>
        </w:numPr>
        <w:pStyle w:val="Compact"/>
      </w:pPr>
      <w:r>
        <w:t xml:space="preserve">una respuesta generada por IA sea incierta, no respaldada o inconsistente con la fuente aprobada.</w:t>
      </w:r>
    </w:p>
    <w:p>
      <w:pPr>
        <w:pStyle w:val="FirstParagraph"/>
      </w:pPr>
      <w:r>
        <w:t xml:space="preserve">Documente hechos y acciones de forma neutral. No tome represalias, exagere, oculte incertidumbre ni haga promesas que no puede autorizar.</w:t>
      </w:r>
    </w:p>
    <w:bookmarkEnd w:id="29"/>
    <w:bookmarkStart w:id="39" w:name="Xfec4a5b7125eaef7e60c41953347548df9b924c"/>
    <w:p>
      <w:pPr>
        <w:pStyle w:val="Heading2"/>
      </w:pPr>
      <w:r>
        <w:t xml:space="preserve">6. Investigación de ingresos, beneficios y perspectivas</w:t>
      </w:r>
    </w:p>
    <w:p>
      <w:pPr>
        <w:pStyle w:val="FirstParagraph"/>
      </w:pPr>
      <w:r>
        <w:t xml:space="preserve">Especialista en Servicio al Cliente es un título frecuente en el mercado, mientras que los sistemas ocupacionales oficiales pueden usar categorías más amplias. Mantenga separadas las estadísticas ocupacionales oficiales de las estimaciones actuales no gubernamentales por título.</w:t>
      </w:r>
    </w:p>
    <w:bookmarkStart w:id="31" w:name="X1315f4e3d629002714ab0c31bb0b659af50188f"/>
    <w:p>
      <w:pPr>
        <w:pStyle w:val="Heading3"/>
      </w:pPr>
      <w:r>
        <w:t xml:space="preserve">Estados Unidos — datos ocupacionales oficiales</w:t>
      </w:r>
    </w:p>
    <w:p>
      <w:pPr>
        <w:pStyle w:val="FirstParagraph"/>
      </w:pPr>
      <w:r>
        <w:t xml:space="preserve">La Oficina de Estadísticas Laborales de Estados Unidos (BLS) informa que los</w:t>
      </w:r>
      <w:r>
        <w:t xml:space="preserve"> </w:t>
      </w:r>
      <w:r>
        <w:rPr>
          <w:bCs/>
          <w:b/>
        </w:rPr>
        <w:t xml:space="preserve">Customer Service Representatives</w:t>
      </w:r>
      <w:r>
        <w:t xml:space="preserve"> </w:t>
      </w:r>
      <w:r>
        <w:t xml:space="preserve">tuvieron un</w:t>
      </w:r>
      <w:r>
        <w:t xml:space="preserve"> </w:t>
      </w:r>
      <w:r>
        <w:rPr>
          <w:bCs/>
          <w:b/>
        </w:rPr>
        <w:t xml:space="preserve">salario mediano de US</w:t>
      </w:r>
      <m:oMath>
        <m:r>
          <m:t>20.59</m:t>
        </m:r>
        <m:r>
          <m:t>p</m:t>
        </m:r>
        <m:r>
          <m:t>o</m:t>
        </m:r>
        <m:r>
          <m:t>r</m:t>
        </m:r>
        <m:r>
          <m:t>h</m:t>
        </m:r>
        <m:r>
          <m:t>o</m:t>
        </m:r>
        <m:r>
          <m:t>r</m:t>
        </m:r>
        <m:r>
          <m:t>a</m:t>
        </m:r>
        <m:r>
          <m:t>e</m:t>
        </m:r>
        <m:r>
          <m:t>n</m:t>
        </m:r>
        <m:r>
          <m:t>m</m:t>
        </m:r>
        <m:r>
          <m:t>a</m:t>
        </m:r>
        <m:r>
          <m:t>y</m:t>
        </m:r>
        <m:r>
          <m:t>o</m:t>
        </m:r>
        <m:r>
          <m:t>d</m:t>
        </m:r>
        <m:r>
          <m:t>e</m:t>
        </m:r>
        <m:r>
          <m:t>2024</m:t>
        </m:r>
        <m:r>
          <m:rPr>
            <m:sty m:val="p"/>
          </m:rPr>
          <m:t>*</m:t>
        </m:r>
        <m:r>
          <m:rPr>
            <m:sty m:val="p"/>
          </m:rPr>
          <m:t>*</m:t>
        </m:r>
        <m:r>
          <m:rPr>
            <m:sty m:val="p"/>
          </m:rPr>
          <m:t>.</m:t>
        </m:r>
        <m:r>
          <m:t>E</m:t>
        </m:r>
        <m:r>
          <m:t>l</m:t>
        </m:r>
        <m:r>
          <m:t>10</m:t>
        </m:r>
        <m:r>
          <m:t>p</m:t>
        </m:r>
        <m:r>
          <m:t>o</m:t>
        </m:r>
        <m:r>
          <m:t>r</m:t>
        </m:r>
        <m:r>
          <m:t>c</m:t>
        </m:r>
        <m:r>
          <m:t>i</m:t>
        </m:r>
        <m:r>
          <m:t>e</m:t>
        </m:r>
        <m:r>
          <m:t>n</m:t>
        </m:r>
        <m:r>
          <m:t>t</m:t>
        </m:r>
        <m:r>
          <m:t>o</m:t>
        </m:r>
        <m:r>
          <m:t>c</m:t>
        </m:r>
        <m:r>
          <m:t>o</m:t>
        </m:r>
        <m:r>
          <m:t>n</m:t>
        </m:r>
        <m:r>
          <m:t>m</m:t>
        </m:r>
        <m:r>
          <m:t>e</m:t>
        </m:r>
        <m:r>
          <m:t>n</m:t>
        </m:r>
        <m:r>
          <m:t>o</m:t>
        </m:r>
        <m:r>
          <m:t>r</m:t>
        </m:r>
        <m:r>
          <m:t>e</m:t>
        </m:r>
        <m:r>
          <m:t>s</m:t>
        </m:r>
        <m:r>
          <m:t>i</m:t>
        </m:r>
        <m:r>
          <m:t>n</m:t>
        </m:r>
        <m:r>
          <m:t>g</m:t>
        </m:r>
        <m:r>
          <m:t>r</m:t>
        </m:r>
        <m:r>
          <m:t>e</m:t>
        </m:r>
        <m:r>
          <m:t>s</m:t>
        </m:r>
        <m:r>
          <m:t>o</m:t>
        </m:r>
        <m:r>
          <m:t>s</m:t>
        </m:r>
        <m:r>
          <m:t>g</m:t>
        </m:r>
        <m:r>
          <m:t>a</m:t>
        </m:r>
        <m:r>
          <m:t>n</m:t>
        </m:r>
        <m:r>
          <m:t>ó</m:t>
        </m:r>
        <m:r>
          <m:t>m</m:t>
        </m:r>
        <m:r>
          <m:t>e</m:t>
        </m:r>
        <m:r>
          <m:t>n</m:t>
        </m:r>
        <m:r>
          <m:t>o</m:t>
        </m:r>
        <m:r>
          <m:t>s</m:t>
        </m:r>
        <m:r>
          <m:t>d</m:t>
        </m:r>
        <m:r>
          <m:t>e</m:t>
        </m:r>
        <m:r>
          <m:rPr>
            <m:sty m:val="p"/>
          </m:rPr>
          <m:t>*</m:t>
        </m:r>
        <m:r>
          <m:rPr>
            <m:sty m:val="p"/>
          </m:rPr>
          <m:t>*</m:t>
        </m:r>
        <m:r>
          <m:t>U</m:t>
        </m:r>
        <m:r>
          <m:t>S</m:t>
        </m:r>
      </m:oMath>
      <w:r>
        <w:rPr>
          <w:bCs/>
          <w:b/>
        </w:rPr>
        <w:t xml:space="preserve">14.75 por hora</w:t>
      </w:r>
      <w:r>
        <w:t xml:space="preserve">, y el 10 por ciento con mayores ingresos ganó más de</w:t>
      </w:r>
      <w:r>
        <w:t xml:space="preserve"> </w:t>
      </w:r>
      <w:r>
        <w:rPr>
          <w:bCs/>
          <w:b/>
        </w:rPr>
        <w:t xml:space="preserve">US$30.16 por hora</w:t>
      </w:r>
      <w:r>
        <w:t xml:space="preserve">.</w:t>
      </w:r>
    </w:p>
    <w:p>
      <w:pPr>
        <w:pStyle w:val="BodyText"/>
      </w:pPr>
      <w:r>
        <w:t xml:space="preserve">BLS proyecta que el empleo de representantes de servicio al cliente</w:t>
      </w:r>
      <w:r>
        <w:t xml:space="preserve"> </w:t>
      </w:r>
      <w:r>
        <w:rPr>
          <w:bCs/>
          <w:b/>
        </w:rPr>
        <w:t xml:space="preserve">disminuirá 5% entre 2024 y 2034</w:t>
      </w:r>
      <w:r>
        <w:t xml:space="preserve">. Al mismo tiempo, proyecta alrededor de</w:t>
      </w:r>
      <w:r>
        <w:t xml:space="preserve"> </w:t>
      </w:r>
      <w:r>
        <w:rPr>
          <w:bCs/>
          <w:b/>
        </w:rPr>
        <w:t xml:space="preserve">341,700 vacantes por año en promedio</w:t>
      </w:r>
      <w:r>
        <w:t xml:space="preserve"> </w:t>
      </w:r>
      <w:r>
        <w:t xml:space="preserve">durante la década, en gran parte por trabajadores que pasan a otras ocupaciones o salen de la fuerza laboral. La disminución y las vacantes de reemplazo deben entenderse juntas. La automatización y el autoservicio pueden reducir algunos contactos rutinarios, mientras que la atención humana sigue siendo importante para excepciones, situaciones complejas, confianza, escalamiento, retención, accesibilidad y coordinación entre canales.</w:t>
      </w:r>
    </w:p>
    <w:p>
      <w:pPr>
        <w:pStyle w:val="BodyText"/>
      </w:pPr>
      <w:r>
        <w:t xml:space="preserve">Fuente oficial:</w:t>
      </w:r>
      <w:r>
        <w:t xml:space="preserve"> </w:t>
      </w:r>
      <w:hyperlink r:id="rId30">
        <w:r>
          <w:rPr>
            <w:rStyle w:val="Hyperlink"/>
          </w:rPr>
          <w:t xml:space="preserve">https://www.bls.gov/ooh/office-and-administrative-support/customer-service-representatives.htm</w:t>
        </w:r>
      </w:hyperlink>
    </w:p>
    <w:bookmarkEnd w:id="31"/>
    <w:bookmarkStart w:id="34" w:name="Xdd991fa6306cc884aa6d5857bd5abc28bc5682f"/>
    <w:p>
      <w:pPr>
        <w:pStyle w:val="Heading3"/>
      </w:pPr>
      <w:r>
        <w:t xml:space="preserve">Estados Unidos — estimaciones actuales no gubernamentales por título</w:t>
      </w:r>
    </w:p>
    <w:p>
      <w:pPr>
        <w:pStyle w:val="FirstParagraph"/>
      </w:pPr>
      <w:r>
        <w:t xml:space="preserve">Como indicadores de mercado separados verificados en agosto de 2026:</w:t>
      </w:r>
    </w:p>
    <w:p>
      <w:pPr>
        <w:numPr>
          <w:ilvl w:val="0"/>
          <w:numId w:val="1008"/>
        </w:numPr>
        <w:pStyle w:val="Compact"/>
      </w:pPr>
      <w:r>
        <w:t xml:space="preserve">ZipRecruiter informó una estimación promedio en Estados Unidos para</w:t>
      </w:r>
      <w:r>
        <w:t xml:space="preserve"> </w:t>
      </w:r>
      <w:r>
        <w:rPr>
          <w:bCs/>
          <w:b/>
        </w:rPr>
        <w:t xml:space="preserve">Customer Service Specialist</w:t>
      </w:r>
      <w:r>
        <w:t xml:space="preserve"> </w:t>
      </w:r>
      <w:r>
        <w:t xml:space="preserve">de</w:t>
      </w:r>
      <w:r>
        <w:t xml:space="preserve"> </w:t>
      </w:r>
      <w:r>
        <w:rPr>
          <w:bCs/>
          <w:b/>
        </w:rPr>
        <w:t xml:space="preserve">US</w:t>
      </w:r>
      <m:oMath>
        <m:r>
          <m:t>40</m:t>
        </m:r>
        <m:r>
          <m:rPr>
            <m:sty m:val="p"/>
          </m:rPr>
          <m:t>,</m:t>
        </m:r>
        <m:r>
          <m:t>910</m:t>
        </m:r>
        <m:r>
          <m:t>a</m:t>
        </m:r>
        <m:r>
          <m:t>l</m:t>
        </m:r>
        <m:r>
          <m:t>a</m:t>
        </m:r>
        <m:r>
          <m:t>ñ</m:t>
        </m:r>
        <m:r>
          <m:t>o</m:t>
        </m:r>
        <m:r>
          <m:rPr>
            <m:sty m:val="p"/>
          </m:rPr>
          <m:t>(</m:t>
        </m:r>
        <m:r>
          <m:t>U</m:t>
        </m:r>
        <m:r>
          <m:t>S</m:t>
        </m:r>
      </m:oMath>
      <w:r>
        <w:rPr>
          <w:bCs/>
          <w:b/>
        </w:rPr>
        <w:t xml:space="preserve">19.67/hora)</w:t>
      </w:r>
      <w:r>
        <w:t xml:space="preserve"> </w:t>
      </w:r>
      <w:r>
        <w:t xml:space="preserve">al</w:t>
      </w:r>
      <w:r>
        <w:t xml:space="preserve"> </w:t>
      </w:r>
      <w:r>
        <w:rPr>
          <w:bCs/>
          <w:b/>
        </w:rPr>
        <w:t xml:space="preserve">8 de agosto de 2026</w:t>
      </w:r>
      <w:r>
        <w:t xml:space="preserve">.</w:t>
      </w:r>
    </w:p>
    <w:p>
      <w:pPr>
        <w:numPr>
          <w:ilvl w:val="0"/>
          <w:numId w:val="1008"/>
        </w:numPr>
        <w:pStyle w:val="Compact"/>
      </w:pPr>
      <w:r>
        <w:t xml:space="preserve">ZipRecruiter informó una estimación promedio en Estados Unidos para</w:t>
      </w:r>
      <w:r>
        <w:t xml:space="preserve"> </w:t>
      </w:r>
      <w:r>
        <w:rPr>
          <w:bCs/>
          <w:b/>
        </w:rPr>
        <w:t xml:space="preserve">Customer Service Representative</w:t>
      </w:r>
      <w:r>
        <w:t xml:space="preserve"> </w:t>
      </w:r>
      <w:r>
        <w:t xml:space="preserve">de</w:t>
      </w:r>
      <w:r>
        <w:t xml:space="preserve"> </w:t>
      </w:r>
      <w:r>
        <w:rPr>
          <w:bCs/>
          <w:b/>
        </w:rPr>
        <w:t xml:space="preserve">US</w:t>
      </w:r>
      <m:oMath>
        <m:r>
          <m:t>39</m:t>
        </m:r>
        <m:r>
          <m:rPr>
            <m:sty m:val="p"/>
          </m:rPr>
          <m:t>,</m:t>
        </m:r>
        <m:r>
          <m:t>098</m:t>
        </m:r>
        <m:r>
          <m:t>a</m:t>
        </m:r>
        <m:r>
          <m:t>l</m:t>
        </m:r>
        <m:r>
          <m:t>a</m:t>
        </m:r>
        <m:r>
          <m:t>ñ</m:t>
        </m:r>
        <m:r>
          <m:t>o</m:t>
        </m:r>
        <m:r>
          <m:rPr>
            <m:sty m:val="p"/>
          </m:rPr>
          <m:t>(</m:t>
        </m:r>
        <m:r>
          <m:t>U</m:t>
        </m:r>
        <m:r>
          <m:t>S</m:t>
        </m:r>
      </m:oMath>
      <w:r>
        <w:rPr>
          <w:bCs/>
          <w:b/>
        </w:rPr>
        <w:t xml:space="preserve">18.80/hora)</w:t>
      </w:r>
      <w:r>
        <w:t xml:space="preserve"> </w:t>
      </w:r>
      <w:r>
        <w:t xml:space="preserve">al</w:t>
      </w:r>
      <w:r>
        <w:t xml:space="preserve"> </w:t>
      </w:r>
      <w:r>
        <w:rPr>
          <w:bCs/>
          <w:b/>
        </w:rPr>
        <w:t xml:space="preserve">8 de agosto de 2026</w:t>
      </w:r>
      <w:r>
        <w:t xml:space="preserve">.</w:t>
      </w:r>
    </w:p>
    <w:p>
      <w:pPr>
        <w:pStyle w:val="FirstParagraph"/>
      </w:pPr>
      <w:r>
        <w:t xml:space="preserve">Fuentes:</w:t>
      </w:r>
    </w:p>
    <w:p>
      <w:pPr>
        <w:numPr>
          <w:ilvl w:val="0"/>
          <w:numId w:val="1009"/>
        </w:numPr>
        <w:pStyle w:val="Compact"/>
      </w:pPr>
      <w:hyperlink r:id="rId32">
        <w:r>
          <w:rPr>
            <w:rStyle w:val="Hyperlink"/>
          </w:rPr>
          <w:t xml:space="preserve">https://www.ziprecruiter.com/Salaries/Customer-Service-Specialist-Salary</w:t>
        </w:r>
      </w:hyperlink>
    </w:p>
    <w:p>
      <w:pPr>
        <w:numPr>
          <w:ilvl w:val="0"/>
          <w:numId w:val="1009"/>
        </w:numPr>
        <w:pStyle w:val="Compact"/>
      </w:pPr>
      <w:hyperlink r:id="rId33">
        <w:r>
          <w:rPr>
            <w:rStyle w:val="Hyperlink"/>
          </w:rPr>
          <w:t xml:space="preserve">https://www.ziprecruiter.com/Salaries/Customer-Service-Representative-Salary</w:t>
        </w:r>
      </w:hyperlink>
    </w:p>
    <w:p>
      <w:pPr>
        <w:pStyle w:val="FirstParagraph"/>
      </w:pPr>
      <w:r>
        <w:t xml:space="preserve">Estas son estimaciones no gubernamentales de mercado derivadas de ofertas de empleo y datos de terceros. No son estadísticas salariales oficiales, salarios iniciales locales ni garantías. Vuelva a verificarlas durante el control de publicación porque las páginas de mercado cambian con frecuencia.</w:t>
      </w:r>
    </w:p>
    <w:bookmarkEnd w:id="34"/>
    <w:bookmarkStart w:id="37" w:name="canadá"/>
    <w:p>
      <w:pPr>
        <w:pStyle w:val="Heading3"/>
      </w:pPr>
      <w:r>
        <w:t xml:space="preserve">Canadá</w:t>
      </w:r>
    </w:p>
    <w:p>
      <w:pPr>
        <w:pStyle w:val="FirstParagraph"/>
      </w:pPr>
      <w:r>
        <w:t xml:space="preserve">Job Bank del Gobierno de Canadá relaciona trabajos afines de servicio al cliente y centros de contacto con</w:t>
      </w:r>
      <w:r>
        <w:t xml:space="preserve"> </w:t>
      </w:r>
      <w:r>
        <w:rPr>
          <w:bCs/>
          <w:b/>
        </w:rPr>
        <w:t xml:space="preserve">Other customer and information services representatives, NOC 64409</w:t>
      </w:r>
      <w:r>
        <w:t xml:space="preserve">. La tabla salarial nacional revisada para esta edición informa</w:t>
      </w:r>
      <w:r>
        <w:t xml:space="preserve"> </w:t>
      </w:r>
      <w:r>
        <w:rPr>
          <w:bCs/>
          <w:b/>
        </w:rPr>
        <w:t xml:space="preserve">C</w:t>
      </w:r>
      <m:oMath>
        <m:r>
          <m:t>16.00</m:t>
        </m:r>
        <m:r>
          <m:t>b</m:t>
        </m:r>
        <m:r>
          <m:t>a</m:t>
        </m:r>
        <m:r>
          <m:t>j</m:t>
        </m:r>
        <m:r>
          <m:t>o</m:t>
        </m:r>
        <m:r>
          <m:rPr>
            <m:sty m:val="p"/>
          </m:rPr>
          <m:t>/</m:t>
        </m:r>
        <m:r>
          <m:t>C</m:t>
        </m:r>
      </m:oMath>
      <w:r>
        <w:rPr>
          <w:bCs/>
          <w:b/>
        </w:rPr>
        <w:t xml:space="preserve">22.00 mediano / C$33.14 alto por hora</w:t>
      </w:r>
      <w:r>
        <w:t xml:space="preserve">. Job Bank indica que la tabla fue actualizada el</w:t>
      </w:r>
      <w:r>
        <w:t xml:space="preserve"> </w:t>
      </w:r>
      <w:r>
        <w:rPr>
          <w:bCs/>
          <w:b/>
        </w:rPr>
        <w:t xml:space="preserve">19 de noviembre de 2025</w:t>
      </w:r>
      <w:r>
        <w:t xml:space="preserve">, utiliza un</w:t>
      </w:r>
      <w:r>
        <w:t xml:space="preserve"> </w:t>
      </w:r>
      <w:r>
        <w:rPr>
          <w:bCs/>
          <w:b/>
        </w:rPr>
        <w:t xml:space="preserve">período de referencia 2023–2024</w:t>
      </w:r>
      <w:r>
        <w:t xml:space="preserve"> </w:t>
      </w:r>
      <w:r>
        <w:t xml:space="preserve">y se basa en la Labour Force Survey. Job Bank también informa que</w:t>
      </w:r>
      <w:r>
        <w:t xml:space="preserve"> </w:t>
      </w:r>
      <w:r>
        <w:rPr>
          <w:bCs/>
          <w:b/>
        </w:rPr>
        <w:t xml:space="preserve">84.1%</w:t>
      </w:r>
      <w:r>
        <w:t xml:space="preserve"> </w:t>
      </w:r>
      <w:r>
        <w:t xml:space="preserve">de los trabajadores de esta ocupación reciben al menos un beneficio no salarial.</w:t>
      </w:r>
    </w:p>
    <w:p>
      <w:pPr>
        <w:pStyle w:val="BodyText"/>
      </w:pPr>
      <w:r>
        <w:t xml:space="preserve">Fuentes:</w:t>
      </w:r>
    </w:p>
    <w:p>
      <w:pPr>
        <w:numPr>
          <w:ilvl w:val="0"/>
          <w:numId w:val="1010"/>
        </w:numPr>
        <w:pStyle w:val="Compact"/>
      </w:pPr>
      <w:hyperlink r:id="rId35">
        <w:r>
          <w:rPr>
            <w:rStyle w:val="Hyperlink"/>
          </w:rPr>
          <w:t xml:space="preserve">https://www.jobbank.gc.ca/wagereport/occupation/15201</w:t>
        </w:r>
      </w:hyperlink>
    </w:p>
    <w:p>
      <w:pPr>
        <w:numPr>
          <w:ilvl w:val="0"/>
          <w:numId w:val="1010"/>
        </w:numPr>
        <w:pStyle w:val="Compact"/>
      </w:pPr>
      <w:hyperlink r:id="rId36">
        <w:r>
          <w:rPr>
            <w:rStyle w:val="Hyperlink"/>
          </w:rPr>
          <w:t xml:space="preserve">https://www.jobbank.gc.ca/marketreport/requirements/15201/ca</w:t>
        </w:r>
      </w:hyperlink>
    </w:p>
    <w:p>
      <w:pPr>
        <w:pStyle w:val="FirstParagraph"/>
      </w:pPr>
      <w:r>
        <w:t xml:space="preserve">Un puesto titulado Customer Service Specialist no corresponde automáticamente y de manera perfecta a NOC 64409. Compare las funciones antes de utilizar esos datos ocupacionales.</w:t>
      </w:r>
    </w:p>
    <w:bookmarkEnd w:id="37"/>
    <w:bookmarkStart w:id="38" w:name="colombia-y-américa-latina"/>
    <w:p>
      <w:pPr>
        <w:pStyle w:val="Heading3"/>
      </w:pPr>
      <w:r>
        <w:t xml:space="preserve">Colombia y América Latina</w:t>
      </w:r>
    </w:p>
    <w:p>
      <w:pPr>
        <w:pStyle w:val="FirstParagraph"/>
      </w:pPr>
      <w:r>
        <w:t xml:space="preserve">No invente un salario nacional de Especialista en Servicio al Cliente cuando no se haya verificado una serie ocupacional oficial directamente comparable. En Colombia, compare el Servicio Público de Empleo y vacantes actuales de empleadores para títulos reales como</w:t>
      </w:r>
      <w:r>
        <w:t xml:space="preserve"> </w:t>
      </w:r>
      <w:r>
        <w:rPr>
          <w:rStyle w:val="VerbatimChar"/>
        </w:rPr>
        <w:t xml:space="preserve">asesor de servicio al cliente</w:t>
      </w:r>
      <w:r>
        <w:t xml:space="preserve">,</w:t>
      </w:r>
      <w:r>
        <w:t xml:space="preserve"> </w:t>
      </w:r>
      <w:r>
        <w:rPr>
          <w:rStyle w:val="VerbatimChar"/>
        </w:rPr>
        <w:t xml:space="preserve">agente de servicio</w:t>
      </w:r>
      <w:r>
        <w:t xml:space="preserve">,</w:t>
      </w:r>
      <w:r>
        <w:t xml:space="preserve"> </w:t>
      </w:r>
      <w:r>
        <w:rPr>
          <w:rStyle w:val="VerbatimChar"/>
        </w:rPr>
        <w:t xml:space="preserve">representante de servicio</w:t>
      </w:r>
      <w:r>
        <w:t xml:space="preserve">,</w:t>
      </w:r>
      <w:r>
        <w:t xml:space="preserve"> </w:t>
      </w:r>
      <w:r>
        <w:rPr>
          <w:rStyle w:val="VerbatimChar"/>
        </w:rPr>
        <w:t xml:space="preserve">agente de contact center</w:t>
      </w:r>
      <w:r>
        <w:t xml:space="preserve">,</w:t>
      </w:r>
      <w:r>
        <w:t xml:space="preserve"> </w:t>
      </w:r>
      <w:r>
        <w:rPr>
          <w:rStyle w:val="VerbatimChar"/>
        </w:rPr>
        <w:t xml:space="preserve">asesor de atención</w:t>
      </w:r>
      <w:r>
        <w:t xml:space="preserve"> </w:t>
      </w:r>
      <w:r>
        <w:t xml:space="preserve">u otros relacionados. Registre ciudad, salario, beneficios, tipo de contrato, horario, requisitos de idioma, canal, funciones de ventas, tecnología y experiencia requerida.</w:t>
      </w:r>
    </w:p>
    <w:p>
      <w:pPr>
        <w:pStyle w:val="BodyText"/>
      </w:pPr>
      <w:r>
        <w:t xml:space="preserve">En América Latina, los salarios, contratos laborales, beneficios, obligaciones de privacidad, reglas de grabación de llamadas, protección al consumidor, horarios y esquemas de tercerización varían según el país y el empleador. La verificación local es esencial.</w:t>
      </w:r>
    </w:p>
    <w:bookmarkEnd w:id="38"/>
    <w:bookmarkEnd w:id="39"/>
    <w:bookmarkStart w:id="40" w:name="X5d915f8b9f03e5e7546d9831e58bccfe2b459cb"/>
    <w:p>
      <w:pPr>
        <w:pStyle w:val="Heading2"/>
      </w:pPr>
      <w:r>
        <w:t xml:space="preserve">7. Educación, habilidades y credenciales</w:t>
      </w:r>
    </w:p>
    <w:p>
      <w:pPr>
        <w:pStyle w:val="FirstParagraph"/>
      </w:pPr>
      <w:r>
        <w:t xml:space="preserve">BLS identifica el diploma de secundaria o equivalente más capacitación de corto plazo en el trabajo como preparación típica para puestos estadounidenses de representante de servicio al cliente. Cada empleador puede exigir más o menos según la industria y la complejidad.</w:t>
      </w:r>
    </w:p>
    <w:p>
      <w:pPr>
        <w:pStyle w:val="BodyText"/>
      </w:pPr>
      <w:r>
        <w:t xml:space="preserve">Entre las habilidades útiles se encuentran:</w:t>
      </w:r>
    </w:p>
    <w:p>
      <w:pPr>
        <w:numPr>
          <w:ilvl w:val="0"/>
          <w:numId w:val="1011"/>
        </w:numPr>
        <w:pStyle w:val="Compact"/>
      </w:pPr>
      <w:r>
        <w:t xml:space="preserve">escucha activa y comprensión de lectura;</w:t>
      </w:r>
    </w:p>
    <w:p>
      <w:pPr>
        <w:numPr>
          <w:ilvl w:val="0"/>
          <w:numId w:val="1011"/>
        </w:numPr>
        <w:pStyle w:val="Compact"/>
      </w:pPr>
      <w:r>
        <w:t xml:space="preserve">redacción concisa y tono profesional;</w:t>
      </w:r>
    </w:p>
    <w:p>
      <w:pPr>
        <w:numPr>
          <w:ilvl w:val="0"/>
          <w:numId w:val="1011"/>
        </w:numPr>
        <w:pStyle w:val="Compact"/>
      </w:pPr>
      <w:r>
        <w:t xml:space="preserve">mecanografía e ingreso preciso de datos;</w:t>
      </w:r>
    </w:p>
    <w:p>
      <w:pPr>
        <w:numPr>
          <w:ilvl w:val="0"/>
          <w:numId w:val="1011"/>
        </w:numPr>
        <w:pStyle w:val="Compact"/>
      </w:pPr>
      <w:r>
        <w:t xml:space="preserve">documentación en CRM y tickets;</w:t>
      </w:r>
    </w:p>
    <w:p>
      <w:pPr>
        <w:numPr>
          <w:ilvl w:val="0"/>
          <w:numId w:val="1011"/>
        </w:numPr>
        <w:pStyle w:val="Compact"/>
      </w:pPr>
      <w:r>
        <w:t xml:space="preserve">uso básico de hojas de cálculo y software de oficina;</w:t>
      </w:r>
    </w:p>
    <w:p>
      <w:pPr>
        <w:numPr>
          <w:ilvl w:val="0"/>
          <w:numId w:val="1011"/>
        </w:numPr>
        <w:pStyle w:val="Compact"/>
      </w:pPr>
      <w:r>
        <w:t xml:space="preserve">definición de problemas y solución estructurada de incidentes;</w:t>
      </w:r>
    </w:p>
    <w:p>
      <w:pPr>
        <w:numPr>
          <w:ilvl w:val="0"/>
          <w:numId w:val="1011"/>
        </w:numPr>
        <w:pStyle w:val="Compact"/>
      </w:pPr>
      <w:r>
        <w:t xml:space="preserve">desescalamiento y manejo de conflictos;</w:t>
      </w:r>
    </w:p>
    <w:p>
      <w:pPr>
        <w:numPr>
          <w:ilvl w:val="0"/>
          <w:numId w:val="1011"/>
        </w:numPr>
        <w:pStyle w:val="Compact"/>
      </w:pPr>
      <w:r>
        <w:t xml:space="preserve">comunicación consciente de la accesibilidad;</w:t>
      </w:r>
    </w:p>
    <w:p>
      <w:pPr>
        <w:numPr>
          <w:ilvl w:val="0"/>
          <w:numId w:val="1011"/>
        </w:numPr>
        <w:pStyle w:val="Compact"/>
      </w:pPr>
      <w:r>
        <w:t xml:space="preserve">conocimiento de privacidad, autenticación, fraude y ciberseguridad;</w:t>
      </w:r>
    </w:p>
    <w:p>
      <w:pPr>
        <w:numPr>
          <w:ilvl w:val="0"/>
          <w:numId w:val="1011"/>
        </w:numPr>
        <w:pStyle w:val="Compact"/>
      </w:pPr>
      <w:r>
        <w:t xml:space="preserve">aritmética básica para pedidos, facturación, reembolsos o explicaciones de cuenta; y</w:t>
      </w:r>
    </w:p>
    <w:p>
      <w:pPr>
        <w:numPr>
          <w:ilvl w:val="0"/>
          <w:numId w:val="1011"/>
        </w:numPr>
        <w:pStyle w:val="Compact"/>
      </w:pPr>
      <w:r>
        <w:t xml:space="preserve">capacidad para aprender rápidamente nuevos productos, políticas y software.</w:t>
      </w:r>
    </w:p>
    <w:p>
      <w:pPr>
        <w:pStyle w:val="FirstParagraph"/>
      </w:pPr>
      <w:r>
        <w:t xml:space="preserve">Los certificados privados de servicio al cliente pueden ayudar a demostrar aprendizaje estructurado, pero por lo general no son licencias gubernamentales y no deben tratarse como requisitos universales de contratación. Verifique la demanda de los empleadores antes de pagar.</w:t>
      </w:r>
    </w:p>
    <w:p>
      <w:pPr>
        <w:pStyle w:val="BodyText"/>
      </w:pPr>
      <w:r>
        <w:t xml:space="preserve">En industrias reguladas pueden existir requisitos adicionales específicos del puesto. Seguros, valores, salud, servicios financieros, gobierno, juegos, aviación, viajes, telecomunicaciones u otros sectores pueden imponer reglas especializadas. Un curso genérico de servicio al cliente no reemplaza una autorización obligatoria.</w:t>
      </w:r>
    </w:p>
    <w:bookmarkEnd w:id="40"/>
    <w:bookmarkStart w:id="53" w:name="X57edd71dc6287c69da444f028b0f1b187358e38"/>
    <w:p>
      <w:pPr>
        <w:pStyle w:val="Heading2"/>
      </w:pPr>
      <w:r>
        <w:t xml:space="preserve">8. Capacitación gratuita y de bajo costo, financiamiento, becas y apoyo del empleador</w:t>
      </w:r>
    </w:p>
    <w:p>
      <w:pPr>
        <w:pStyle w:val="FirstParagraph"/>
      </w:pPr>
      <w:r>
        <w:t xml:space="preserve">Use una secuencia de</w:t>
      </w:r>
      <w:r>
        <w:t xml:space="preserve"> </w:t>
      </w:r>
      <w:r>
        <w:rPr>
          <w:bCs/>
          <w:b/>
        </w:rPr>
        <w:t xml:space="preserve">primero lo gratuito</w:t>
      </w:r>
      <w:r>
        <w:t xml:space="preserve">:</w:t>
      </w:r>
    </w:p>
    <w:p>
      <w:pPr>
        <w:numPr>
          <w:ilvl w:val="0"/>
          <w:numId w:val="1012"/>
        </w:numPr>
        <w:pStyle w:val="Compact"/>
      </w:pPr>
      <w:r>
        <w:t xml:space="preserve">Aprenda conceptos fundamentales de comunicación, software de oficina, ciberseguridad, privacidad y servicio al cliente mediante bibliotecas, tutoriales oficiales, cursos abiertos, materiales de empleadores o recursos confiables de organizaciones sin fines de lucro.</w:t>
      </w:r>
    </w:p>
    <w:p>
      <w:pPr>
        <w:numPr>
          <w:ilvl w:val="0"/>
          <w:numId w:val="1012"/>
        </w:numPr>
        <w:pStyle w:val="Compact"/>
      </w:pPr>
      <w:r>
        <w:t xml:space="preserve">Practique con escenarios ficticios, no con datos reales de clientes.</w:t>
      </w:r>
    </w:p>
    <w:p>
      <w:pPr>
        <w:numPr>
          <w:ilvl w:val="0"/>
          <w:numId w:val="1012"/>
        </w:numPr>
        <w:pStyle w:val="Compact"/>
      </w:pPr>
      <w:r>
        <w:t xml:space="preserve">Revise vacantes reales para identificar software, idioma, horario y conocimientos de industria que solicitan los empleadores.</w:t>
      </w:r>
    </w:p>
    <w:p>
      <w:pPr>
        <w:numPr>
          <w:ilvl w:val="0"/>
          <w:numId w:val="1012"/>
        </w:numPr>
        <w:pStyle w:val="Compact"/>
      </w:pPr>
      <w:r>
        <w:t xml:space="preserve">Explore programas públicos de empleo, rehabilitación vocacional cuando corresponda, becas, ayuda institucional y capacitación pagada por el empleador.</w:t>
      </w:r>
    </w:p>
    <w:p>
      <w:pPr>
        <w:numPr>
          <w:ilvl w:val="0"/>
          <w:numId w:val="1012"/>
        </w:numPr>
        <w:pStyle w:val="Compact"/>
      </w:pPr>
      <w:r>
        <w:t xml:space="preserve">Pague por un certificado solo cuando cierre un requisito documentado o produzca un beneficio transferible específico.</w:t>
      </w:r>
    </w:p>
    <w:bookmarkStart w:id="46" w:name="estados-unidos"/>
    <w:p>
      <w:pPr>
        <w:pStyle w:val="Heading3"/>
      </w:pPr>
      <w:r>
        <w:t xml:space="preserve">Estados Unidos</w:t>
      </w:r>
    </w:p>
    <w:p>
      <w:pPr>
        <w:pStyle w:val="FirstParagraph"/>
      </w:pPr>
      <w:r>
        <w:t xml:space="preserve">Los American Job Centers ofrecen asistencia gratuita para el empleo y pueden ayudar a personas elegibles a explorar oportunidades de capacitación. CareerOneStop mantiene el localizador de AJC y un buscador de programas de capacitación elegibles para WIOA. La elegibilidad y el financiamiento varían; que un programa aparezca en una lista no garantiza que una persona específica reciba fondos.</w:t>
      </w:r>
    </w:p>
    <w:p>
      <w:pPr>
        <w:numPr>
          <w:ilvl w:val="0"/>
          <w:numId w:val="1013"/>
        </w:numPr>
        <w:pStyle w:val="Compact"/>
      </w:pPr>
      <w:r>
        <w:t xml:space="preserve">American Job Centers:</w:t>
      </w:r>
      <w:r>
        <w:t xml:space="preserve"> </w:t>
      </w:r>
      <w:hyperlink r:id="rId41">
        <w:r>
          <w:rPr>
            <w:rStyle w:val="Hyperlink"/>
          </w:rPr>
          <w:t xml:space="preserve">https://www.careeronestop.org/LocalHelp/AmericanJobCenters/american-job-centers.aspx</w:t>
        </w:r>
      </w:hyperlink>
    </w:p>
    <w:p>
      <w:pPr>
        <w:numPr>
          <w:ilvl w:val="0"/>
          <w:numId w:val="1013"/>
        </w:numPr>
        <w:pStyle w:val="Compact"/>
      </w:pPr>
      <w:r>
        <w:t xml:space="preserve">Buscador de capacitación WIOA:</w:t>
      </w:r>
      <w:r>
        <w:t xml:space="preserve"> </w:t>
      </w:r>
      <w:hyperlink r:id="rId42">
        <w:r>
          <w:rPr>
            <w:rStyle w:val="Hyperlink"/>
          </w:rPr>
          <w:t xml:space="preserve">https://www.careeronestop.org/LocalHelp/EmploymentAndTraining/find-WIOA-training-programs.aspx</w:t>
        </w:r>
      </w:hyperlink>
    </w:p>
    <w:p>
      <w:pPr>
        <w:numPr>
          <w:ilvl w:val="0"/>
          <w:numId w:val="1013"/>
        </w:numPr>
        <w:pStyle w:val="Compact"/>
      </w:pPr>
      <w:r>
        <w:t xml:space="preserve">Información y búsqueda de Registered Apprenticeship:</w:t>
      </w:r>
      <w:r>
        <w:t xml:space="preserve"> </w:t>
      </w:r>
      <w:hyperlink r:id="rId43">
        <w:r>
          <w:rPr>
            <w:rStyle w:val="Hyperlink"/>
          </w:rPr>
          <w:t xml:space="preserve">https://www.apprenticeship.gov/</w:t>
        </w:r>
      </w:hyperlink>
    </w:p>
    <w:p>
      <w:pPr>
        <w:numPr>
          <w:ilvl w:val="0"/>
          <w:numId w:val="1013"/>
        </w:numPr>
        <w:pStyle w:val="Compact"/>
      </w:pPr>
      <w:r>
        <w:t xml:space="preserve">Federal Student Aid:</w:t>
      </w:r>
      <w:r>
        <w:t xml:space="preserve"> </w:t>
      </w:r>
      <w:hyperlink r:id="rId44">
        <w:r>
          <w:rPr>
            <w:rStyle w:val="Hyperlink"/>
          </w:rPr>
          <w:t xml:space="preserve">https://studentaid.gov/</w:t>
        </w:r>
      </w:hyperlink>
    </w:p>
    <w:p>
      <w:pPr>
        <w:numPr>
          <w:ilvl w:val="0"/>
          <w:numId w:val="1013"/>
        </w:numPr>
        <w:pStyle w:val="Compact"/>
      </w:pPr>
      <w:r>
        <w:t xml:space="preserve">Información sobre becas:</w:t>
      </w:r>
      <w:r>
        <w:t xml:space="preserve"> </w:t>
      </w:r>
      <w:hyperlink r:id="rId45">
        <w:r>
          <w:rPr>
            <w:rStyle w:val="Hyperlink"/>
          </w:rPr>
          <w:t xml:space="preserve">https://studentaid.gov/understand-aid/types/scholarships</w:t>
        </w:r>
      </w:hyperlink>
    </w:p>
    <w:p>
      <w:pPr>
        <w:pStyle w:val="FirstParagraph"/>
      </w:pPr>
      <w:r>
        <w:t xml:space="preserve">Registered Apprenticeship puede ser relevante cuando un empleador o patrocinador ofrece una ruta de servicio al cliente, centro de contacto, soporte de ventas, servicio u otra relacionada. Busque en el registro vigente en lugar de asumir que existe un programa en todas las ubicaciones.</w:t>
      </w:r>
    </w:p>
    <w:bookmarkEnd w:id="46"/>
    <w:bookmarkStart w:id="48" w:name="X901c2f0df49529a9b14a23779759ec4a131bdd1"/>
    <w:p>
      <w:pPr>
        <w:pStyle w:val="Heading3"/>
      </w:pPr>
      <w:r>
        <w:t xml:space="preserve">Asistencia educativa del empleador en Estados Unidos</w:t>
      </w:r>
    </w:p>
    <w:p>
      <w:pPr>
        <w:pStyle w:val="FirstParagraph"/>
      </w:pPr>
      <w:r>
        <w:t xml:space="preserve">La guía del IRS sobre programas de asistencia educativa de la Sección 127 indica que la asistencia educativa proporcionada por un empleador y que cumpla los requisitos puede excluirse del ingreso bruto del empleado hasta</w:t>
      </w:r>
      <w:r>
        <w:t xml:space="preserve"> </w:t>
      </w:r>
      <w:r>
        <w:rPr>
          <w:bCs/>
          <w:b/>
        </w:rPr>
        <w:t xml:space="preserve">US$5,250 por año calendario para 2025 y 2026</w:t>
      </w:r>
      <w:r>
        <w:t xml:space="preserve">. El monto está sujeto a ajuste por costo de vida para años fiscales posteriores a 2026. Esta es una regla tributaria de Estados Unidos para planes empresariales que cumplen los requisitos, no un beneficio universal del empleador.</w:t>
      </w:r>
    </w:p>
    <w:p>
      <w:pPr>
        <w:pStyle w:val="BodyText"/>
      </w:pPr>
      <w:r>
        <w:t xml:space="preserve">Fuente del IRS:</w:t>
      </w:r>
      <w:r>
        <w:t xml:space="preserve"> </w:t>
      </w:r>
      <w:hyperlink r:id="rId47">
        <w:r>
          <w:rPr>
            <w:rStyle w:val="Hyperlink"/>
          </w:rPr>
          <w:t xml:space="preserve">https://www.irs.gov/newsroom/updates-to-frequently-asked-questions-about-educational-assistance-programs</w:t>
        </w:r>
      </w:hyperlink>
    </w:p>
    <w:p>
      <w:pPr>
        <w:pStyle w:val="BodyText"/>
      </w:pPr>
      <w:r>
        <w:t xml:space="preserve">Antes de inscribirse, obtenga por escrito del empleador los requisitos de elegibilidad, gastos cubiertos, calificaciones, reembolso, tratamiento tributario y permanencia laboral.</w:t>
      </w:r>
    </w:p>
    <w:bookmarkEnd w:id="48"/>
    <w:bookmarkStart w:id="49" w:name="canadá-1"/>
    <w:p>
      <w:pPr>
        <w:pStyle w:val="Heading3"/>
      </w:pPr>
      <w:r>
        <w:t xml:space="preserve">Canadá</w:t>
      </w:r>
    </w:p>
    <w:p>
      <w:pPr>
        <w:pStyle w:val="FirstParagraph"/>
      </w:pPr>
      <w:r>
        <w:t xml:space="preserve">Use Job Bank, servicios provinciales o territoriales de empleo, instituciones públicas, programas de educación para adultos, servicios para recién llegados, programas de empleo para personas con discapacidad y capacitación financiada por empleadores para comparar opciones. Las reglas de financiamiento varían según provincia, territorio, programa, estatus migratorio, situación laboral y elegibilidad individual. Verifique el programa actual antes de depender de un subsidio.</w:t>
      </w:r>
    </w:p>
    <w:bookmarkEnd w:id="49"/>
    <w:bookmarkStart w:id="52" w:name="colombia"/>
    <w:p>
      <w:pPr>
        <w:pStyle w:val="Heading3"/>
      </w:pPr>
      <w:r>
        <w:t xml:space="preserve">Colombia</w:t>
      </w:r>
    </w:p>
    <w:p>
      <w:pPr>
        <w:pStyle w:val="FirstParagraph"/>
      </w:pPr>
      <w:r>
        <w:t xml:space="preserve">El catálogo Betowa del SENA muestra actualmente</w:t>
      </w:r>
      <w:r>
        <w:t xml:space="preserve"> </w:t>
      </w:r>
      <w:r>
        <w:rPr>
          <w:bCs/>
          <w:b/>
        </w:rPr>
        <w:t xml:space="preserve">Servicio al cliente</w:t>
      </w:r>
      <w:r>
        <w:t xml:space="preserve"> </w:t>
      </w:r>
      <w:r>
        <w:t xml:space="preserve">como un</w:t>
      </w:r>
      <w:r>
        <w:t xml:space="preserve"> </w:t>
      </w:r>
      <w:r>
        <w:rPr>
          <w:bCs/>
          <w:b/>
        </w:rPr>
        <w:t xml:space="preserve">curso especial complementario, presencial, de 48 horas</w:t>
      </w:r>
      <w:r>
        <w:t xml:space="preserve"> </w:t>
      </w:r>
      <w:r>
        <w:t xml:space="preserve">en la página citada. La disponibilidad, cohorte, ubicación, modalidad e inscripción pueden cambiar, por lo que debe verificarse la oferta vigente antes de planificar en torno a ella.</w:t>
      </w:r>
    </w:p>
    <w:p>
      <w:pPr>
        <w:pStyle w:val="BodyText"/>
      </w:pPr>
      <w:r>
        <w:t xml:space="preserve">Fuente SENA:</w:t>
      </w:r>
      <w:r>
        <w:t xml:space="preserve"> </w:t>
      </w:r>
      <w:hyperlink r:id="rId50">
        <w:r>
          <w:rPr>
            <w:rStyle w:val="Hyperlink"/>
          </w:rPr>
          <w:t xml:space="preserve">https://betowa.sena.edu.co/oferta/servicio-al-cliente?modality=P&amp;offertype=open&amp;programId=116454</w:t>
        </w:r>
      </w:hyperlink>
    </w:p>
    <w:p>
      <w:pPr>
        <w:pStyle w:val="BodyText"/>
      </w:pPr>
      <w:r>
        <w:t xml:space="preserve">Para investigación de empleo, utilice el Servicio Público de Empleo y vacantes actuales de empleadores:</w:t>
      </w:r>
    </w:p>
    <w:p>
      <w:pPr>
        <w:pStyle w:val="BodyText"/>
      </w:pPr>
      <w:hyperlink r:id="rId51">
        <w:r>
          <w:rPr>
            <w:rStyle w:val="Hyperlink"/>
          </w:rPr>
          <w:t xml:space="preserve">https://www.serviciodeempleo.gov.co/</w:t>
        </w:r>
      </w:hyperlink>
    </w:p>
    <w:p>
      <w:pPr>
        <w:pStyle w:val="BodyText"/>
      </w:pPr>
      <w:r>
        <w:t xml:space="preserve">No pague a un proveedor privado simplemente por información disponible en sistemas públicos, salvo que el programa privado agregue un beneficio verificado que realmente necesite.</w:t>
      </w:r>
    </w:p>
    <w:bookmarkEnd w:id="52"/>
    <w:bookmarkEnd w:id="53"/>
    <w:bookmarkStart w:id="54" w:name="X8571906bf7466d62f702ca33eb7545b7fe58248"/>
    <w:p>
      <w:pPr>
        <w:pStyle w:val="Heading2"/>
      </w:pPr>
      <w:r>
        <w:t xml:space="preserve">9. Accesibilidad y planificación inclusiva de la discapacidad</w:t>
      </w:r>
    </w:p>
    <w:p>
      <w:pPr>
        <w:pStyle w:val="FirstParagraph"/>
      </w:pPr>
      <w:r>
        <w:t xml:space="preserve">El servicio al cliente puede ser compatible con muchas discapacidades cuando las herramientas, los canales de comunicación, el espacio de trabajo, los horarios y la capacitación son accesibles. Las necesidades varían según la persona y el puesto.</w:t>
      </w:r>
    </w:p>
    <w:p>
      <w:pPr>
        <w:pStyle w:val="BodyText"/>
      </w:pPr>
      <w:r>
        <w:t xml:space="preserve">Los posibles apoyos pueden incluir:</w:t>
      </w:r>
    </w:p>
    <w:p>
      <w:pPr>
        <w:numPr>
          <w:ilvl w:val="0"/>
          <w:numId w:val="1014"/>
        </w:numPr>
        <w:pStyle w:val="Compact"/>
      </w:pPr>
      <w:r>
        <w:t xml:space="preserve">lectores de pantalla, ampliación, configuración de alto contraste y navegación por teclado;</w:t>
      </w:r>
    </w:p>
    <w:p>
      <w:pPr>
        <w:numPr>
          <w:ilvl w:val="0"/>
          <w:numId w:val="1014"/>
        </w:numPr>
        <w:pStyle w:val="Compact"/>
      </w:pPr>
      <w:r>
        <w:t xml:space="preserve">voz a texto o dispositivos alternativos de entrada;</w:t>
      </w:r>
    </w:p>
    <w:p>
      <w:pPr>
        <w:numPr>
          <w:ilvl w:val="0"/>
          <w:numId w:val="1014"/>
        </w:numPr>
        <w:pStyle w:val="Compact"/>
      </w:pPr>
      <w:r>
        <w:t xml:space="preserve">subtítulos y transcripciones para llamadas, reuniones y capacitación;</w:t>
      </w:r>
    </w:p>
    <w:p>
      <w:pPr>
        <w:numPr>
          <w:ilvl w:val="0"/>
          <w:numId w:val="1014"/>
        </w:numPr>
        <w:pStyle w:val="Compact"/>
      </w:pPr>
      <w:r>
        <w:t xml:space="preserve">interfaces accesibles de CRM y bases de conocimiento;</w:t>
      </w:r>
    </w:p>
    <w:p>
      <w:pPr>
        <w:numPr>
          <w:ilvl w:val="0"/>
          <w:numId w:val="1014"/>
        </w:numPr>
        <w:pStyle w:val="Compact"/>
      </w:pPr>
      <w:r>
        <w:t xml:space="preserve">reducción de ruido, espacio más silencioso o arreglos remotos/híbridos cuando el trabajo lo permita;</w:t>
      </w:r>
    </w:p>
    <w:p>
      <w:pPr>
        <w:numPr>
          <w:ilvl w:val="0"/>
          <w:numId w:val="1014"/>
        </w:numPr>
        <w:pStyle w:val="Compact"/>
      </w:pPr>
      <w:r>
        <w:t xml:space="preserve">equipo ergonómico;</w:t>
      </w:r>
    </w:p>
    <w:p>
      <w:pPr>
        <w:numPr>
          <w:ilvl w:val="0"/>
          <w:numId w:val="1014"/>
        </w:numPr>
        <w:pStyle w:val="Compact"/>
      </w:pPr>
      <w:r>
        <w:t xml:space="preserve">pausas previsibles o ajustes de horario;</w:t>
      </w:r>
    </w:p>
    <w:p>
      <w:pPr>
        <w:numPr>
          <w:ilvl w:val="0"/>
          <w:numId w:val="1014"/>
        </w:numPr>
        <w:pStyle w:val="Compact"/>
      </w:pPr>
      <w:r>
        <w:t xml:space="preserve">procedimientos escritos, listas de verificación, ejemplos y tiempo adicional de procesamiento cuando sea razonable; y</w:t>
      </w:r>
    </w:p>
    <w:p>
      <w:pPr>
        <w:numPr>
          <w:ilvl w:val="0"/>
          <w:numId w:val="1014"/>
        </w:numPr>
        <w:pStyle w:val="Compact"/>
      </w:pPr>
      <w:r>
        <w:t xml:space="preserve">canales alternativos de comunicación cuando una función esencial pueda realizarse de esa manera.</w:t>
      </w:r>
    </w:p>
    <w:p>
      <w:pPr>
        <w:pStyle w:val="FirstParagraph"/>
      </w:pPr>
      <w:r>
        <w:t xml:space="preserve">Antes de pagar una capacitación, pregunte si la plataforma de aprendizaje, simulaciones, evaluaciones cronometradas, videos, documentos, sistema de supervisión remota y software requerido son accesibles para usted. Pregunte por el proceso para solicitar ajustes y qué documentación se exige.</w:t>
      </w:r>
    </w:p>
    <w:p>
      <w:pPr>
        <w:pStyle w:val="BodyText"/>
      </w:pPr>
      <w:r>
        <w:t xml:space="preserve">La accesibilidad no significa reducir los estándares esenciales del puesto. Significa identificar si las funciones esenciales pueden realizarse con apoyos razonables y legales y si la capacitación y el lugar de trabajo ofrecen acceso significativo.</w:t>
      </w:r>
    </w:p>
    <w:bookmarkEnd w:id="54"/>
    <w:bookmarkStart w:id="59" w:name="X7956c4e15f1e6ef3788f4934287c79ef79ec6fc"/>
    <w:p>
      <w:pPr>
        <w:pStyle w:val="Heading2"/>
      </w:pPr>
      <w:r>
        <w:t xml:space="preserve">10. Privacidad, ciberseguridad, pagos, grabación e IA responsable</w:t>
      </w:r>
    </w:p>
    <w:p>
      <w:pPr>
        <w:pStyle w:val="FirstParagraph"/>
      </w:pPr>
      <w:r>
        <w:t xml:space="preserve">El personal de servicio al cliente es un objetivo frecuente de ingeniería social porque puede ver información de cuentas y puede tener autoridad para restablecer credenciales, cambiar datos de contacto, emitir reembolsos o enrutar transacciones.</w:t>
      </w:r>
    </w:p>
    <w:bookmarkStart w:id="55" w:name="privacidad-e-identidad"/>
    <w:p>
      <w:pPr>
        <w:pStyle w:val="Heading3"/>
      </w:pPr>
      <w:r>
        <w:t xml:space="preserve">Privacidad e identidad</w:t>
      </w:r>
    </w:p>
    <w:p>
      <w:pPr>
        <w:pStyle w:val="FirstParagraph"/>
      </w:pPr>
      <w:r>
        <w:t xml:space="preserve">Siga el método aprobado por el empleador para verificar identidad. No improvise preguntas de seguridad, revele respuestas de autenticación ni utilice información encontrada en redes sociales como sustituto de la verificación obligatoria.</w:t>
      </w:r>
    </w:p>
    <w:p>
      <w:pPr>
        <w:pStyle w:val="BodyText"/>
      </w:pPr>
      <w:r>
        <w:t xml:space="preserve">Recoja y consulte únicamente la información necesaria para la tarea asignada. Evite copiar datos sensibles en notas cuando el sistema aprobado ya los almacena de manera segura.</w:t>
      </w:r>
    </w:p>
    <w:bookmarkEnd w:id="55"/>
    <w:bookmarkStart w:id="56" w:name="límites-de-pago"/>
    <w:p>
      <w:pPr>
        <w:pStyle w:val="Heading3"/>
      </w:pPr>
      <w:r>
        <w:t xml:space="preserve">Límites de pago</w:t>
      </w:r>
    </w:p>
    <w:p>
      <w:pPr>
        <w:pStyle w:val="FirstParagraph"/>
      </w:pPr>
      <w:r>
        <w:t xml:space="preserve">Use únicamente flujos de pago aprobados. No pida a un cliente que envíe datos completos de tarjeta por correo electrónico o chat ordinario, salvo que la organización haya diseñado y aprobado expresamente ese canal seguro. No registre números de tarjeta en notas de texto libre ni archivos personales.</w:t>
      </w:r>
    </w:p>
    <w:bookmarkEnd w:id="56"/>
    <w:bookmarkStart w:id="57" w:name="grabación-de-llamadas-e-interacciones"/>
    <w:p>
      <w:pPr>
        <w:pStyle w:val="Heading3"/>
      </w:pPr>
      <w:r>
        <w:t xml:space="preserve">Grabación de llamadas e interacciones</w:t>
      </w:r>
    </w:p>
    <w:p>
      <w:pPr>
        <w:pStyle w:val="FirstParagraph"/>
      </w:pPr>
      <w:r>
        <w:t xml:space="preserve">Las reglas de grabación y monitoreo varían por jurisdicción. Siga el procedimiento legal y de cumplimiento vigente del empleador. No asuma que un guion aceptable en un país o estado es legal en todos los lugares.</w:t>
      </w:r>
    </w:p>
    <w:bookmarkEnd w:id="57"/>
    <w:bookmarkStart w:id="58" w:name="ia-responsable"/>
    <w:p>
      <w:pPr>
        <w:pStyle w:val="Heading3"/>
      </w:pPr>
      <w:r>
        <w:t xml:space="preserve">IA responsable</w:t>
      </w:r>
    </w:p>
    <w:p>
      <w:pPr>
        <w:pStyle w:val="FirstParagraph"/>
      </w:pPr>
      <w:r>
        <w:t xml:space="preserve">Las herramientas de IA aprobadas pueden ayudar a resumir un caso, recuperar conocimiento, redactar una respuesta, clasificar un ticket o sugerir pasos siguientes. También pueden alucinar, exponer información confidencial, reproducir sesgos o hacer una recomendación que exceda la autoridad del trabajador.</w:t>
      </w:r>
    </w:p>
    <w:p>
      <w:pPr>
        <w:pStyle w:val="BodyText"/>
      </w:pPr>
      <w:r>
        <w:t xml:space="preserve">Use la IA como apoyo, no como autoridad sin revisión:</w:t>
      </w:r>
    </w:p>
    <w:p>
      <w:pPr>
        <w:numPr>
          <w:ilvl w:val="0"/>
          <w:numId w:val="1015"/>
        </w:numPr>
        <w:pStyle w:val="Compact"/>
      </w:pPr>
      <w:r>
        <w:t xml:space="preserve">Utilice únicamente herramientas y datos aprobados.</w:t>
      </w:r>
    </w:p>
    <w:p>
      <w:pPr>
        <w:numPr>
          <w:ilvl w:val="0"/>
          <w:numId w:val="1015"/>
        </w:numPr>
        <w:pStyle w:val="Compact"/>
      </w:pPr>
      <w:r>
        <w:t xml:space="preserve">Verifique las salidas frente a la base de conocimiento vigente, la política, el registro de cuenta y el procedimiento aplicable.</w:t>
      </w:r>
    </w:p>
    <w:p>
      <w:pPr>
        <w:numPr>
          <w:ilvl w:val="0"/>
          <w:numId w:val="1015"/>
        </w:numPr>
        <w:pStyle w:val="Compact"/>
      </w:pPr>
      <w:r>
        <w:t xml:space="preserve">Nunca invente políticas, precios, reembolsos, derechos legales, orientación de salud o compromisos porque una salida de IA parezca segura.</w:t>
      </w:r>
    </w:p>
    <w:p>
      <w:pPr>
        <w:numPr>
          <w:ilvl w:val="0"/>
          <w:numId w:val="1015"/>
        </w:numPr>
        <w:pStyle w:val="Compact"/>
      </w:pPr>
      <w:r>
        <w:t xml:space="preserve">No pegue secretos, contraseñas, respuestas de autenticación, datos de pago, información de salud, identificadores gubernamentales ni registros confidenciales de clientes en un modelo no aprobado.</w:t>
      </w:r>
    </w:p>
    <w:p>
      <w:pPr>
        <w:numPr>
          <w:ilvl w:val="0"/>
          <w:numId w:val="1015"/>
        </w:numPr>
        <w:pStyle w:val="Compact"/>
      </w:pPr>
      <w:r>
        <w:t xml:space="preserve">Escale cuando la respuesta sea incierta, regulada, sensible a la seguridad o inconsistente con el material fuente.</w:t>
      </w:r>
    </w:p>
    <w:p>
      <w:pPr>
        <w:numPr>
          <w:ilvl w:val="0"/>
          <w:numId w:val="1015"/>
        </w:numPr>
        <w:pStyle w:val="Compact"/>
      </w:pPr>
      <w:r>
        <w:t xml:space="preserve">Documente decisiones humanas materiales cuando lo exija la política.</w:t>
      </w:r>
    </w:p>
    <w:bookmarkEnd w:id="58"/>
    <w:bookmarkEnd w:id="59"/>
    <w:bookmarkStart w:id="60" w:name="X09e3b07805d004734f541cb52197405a8209553"/>
    <w:p>
      <w:pPr>
        <w:pStyle w:val="Heading2"/>
      </w:pPr>
      <w:r>
        <w:t xml:space="preserve">11. Cómo crear evidencia laboral creíble sin exponer datos de clientes</w:t>
      </w:r>
    </w:p>
    <w:p>
      <w:pPr>
        <w:pStyle w:val="FirstParagraph"/>
      </w:pPr>
      <w:r>
        <w:t xml:space="preserve">Un portafolio de servicio al cliente no debe contener registros reales de clientes, capturas de pantalla, grabaciones, números de cuenta, información de pago, guiones confidenciales, métricas internas ni contenido propietario de bases de conocimiento salvo que el empleador haya autorizado expresamente su uso público.</w:t>
      </w:r>
    </w:p>
    <w:p>
      <w:pPr>
        <w:pStyle w:val="BodyText"/>
      </w:pPr>
      <w:r>
        <w:t xml:space="preserve">Evidencias más seguras incluyen ejemplos ficticios o sanitizados como:</w:t>
      </w:r>
    </w:p>
    <w:p>
      <w:pPr>
        <w:numPr>
          <w:ilvl w:val="0"/>
          <w:numId w:val="1016"/>
        </w:numPr>
        <w:pStyle w:val="Compact"/>
      </w:pPr>
      <w:r>
        <w:t xml:space="preserve">un ticket de muestra con definición clara del problema, solución, escalamiento y cierre;</w:t>
      </w:r>
    </w:p>
    <w:p>
      <w:pPr>
        <w:numPr>
          <w:ilvl w:val="0"/>
          <w:numId w:val="1016"/>
        </w:numPr>
        <w:pStyle w:val="Compact"/>
      </w:pPr>
      <w:r>
        <w:t xml:space="preserve">un escenario ficticio con un cliente difícil y una respuesta profesional;</w:t>
      </w:r>
    </w:p>
    <w:p>
      <w:pPr>
        <w:numPr>
          <w:ilvl w:val="0"/>
          <w:numId w:val="1016"/>
        </w:numPr>
        <w:pStyle w:val="Compact"/>
      </w:pPr>
      <w:r>
        <w:t xml:space="preserve">un artículo breve de base de conocimiento redactado en lenguaje claro;</w:t>
      </w:r>
    </w:p>
    <w:p>
      <w:pPr>
        <w:numPr>
          <w:ilvl w:val="0"/>
          <w:numId w:val="1016"/>
        </w:numPr>
        <w:pStyle w:val="Compact"/>
      </w:pPr>
      <w:r>
        <w:t xml:space="preserve">una respuesta de correo o chat consciente de la accesibilidad;</w:t>
      </w:r>
    </w:p>
    <w:p>
      <w:pPr>
        <w:numPr>
          <w:ilvl w:val="0"/>
          <w:numId w:val="1016"/>
        </w:numPr>
        <w:pStyle w:val="Compact"/>
      </w:pPr>
      <w:r>
        <w:t xml:space="preserve">un árbol de decisión de muestra para clasificación de casos;</w:t>
      </w:r>
    </w:p>
    <w:p>
      <w:pPr>
        <w:numPr>
          <w:ilvl w:val="0"/>
          <w:numId w:val="1016"/>
        </w:numPr>
        <w:pStyle w:val="Compact"/>
      </w:pPr>
      <w:r>
        <w:t xml:space="preserve">una hoja de cálculo con volúmenes y categorías ficticias de servicio;</w:t>
      </w:r>
    </w:p>
    <w:p>
      <w:pPr>
        <w:numPr>
          <w:ilvl w:val="0"/>
          <w:numId w:val="1016"/>
        </w:numPr>
        <w:pStyle w:val="Compact"/>
      </w:pPr>
      <w:r>
        <w:t xml:space="preserve">una lista de control de calidad para documentación; o</w:t>
      </w:r>
    </w:p>
    <w:p>
      <w:pPr>
        <w:numPr>
          <w:ilvl w:val="0"/>
          <w:numId w:val="1016"/>
        </w:numPr>
        <w:pStyle w:val="Compact"/>
      </w:pPr>
      <w:r>
        <w:t xml:space="preserve">una reflexión breve que explique cómo se aplicaron controles de privacidad, fraude e IA.</w:t>
      </w:r>
    </w:p>
    <w:p>
      <w:pPr>
        <w:pStyle w:val="FirstParagraph"/>
      </w:pPr>
      <w:r>
        <w:t xml:space="preserve">Etiquete claramente las simulaciones. Nunca insinúe que un trabajo ficticio se realizó para un empleador o cliente real.</w:t>
      </w:r>
    </w:p>
    <w:bookmarkEnd w:id="60"/>
    <w:bookmarkStart w:id="61" w:name="X64f5c150aee78e39bee1e43c0b9afb18f2052c3"/>
    <w:p>
      <w:pPr>
        <w:pStyle w:val="Heading2"/>
      </w:pPr>
      <w:r>
        <w:t xml:space="preserve">12. Preparación de hoja de vida, solicitud e entrevista</w:t>
      </w:r>
    </w:p>
    <w:p>
      <w:pPr>
        <w:pStyle w:val="FirstParagraph"/>
      </w:pPr>
      <w:r>
        <w:t xml:space="preserve">Use evidencia verdadera. Los buenos logros en una hoja de vida describen lo que hizo, el alcance, el resultado cuando se conoce y el método, sin inventar métricas.</w:t>
      </w:r>
    </w:p>
    <w:p>
      <w:pPr>
        <w:pStyle w:val="BodyText"/>
      </w:pPr>
      <w:r>
        <w:t xml:space="preserve">Ejemplos de categorías de evidencia honesta incluyen:</w:t>
      </w:r>
    </w:p>
    <w:p>
      <w:pPr>
        <w:numPr>
          <w:ilvl w:val="0"/>
          <w:numId w:val="1017"/>
        </w:numPr>
        <w:pStyle w:val="Compact"/>
      </w:pPr>
      <w:r>
        <w:t xml:space="preserve">canales atendidos: teléfono, correo electrónico, chat, tickets, presencial;</w:t>
      </w:r>
    </w:p>
    <w:p>
      <w:pPr>
        <w:numPr>
          <w:ilvl w:val="0"/>
          <w:numId w:val="1017"/>
        </w:numPr>
        <w:pStyle w:val="Compact"/>
      </w:pPr>
      <w:r>
        <w:t xml:space="preserve">industrias o grupos de clientes apoyados;</w:t>
      </w:r>
    </w:p>
    <w:p>
      <w:pPr>
        <w:numPr>
          <w:ilvl w:val="0"/>
          <w:numId w:val="1017"/>
        </w:numPr>
        <w:pStyle w:val="Compact"/>
      </w:pPr>
      <w:r>
        <w:t xml:space="preserve">sistemas utilizados;</w:t>
      </w:r>
    </w:p>
    <w:p>
      <w:pPr>
        <w:numPr>
          <w:ilvl w:val="0"/>
          <w:numId w:val="1017"/>
        </w:numPr>
        <w:pStyle w:val="Compact"/>
      </w:pPr>
      <w:r>
        <w:t xml:space="preserve">idiomas usados profesionalmente;</w:t>
      </w:r>
    </w:p>
    <w:p>
      <w:pPr>
        <w:numPr>
          <w:ilvl w:val="0"/>
          <w:numId w:val="1017"/>
        </w:numPr>
        <w:pStyle w:val="Compact"/>
      </w:pPr>
      <w:r>
        <w:t xml:space="preserve">tipos de problemas resueltos o escalados;</w:t>
      </w:r>
    </w:p>
    <w:p>
      <w:pPr>
        <w:numPr>
          <w:ilvl w:val="0"/>
          <w:numId w:val="1017"/>
        </w:numPr>
        <w:pStyle w:val="Compact"/>
      </w:pPr>
      <w:r>
        <w:t xml:space="preserve">responsabilidades de documentación y calidad;</w:t>
      </w:r>
    </w:p>
    <w:p>
      <w:pPr>
        <w:numPr>
          <w:ilvl w:val="0"/>
          <w:numId w:val="1017"/>
        </w:numPr>
        <w:pStyle w:val="Compact"/>
      </w:pPr>
      <w:r>
        <w:t xml:space="preserve">procedimientos de privacidad o autenticación seguidos;</w:t>
      </w:r>
    </w:p>
    <w:p>
      <w:pPr>
        <w:numPr>
          <w:ilvl w:val="0"/>
          <w:numId w:val="1017"/>
        </w:numPr>
        <w:pStyle w:val="Compact"/>
      </w:pPr>
      <w:r>
        <w:t xml:space="preserve">capacitación o mentoría proporcionada; y</w:t>
      </w:r>
    </w:p>
    <w:p>
      <w:pPr>
        <w:numPr>
          <w:ilvl w:val="0"/>
          <w:numId w:val="1017"/>
        </w:numPr>
        <w:pStyle w:val="Compact"/>
      </w:pPr>
      <w:r>
        <w:t xml:space="preserve">mejoras de procesos apoyadas.</w:t>
      </w:r>
    </w:p>
    <w:p>
      <w:pPr>
        <w:pStyle w:val="FirstParagraph"/>
      </w:pPr>
      <w:r>
        <w:t xml:space="preserve">Si no tiene un título directo de servicio al cliente, la experiencia transferible puede provenir de hotelería, comercio minorista, cuidado de personas, educación, administración, servicio comunitario, soporte técnico, recepción, soporte de ventas, voluntariado, servicio militar o negocio familiar. Describa las tareas reales con clientes en lugar de cambiar su título.</w:t>
      </w:r>
    </w:p>
    <w:p>
      <w:pPr>
        <w:pStyle w:val="BodyText"/>
      </w:pPr>
      <w:r>
        <w:t xml:space="preserve">Prepare ejemplos de entrevista sobre:</w:t>
      </w:r>
    </w:p>
    <w:p>
      <w:pPr>
        <w:numPr>
          <w:ilvl w:val="0"/>
          <w:numId w:val="1018"/>
        </w:numPr>
        <w:pStyle w:val="Compact"/>
      </w:pPr>
      <w:r>
        <w:t xml:space="preserve">un cliente molesto;</w:t>
      </w:r>
    </w:p>
    <w:p>
      <w:pPr>
        <w:numPr>
          <w:ilvl w:val="0"/>
          <w:numId w:val="1018"/>
        </w:numPr>
        <w:pStyle w:val="Compact"/>
      </w:pPr>
      <w:r>
        <w:t xml:space="preserve">un problema que no pudo resolver inmediatamente;</w:t>
      </w:r>
    </w:p>
    <w:p>
      <w:pPr>
        <w:numPr>
          <w:ilvl w:val="0"/>
          <w:numId w:val="1018"/>
        </w:numPr>
        <w:pStyle w:val="Compact"/>
      </w:pPr>
      <w:r>
        <w:t xml:space="preserve">una ocasión en que siguió una política a pesar de presión;</w:t>
      </w:r>
    </w:p>
    <w:p>
      <w:pPr>
        <w:numPr>
          <w:ilvl w:val="0"/>
          <w:numId w:val="1018"/>
        </w:numPr>
        <w:pStyle w:val="Compact"/>
      </w:pPr>
      <w:r>
        <w:t xml:space="preserve">una preocupación de privacidad o seguridad;</w:t>
      </w:r>
    </w:p>
    <w:p>
      <w:pPr>
        <w:numPr>
          <w:ilvl w:val="0"/>
          <w:numId w:val="1018"/>
        </w:numPr>
        <w:pStyle w:val="Compact"/>
      </w:pPr>
      <w:r>
        <w:t xml:space="preserve">un error que corrigió;</w:t>
      </w:r>
    </w:p>
    <w:p>
      <w:pPr>
        <w:numPr>
          <w:ilvl w:val="0"/>
          <w:numId w:val="1018"/>
        </w:numPr>
        <w:pStyle w:val="Compact"/>
      </w:pPr>
      <w:r>
        <w:t xml:space="preserve">aprendizaje de un sistema nuevo;</w:t>
      </w:r>
    </w:p>
    <w:p>
      <w:pPr>
        <w:numPr>
          <w:ilvl w:val="0"/>
          <w:numId w:val="1018"/>
        </w:numPr>
        <w:pStyle w:val="Compact"/>
      </w:pPr>
      <w:r>
        <w:t xml:space="preserve">equilibrio entre velocidad y precisión; y</w:t>
      </w:r>
    </w:p>
    <w:p>
      <w:pPr>
        <w:numPr>
          <w:ilvl w:val="0"/>
          <w:numId w:val="1018"/>
        </w:numPr>
        <w:pStyle w:val="Compact"/>
      </w:pPr>
      <w:r>
        <w:t xml:space="preserve">trabajo con alguien cuyo estilo de comunicación era diferente al suyo.</w:t>
      </w:r>
    </w:p>
    <w:bookmarkEnd w:id="61"/>
    <w:bookmarkStart w:id="65" w:name="Xb8a95dc9a754fb0349e88c1fb98e406147b6c8c"/>
    <w:p>
      <w:pPr>
        <w:pStyle w:val="Heading2"/>
      </w:pPr>
      <w:r>
        <w:t xml:space="preserve">13. Primeros 30, 60 y 90 días</w:t>
      </w:r>
    </w:p>
    <w:bookmarkStart w:id="62" w:name="primeros-30-días"/>
    <w:p>
      <w:pPr>
        <w:pStyle w:val="Heading3"/>
      </w:pPr>
      <w:r>
        <w:t xml:space="preserve">Primeros 30 días</w:t>
      </w:r>
    </w:p>
    <w:p>
      <w:pPr>
        <w:pStyle w:val="FirstParagraph"/>
      </w:pPr>
      <w:r>
        <w:t xml:space="preserve">Concéntrese en conocimiento del producto, políticas, controles de identidad, privacidad, escalamiento, guiones obligatorios, sistemas, estándares de documentación, procedimientos de accesibilidad y expectativas de calidad. Pregunte antes de crear atajos.</w:t>
      </w:r>
    </w:p>
    <w:bookmarkEnd w:id="62"/>
    <w:bookmarkStart w:id="63" w:name="días-3160"/>
    <w:p>
      <w:pPr>
        <w:pStyle w:val="Heading3"/>
      </w:pPr>
      <w:r>
        <w:t xml:space="preserve">Días 31–60</w:t>
      </w:r>
    </w:p>
    <w:p>
      <w:pPr>
        <w:pStyle w:val="FirstParagraph"/>
      </w:pPr>
      <w:r>
        <w:t xml:space="preserve">Desarrolle consistencia. Revise retroalimentación de calidad, motivos comunes de contacto, patrones de excepción, vacíos de la base de conocimiento, contactos repetidos y errores propios de documentación. Aprenda qué asuntos requieren escalamiento a especialistas.</w:t>
      </w:r>
    </w:p>
    <w:bookmarkEnd w:id="63"/>
    <w:bookmarkStart w:id="64" w:name="días-6190"/>
    <w:p>
      <w:pPr>
        <w:pStyle w:val="Heading3"/>
      </w:pPr>
      <w:r>
        <w:t xml:space="preserve">Días 61–90</w:t>
      </w:r>
    </w:p>
    <w:p>
      <w:pPr>
        <w:pStyle w:val="FirstParagraph"/>
      </w:pPr>
      <w:r>
        <w:t xml:space="preserve">Busque mejoras seguras: documentación más clara, mejores artículos de conocimiento, identificación de problemas recurrentes, mejoras de accesibilidad, menos retrabajo o mejores transferencias. No optimice una métrica de velocidad omitiendo controles o cerrando casos no resueltos.</w:t>
      </w:r>
    </w:p>
    <w:bookmarkEnd w:id="64"/>
    <w:bookmarkEnd w:id="65"/>
    <w:bookmarkStart w:id="66" w:name="X6d1020cf733b16461287a424bf35edafdeaca0d"/>
    <w:p>
      <w:pPr>
        <w:pStyle w:val="Heading2"/>
      </w:pPr>
      <w:r>
        <w:t xml:space="preserve">14. Avance y rutas adyacentes</w:t>
      </w:r>
    </w:p>
    <w:p>
      <w:pPr>
        <w:pStyle w:val="FirstParagraph"/>
      </w:pPr>
      <w:r>
        <w:t xml:space="preserve">El servicio al cliente puede desarrollar conocimiento transferible sobre clientes, sistemas, productos, fallas operativas y comunicación. Posibles pasos siguientes incluyen:</w:t>
      </w:r>
    </w:p>
    <w:p>
      <w:pPr>
        <w:numPr>
          <w:ilvl w:val="0"/>
          <w:numId w:val="1019"/>
        </w:numPr>
        <w:pStyle w:val="Compact"/>
      </w:pPr>
      <w:r>
        <w:t xml:space="preserve">Representante Senior de Servicio al Cliente;</w:t>
      </w:r>
    </w:p>
    <w:p>
      <w:pPr>
        <w:numPr>
          <w:ilvl w:val="0"/>
          <w:numId w:val="1019"/>
        </w:numPr>
        <w:pStyle w:val="Compact"/>
      </w:pPr>
      <w:r>
        <w:t xml:space="preserve">Analista de Aseguramiento de Calidad;</w:t>
      </w:r>
    </w:p>
    <w:p>
      <w:pPr>
        <w:numPr>
          <w:ilvl w:val="0"/>
          <w:numId w:val="1019"/>
        </w:numPr>
        <w:pStyle w:val="Compact"/>
      </w:pPr>
      <w:r>
        <w:t xml:space="preserve">Capacitador o Facilitador de Aprendizaje;</w:t>
      </w:r>
    </w:p>
    <w:p>
      <w:pPr>
        <w:numPr>
          <w:ilvl w:val="0"/>
          <w:numId w:val="1019"/>
        </w:numPr>
        <w:pStyle w:val="Compact"/>
      </w:pPr>
      <w:r>
        <w:t xml:space="preserve">Líder de Equipo o Supervisor;</w:t>
      </w:r>
    </w:p>
    <w:p>
      <w:pPr>
        <w:numPr>
          <w:ilvl w:val="0"/>
          <w:numId w:val="1019"/>
        </w:numPr>
        <w:pStyle w:val="Compact"/>
      </w:pPr>
      <w:r>
        <w:t xml:space="preserve">Coordinador de Workforce Management;</w:t>
      </w:r>
    </w:p>
    <w:p>
      <w:pPr>
        <w:numPr>
          <w:ilvl w:val="0"/>
          <w:numId w:val="1019"/>
        </w:numPr>
        <w:pStyle w:val="Compact"/>
      </w:pPr>
      <w:r>
        <w:t xml:space="preserve">Analista de Experiencia del Cliente;</w:t>
      </w:r>
    </w:p>
    <w:p>
      <w:pPr>
        <w:numPr>
          <w:ilvl w:val="0"/>
          <w:numId w:val="1019"/>
        </w:numPr>
        <w:pStyle w:val="Compact"/>
      </w:pPr>
      <w:r>
        <w:t xml:space="preserve">Especialista en Gestión del Conocimiento;</w:t>
      </w:r>
    </w:p>
    <w:p>
      <w:pPr>
        <w:numPr>
          <w:ilvl w:val="0"/>
          <w:numId w:val="1019"/>
        </w:numPr>
        <w:pStyle w:val="Compact"/>
      </w:pPr>
      <w:r>
        <w:t xml:space="preserve">Servicios de Cuenta o al Cliente;</w:t>
      </w:r>
    </w:p>
    <w:p>
      <w:pPr>
        <w:numPr>
          <w:ilvl w:val="0"/>
          <w:numId w:val="1019"/>
        </w:numPr>
        <w:pStyle w:val="Compact"/>
      </w:pPr>
      <w:r>
        <w:t xml:space="preserve">Customer Success;</w:t>
      </w:r>
    </w:p>
    <w:p>
      <w:pPr>
        <w:numPr>
          <w:ilvl w:val="0"/>
          <w:numId w:val="1019"/>
        </w:numPr>
        <w:pStyle w:val="Compact"/>
      </w:pPr>
      <w:r>
        <w:t xml:space="preserve">Coordinador de Operaciones;</w:t>
      </w:r>
    </w:p>
    <w:p>
      <w:pPr>
        <w:numPr>
          <w:ilvl w:val="0"/>
          <w:numId w:val="1019"/>
        </w:numPr>
        <w:pStyle w:val="Compact"/>
      </w:pPr>
      <w:r>
        <w:t xml:space="preserve">Soporte Técnico;</w:t>
      </w:r>
    </w:p>
    <w:p>
      <w:pPr>
        <w:numPr>
          <w:ilvl w:val="0"/>
          <w:numId w:val="1019"/>
        </w:numPr>
        <w:pStyle w:val="Compact"/>
      </w:pPr>
      <w:r>
        <w:t xml:space="preserve">Operaciones de Fraude o soporte de Trust and Safety; y</w:t>
      </w:r>
    </w:p>
    <w:p>
      <w:pPr>
        <w:numPr>
          <w:ilvl w:val="0"/>
          <w:numId w:val="1019"/>
        </w:numPr>
        <w:pStyle w:val="Compact"/>
      </w:pPr>
      <w:r>
        <w:t xml:space="preserve">funciones de procesos de servicio o análisis de negocio.</w:t>
      </w:r>
    </w:p>
    <w:p>
      <w:pPr>
        <w:pStyle w:val="FirstParagraph"/>
      </w:pPr>
      <w:r>
        <w:t xml:space="preserve">El avance no es automático. Construya evidencia de criterio, calidad de documentación, comprensión de procesos, coaching, alfabetización de datos, comunicación interfuncional, conciencia de accesibilidad y uso responsable de tecnología.</w:t>
      </w:r>
    </w:p>
    <w:bookmarkEnd w:id="66"/>
    <w:bookmarkStart w:id="67" w:name="Xebad927875ef73fc76975cd0f392c690779bf87"/>
    <w:p>
      <w:pPr>
        <w:pStyle w:val="Heading2"/>
      </w:pPr>
      <w:r>
        <w:t xml:space="preserve">15. Antes de inscribirse en cualquier programa pago</w:t>
      </w:r>
    </w:p>
    <w:p>
      <w:pPr>
        <w:pStyle w:val="FirstParagraph"/>
      </w:pPr>
      <w:r>
        <w:t xml:space="preserve">Solicite por escrito:</w:t>
      </w:r>
    </w:p>
    <w:p>
      <w:pPr>
        <w:numPr>
          <w:ilvl w:val="0"/>
          <w:numId w:val="1020"/>
        </w:numPr>
        <w:pStyle w:val="Compact"/>
      </w:pPr>
      <w:r>
        <w:t xml:space="preserve">precio total y todos los cargos obligatorios;</w:t>
      </w:r>
    </w:p>
    <w:p>
      <w:pPr>
        <w:numPr>
          <w:ilvl w:val="0"/>
          <w:numId w:val="1020"/>
        </w:numPr>
        <w:pStyle w:val="Compact"/>
      </w:pPr>
      <w:r>
        <w:t xml:space="preserve">política de reembolso y retiro;</w:t>
      </w:r>
    </w:p>
    <w:p>
      <w:pPr>
        <w:numPr>
          <w:ilvl w:val="0"/>
          <w:numId w:val="1020"/>
        </w:numPr>
        <w:pStyle w:val="Compact"/>
      </w:pPr>
      <w:r>
        <w:t xml:space="preserve">costos de hardware, software, internet, viajes o supervisión de exámenes;</w:t>
      </w:r>
    </w:p>
    <w:p>
      <w:pPr>
        <w:numPr>
          <w:ilvl w:val="0"/>
          <w:numId w:val="1020"/>
        </w:numPr>
        <w:pStyle w:val="Compact"/>
      </w:pPr>
      <w:r>
        <w:t xml:space="preserve">si la credencial es obligatoria por ley, solicitada por empleadores o simplemente ofrecida por el proveedor;</w:t>
      </w:r>
    </w:p>
    <w:p>
      <w:pPr>
        <w:numPr>
          <w:ilvl w:val="0"/>
          <w:numId w:val="1020"/>
        </w:numPr>
        <w:pStyle w:val="Compact"/>
      </w:pPr>
      <w:r>
        <w:t xml:space="preserve">quién reconoce la credencial;</w:t>
      </w:r>
    </w:p>
    <w:p>
      <w:pPr>
        <w:numPr>
          <w:ilvl w:val="0"/>
          <w:numId w:val="1020"/>
        </w:numPr>
        <w:pStyle w:val="Compact"/>
      </w:pPr>
      <w:r>
        <w:t xml:space="preserve">si los créditos se transfieren y a qué instituciones;</w:t>
      </w:r>
    </w:p>
    <w:p>
      <w:pPr>
        <w:numPr>
          <w:ilvl w:val="0"/>
          <w:numId w:val="1020"/>
        </w:numPr>
        <w:pStyle w:val="Compact"/>
      </w:pPr>
      <w:r>
        <w:t xml:space="preserve">proceso de accesibilidad y ajustes;</w:t>
      </w:r>
    </w:p>
    <w:p>
      <w:pPr>
        <w:numPr>
          <w:ilvl w:val="0"/>
          <w:numId w:val="1020"/>
        </w:numPr>
        <w:pStyle w:val="Compact"/>
      </w:pPr>
      <w:r>
        <w:t xml:space="preserve">metodología de finalización y colocación, incluido el denominador utilizado;</w:t>
      </w:r>
    </w:p>
    <w:p>
      <w:pPr>
        <w:numPr>
          <w:ilvl w:val="0"/>
          <w:numId w:val="1020"/>
        </w:numPr>
        <w:pStyle w:val="Compact"/>
      </w:pPr>
      <w:r>
        <w:t xml:space="preserve">condiciones de pasantía o práctica;</w:t>
      </w:r>
    </w:p>
    <w:p>
      <w:pPr>
        <w:numPr>
          <w:ilvl w:val="0"/>
          <w:numId w:val="1020"/>
        </w:numPr>
        <w:pStyle w:val="Compact"/>
      </w:pPr>
      <w:r>
        <w:t xml:space="preserve">obligaciones de reembolso al empleador cuando correspondan; y</w:t>
      </w:r>
    </w:p>
    <w:p>
      <w:pPr>
        <w:numPr>
          <w:ilvl w:val="0"/>
          <w:numId w:val="1020"/>
        </w:numPr>
        <w:pStyle w:val="Compact"/>
      </w:pPr>
      <w:r>
        <w:t xml:space="preserve">procedimientos de reclamación y cancelación.</w:t>
      </w:r>
    </w:p>
    <w:p>
      <w:pPr>
        <w:pStyle w:val="FirstParagraph"/>
      </w:pPr>
      <w:r>
        <w:t xml:space="preserve">Revise ofertas de empleo reales antes de asumir que una credencial tiene valor en el mercado laboral.</w:t>
      </w:r>
    </w:p>
    <w:bookmarkEnd w:id="67"/>
    <w:bookmarkStart w:id="68" w:name="X34fd53dd22bbc0d537ec56f2aaaeaecab9b5bbc"/>
    <w:p>
      <w:pPr>
        <w:pStyle w:val="Heading2"/>
      </w:pPr>
      <w:r>
        <w:t xml:space="preserve">16. Matriz de decisión profesional</w:t>
      </w:r>
    </w:p>
    <w:p>
      <w:pPr>
        <w:pStyle w:val="FirstParagraph"/>
      </w:pPr>
      <w:r>
        <w:t xml:space="preserve">Califique cada punto de 1 (mal ajuste) a 5 (ajuste fuerte):</w:t>
      </w:r>
    </w:p>
    <w:p>
      <w:pPr>
        <w:numPr>
          <w:ilvl w:val="0"/>
          <w:numId w:val="1021"/>
        </w:numPr>
        <w:pStyle w:val="Compact"/>
      </w:pPr>
      <w:r>
        <w:t xml:space="preserve">interés en ayudar a las personas a resolver problemas;</w:t>
      </w:r>
    </w:p>
    <w:p>
      <w:pPr>
        <w:numPr>
          <w:ilvl w:val="0"/>
          <w:numId w:val="1021"/>
        </w:numPr>
        <w:pStyle w:val="Compact"/>
      </w:pPr>
      <w:r>
        <w:t xml:space="preserve">tolerancia a contactos repetitivos;</w:t>
      </w:r>
    </w:p>
    <w:p>
      <w:pPr>
        <w:numPr>
          <w:ilvl w:val="0"/>
          <w:numId w:val="1021"/>
        </w:numPr>
        <w:pStyle w:val="Compact"/>
      </w:pPr>
      <w:r>
        <w:t xml:space="preserve">comodidad con desempeño medido;</w:t>
      </w:r>
    </w:p>
    <w:p>
      <w:pPr>
        <w:numPr>
          <w:ilvl w:val="0"/>
          <w:numId w:val="1021"/>
        </w:numPr>
        <w:pStyle w:val="Compact"/>
      </w:pPr>
      <w:r>
        <w:t xml:space="preserve">ajuste de comunicación;</w:t>
      </w:r>
    </w:p>
    <w:p>
      <w:pPr>
        <w:numPr>
          <w:ilvl w:val="0"/>
          <w:numId w:val="1021"/>
        </w:numPr>
        <w:pStyle w:val="Compact"/>
      </w:pPr>
      <w:r>
        <w:t xml:space="preserve">ajuste de horario;</w:t>
      </w:r>
    </w:p>
    <w:p>
      <w:pPr>
        <w:numPr>
          <w:ilvl w:val="0"/>
          <w:numId w:val="1021"/>
        </w:numPr>
        <w:pStyle w:val="Compact"/>
      </w:pPr>
      <w:r>
        <w:t xml:space="preserve">ajuste de accesibilidad;</w:t>
      </w:r>
    </w:p>
    <w:p>
      <w:pPr>
        <w:numPr>
          <w:ilvl w:val="0"/>
          <w:numId w:val="1021"/>
        </w:numPr>
        <w:pStyle w:val="Compact"/>
      </w:pPr>
      <w:r>
        <w:t xml:space="preserve">sostenibilidad emocional;</w:t>
      </w:r>
    </w:p>
    <w:p>
      <w:pPr>
        <w:numPr>
          <w:ilvl w:val="0"/>
          <w:numId w:val="1021"/>
        </w:numPr>
        <w:pStyle w:val="Compact"/>
      </w:pPr>
      <w:r>
        <w:t xml:space="preserve">responsabilidad de privacidad y seguridad;</w:t>
      </w:r>
    </w:p>
    <w:p>
      <w:pPr>
        <w:numPr>
          <w:ilvl w:val="0"/>
          <w:numId w:val="1021"/>
        </w:numPr>
        <w:pStyle w:val="Compact"/>
      </w:pPr>
      <w:r>
        <w:t xml:space="preserve">comodidad para aprender tecnología;</w:t>
      </w:r>
    </w:p>
    <w:p>
      <w:pPr>
        <w:numPr>
          <w:ilvl w:val="0"/>
          <w:numId w:val="1021"/>
        </w:numPr>
        <w:pStyle w:val="Compact"/>
      </w:pPr>
      <w:r>
        <w:t xml:space="preserve">salarios y beneficios locales realistas;</w:t>
      </w:r>
    </w:p>
    <w:p>
      <w:pPr>
        <w:numPr>
          <w:ilvl w:val="0"/>
          <w:numId w:val="1021"/>
        </w:numPr>
        <w:pStyle w:val="Compact"/>
      </w:pPr>
      <w:r>
        <w:t xml:space="preserve">costo de capacitación;</w:t>
      </w:r>
    </w:p>
    <w:p>
      <w:pPr>
        <w:numPr>
          <w:ilvl w:val="0"/>
          <w:numId w:val="1021"/>
        </w:numPr>
        <w:pStyle w:val="Compact"/>
      </w:pPr>
      <w:r>
        <w:t xml:space="preserve">disponibilidad de alternativas gratuitas o financiadas por empleadores;</w:t>
      </w:r>
    </w:p>
    <w:p>
      <w:pPr>
        <w:numPr>
          <w:ilvl w:val="0"/>
          <w:numId w:val="1021"/>
        </w:numPr>
        <w:pStyle w:val="Compact"/>
      </w:pPr>
      <w:r>
        <w:t xml:space="preserve">potencial de avance; y</w:t>
      </w:r>
    </w:p>
    <w:p>
      <w:pPr>
        <w:numPr>
          <w:ilvl w:val="0"/>
          <w:numId w:val="1021"/>
        </w:numPr>
        <w:pStyle w:val="Compact"/>
      </w:pPr>
      <w:r>
        <w:t xml:space="preserve">compatibilidad con familia, transporte, salud y responsabilidades de cuidado.</w:t>
      </w:r>
    </w:p>
    <w:p>
      <w:pPr>
        <w:pStyle w:val="FirstParagraph"/>
      </w:pPr>
      <w:r>
        <w:t xml:space="preserve">Una calificación baja es información, no fracaso. Puede indicar que conviene otro canal de servicio, industria, horario u ocupación adyacente.</w:t>
      </w:r>
    </w:p>
    <w:bookmarkEnd w:id="68"/>
    <w:bookmarkStart w:id="75" w:name="Xf4d5efcbcc8a202066572a328e004e987b418cb"/>
    <w:p>
      <w:pPr>
        <w:pStyle w:val="Heading2"/>
      </w:pPr>
      <w:r>
        <w:t xml:space="preserve">17. Plan de exploración de doce semanas y bajo costo</w:t>
      </w:r>
    </w:p>
    <w:bookmarkStart w:id="69" w:name="semanas-12-investigar"/>
    <w:p>
      <w:pPr>
        <w:pStyle w:val="Heading3"/>
      </w:pPr>
      <w:r>
        <w:t xml:space="preserve">Semanas 1–2: investigar</w:t>
      </w:r>
    </w:p>
    <w:p>
      <w:pPr>
        <w:pStyle w:val="FirstParagraph"/>
      </w:pPr>
      <w:r>
        <w:t xml:space="preserve">Lea 20–30 vacantes locales actuales. Registre títulos, salario, horario, idioma, canales, educación, software, industria y experiencia requerida. Compárelos con las fuentes ocupacionales oficiales de esta guía.</w:t>
      </w:r>
    </w:p>
    <w:bookmarkEnd w:id="69"/>
    <w:bookmarkStart w:id="70" w:name="semanas-34-desarrollar-fundamentos"/>
    <w:p>
      <w:pPr>
        <w:pStyle w:val="Heading3"/>
      </w:pPr>
      <w:r>
        <w:t xml:space="preserve">Semanas 3–4: desarrollar fundamentos</w:t>
      </w:r>
    </w:p>
    <w:p>
      <w:pPr>
        <w:pStyle w:val="FirstParagraph"/>
      </w:pPr>
      <w:r>
        <w:t xml:space="preserve">Practique redacción profesional de correo/chat, mecanografía, hojas de cálculo básicas, conciencia de privacidad, conceptos de autenticación, desescalamiento y documentación clara mediante recursos gratuitos.</w:t>
      </w:r>
    </w:p>
    <w:bookmarkEnd w:id="70"/>
    <w:bookmarkStart w:id="71" w:name="semanas-56-simular"/>
    <w:p>
      <w:pPr>
        <w:pStyle w:val="Heading3"/>
      </w:pPr>
      <w:r>
        <w:t xml:space="preserve">Semanas 5–6: simular</w:t>
      </w:r>
    </w:p>
    <w:p>
      <w:pPr>
        <w:pStyle w:val="FirstParagraph"/>
      </w:pPr>
      <w:r>
        <w:t xml:space="preserve">Cree tickets ficticios, escenarios de clientes, notas de casos y decisiones de escalamiento. Practique explicar una política con lenguaje claro sin inventar excepciones.</w:t>
      </w:r>
    </w:p>
    <w:bookmarkEnd w:id="71"/>
    <w:bookmarkStart w:id="72" w:name="semanas-78-probar-tecnología"/>
    <w:p>
      <w:pPr>
        <w:pStyle w:val="Heading3"/>
      </w:pPr>
      <w:r>
        <w:t xml:space="preserve">Semanas 7–8: probar tecnología</w:t>
      </w:r>
    </w:p>
    <w:p>
      <w:pPr>
        <w:pStyle w:val="FirstParagraph"/>
      </w:pPr>
      <w:r>
        <w:t xml:space="preserve">Aprenda los conceptos detrás de CRM, tickets, bases de conocimiento, canales de contacto y asistencia de IA aprobada. Use pruebas gratuitas o simulaciones solo cuando las condiciones sean seguras y no intervengan datos reales de clientes.</w:t>
      </w:r>
    </w:p>
    <w:bookmarkEnd w:id="72"/>
    <w:bookmarkStart w:id="73" w:name="semanas-910-verificar-rutas"/>
    <w:p>
      <w:pPr>
        <w:pStyle w:val="Heading3"/>
      </w:pPr>
      <w:r>
        <w:t xml:space="preserve">Semanas 9–10: verificar rutas</w:t>
      </w:r>
    </w:p>
    <w:p>
      <w:pPr>
        <w:pStyle w:val="FirstParagraph"/>
      </w:pPr>
      <w:r>
        <w:t xml:space="preserve">Revise American Job Centers/WIOA o equivalentes locales, opciones de aprendizaje, apoyo de matrícula del empleador, instituciones públicas, SENA en Colombia, becas y servicios de empleo para personas con discapacidad o recién llegadas cuando correspondan.</w:t>
      </w:r>
    </w:p>
    <w:bookmarkEnd w:id="73"/>
    <w:bookmarkStart w:id="74" w:name="semanas-1112-postularse-y-revisar"/>
    <w:p>
      <w:pPr>
        <w:pStyle w:val="Heading3"/>
      </w:pPr>
      <w:r>
        <w:t xml:space="preserve">Semanas 11–12: postularse y revisar</w:t>
      </w:r>
    </w:p>
    <w:p>
      <w:pPr>
        <w:pStyle w:val="FirstParagraph"/>
      </w:pPr>
      <w:r>
        <w:t xml:space="preserve">Prepare una hoja de vida verdadera, practique entrevistas, envíe solicitudes dirigidas, registre respuestas y reevalúe si una credencial paga es realmente necesaria.</w:t>
      </w:r>
    </w:p>
    <w:bookmarkEnd w:id="74"/>
    <w:bookmarkEnd w:id="75"/>
    <w:bookmarkStart w:id="79" w:name="Xd74f704c4a3790770915d10b78a00a0708f09ab"/>
    <w:p>
      <w:pPr>
        <w:pStyle w:val="Heading2"/>
      </w:pPr>
      <w:r>
        <w:t xml:space="preserve">18. Hojas de trabajo</w:t>
      </w:r>
    </w:p>
    <w:bookmarkStart w:id="76" w:name="muestra-de-empleo-local"/>
    <w:p>
      <w:pPr>
        <w:pStyle w:val="Heading3"/>
      </w:pPr>
      <w:r>
        <w:t xml:space="preserve">Muestra de empleo local</w:t>
      </w:r>
    </w:p>
    <w:p>
      <w:pPr>
        <w:pStyle w:val="FirstParagraph"/>
      </w:pPr>
      <w:r>
        <w:t xml:space="preserve">Para cada vacante registre:</w:t>
      </w:r>
    </w:p>
    <w:p>
      <w:pPr>
        <w:numPr>
          <w:ilvl w:val="0"/>
          <w:numId w:val="1022"/>
        </w:numPr>
        <w:pStyle w:val="Compact"/>
      </w:pPr>
      <w:r>
        <w:t xml:space="preserve">título exacto;</w:t>
      </w:r>
    </w:p>
    <w:p>
      <w:pPr>
        <w:numPr>
          <w:ilvl w:val="0"/>
          <w:numId w:val="1022"/>
        </w:numPr>
        <w:pStyle w:val="Compact"/>
      </w:pPr>
      <w:r>
        <w:t xml:space="preserve">empleador e industria;</w:t>
      </w:r>
    </w:p>
    <w:p>
      <w:pPr>
        <w:numPr>
          <w:ilvl w:val="0"/>
          <w:numId w:val="1022"/>
        </w:numPr>
        <w:pStyle w:val="Compact"/>
      </w:pPr>
      <w:r>
        <w:t xml:space="preserve">ciudad/país;</w:t>
      </w:r>
    </w:p>
    <w:p>
      <w:pPr>
        <w:numPr>
          <w:ilvl w:val="0"/>
          <w:numId w:val="1022"/>
        </w:numPr>
        <w:pStyle w:val="Compact"/>
      </w:pPr>
      <w:r>
        <w:t xml:space="preserve">modalidad remota, híbrida o presencial;</w:t>
      </w:r>
    </w:p>
    <w:p>
      <w:pPr>
        <w:numPr>
          <w:ilvl w:val="0"/>
          <w:numId w:val="1022"/>
        </w:numPr>
        <w:pStyle w:val="Compact"/>
      </w:pPr>
      <w:r>
        <w:t xml:space="preserve">fecha de publicación;</w:t>
      </w:r>
    </w:p>
    <w:p>
      <w:pPr>
        <w:numPr>
          <w:ilvl w:val="0"/>
          <w:numId w:val="1022"/>
        </w:numPr>
        <w:pStyle w:val="Compact"/>
      </w:pPr>
      <w:r>
        <w:t xml:space="preserve">salario base y beneficios si se indican;</w:t>
      </w:r>
    </w:p>
    <w:p>
      <w:pPr>
        <w:numPr>
          <w:ilvl w:val="0"/>
          <w:numId w:val="1022"/>
        </w:numPr>
        <w:pStyle w:val="Compact"/>
      </w:pPr>
      <w:r>
        <w:t xml:space="preserve">horario;</w:t>
      </w:r>
    </w:p>
    <w:p>
      <w:pPr>
        <w:numPr>
          <w:ilvl w:val="0"/>
          <w:numId w:val="1022"/>
        </w:numPr>
        <w:pStyle w:val="Compact"/>
      </w:pPr>
      <w:r>
        <w:t xml:space="preserve">canales atendidos;</w:t>
      </w:r>
    </w:p>
    <w:p>
      <w:pPr>
        <w:numPr>
          <w:ilvl w:val="0"/>
          <w:numId w:val="1022"/>
        </w:numPr>
        <w:pStyle w:val="Compact"/>
      </w:pPr>
      <w:r>
        <w:t xml:space="preserve">idioma(s) requerido(s);</w:t>
      </w:r>
    </w:p>
    <w:p>
      <w:pPr>
        <w:numPr>
          <w:ilvl w:val="0"/>
          <w:numId w:val="1022"/>
        </w:numPr>
        <w:pStyle w:val="Compact"/>
      </w:pPr>
      <w:r>
        <w:t xml:space="preserve">educación y experiencia;</w:t>
      </w:r>
    </w:p>
    <w:p>
      <w:pPr>
        <w:numPr>
          <w:ilvl w:val="0"/>
          <w:numId w:val="1022"/>
        </w:numPr>
        <w:pStyle w:val="Compact"/>
      </w:pPr>
      <w:r>
        <w:t xml:space="preserve">sistemas obligatorios;</w:t>
      </w:r>
    </w:p>
    <w:p>
      <w:pPr>
        <w:numPr>
          <w:ilvl w:val="0"/>
          <w:numId w:val="1022"/>
        </w:numPr>
        <w:pStyle w:val="Compact"/>
      </w:pPr>
      <w:r>
        <w:t xml:space="preserve">funciones de ventas o cobranza;</w:t>
      </w:r>
    </w:p>
    <w:p>
      <w:pPr>
        <w:numPr>
          <w:ilvl w:val="0"/>
          <w:numId w:val="1022"/>
        </w:numPr>
        <w:pStyle w:val="Compact"/>
      </w:pPr>
      <w:r>
        <w:t xml:space="preserve">responsabilidades reguladas;</w:t>
      </w:r>
    </w:p>
    <w:p>
      <w:pPr>
        <w:numPr>
          <w:ilvl w:val="0"/>
          <w:numId w:val="1022"/>
        </w:numPr>
        <w:pStyle w:val="Compact"/>
      </w:pPr>
      <w:r>
        <w:t xml:space="preserve">consideraciones de accesibilidad; y</w:t>
      </w:r>
    </w:p>
    <w:p>
      <w:pPr>
        <w:numPr>
          <w:ilvl w:val="0"/>
          <w:numId w:val="1022"/>
        </w:numPr>
        <w:pStyle w:val="Compact"/>
      </w:pPr>
      <w:r>
        <w:t xml:space="preserve">resultado de la solicitud.</w:t>
      </w:r>
    </w:p>
    <w:bookmarkEnd w:id="76"/>
    <w:bookmarkStart w:id="77" w:name="comparación-de-capacitación"/>
    <w:p>
      <w:pPr>
        <w:pStyle w:val="Heading3"/>
      </w:pPr>
      <w:r>
        <w:t xml:space="preserve">Comparación de capacitación</w:t>
      </w:r>
    </w:p>
    <w:p>
      <w:pPr>
        <w:pStyle w:val="FirstParagraph"/>
      </w:pPr>
      <w:r>
        <w:t xml:space="preserve">Para cada programa registre:</w:t>
      </w:r>
    </w:p>
    <w:p>
      <w:pPr>
        <w:numPr>
          <w:ilvl w:val="0"/>
          <w:numId w:val="1023"/>
        </w:numPr>
        <w:pStyle w:val="Compact"/>
      </w:pPr>
      <w:r>
        <w:t xml:space="preserve">proveedor;</w:t>
      </w:r>
    </w:p>
    <w:p>
      <w:pPr>
        <w:numPr>
          <w:ilvl w:val="0"/>
          <w:numId w:val="1023"/>
        </w:numPr>
        <w:pStyle w:val="Compact"/>
      </w:pPr>
      <w:r>
        <w:t xml:space="preserve">público/sin fines de lucro/con fines de lucro/empleador;</w:t>
      </w:r>
    </w:p>
    <w:p>
      <w:pPr>
        <w:numPr>
          <w:ilvl w:val="0"/>
          <w:numId w:val="1023"/>
        </w:numPr>
        <w:pStyle w:val="Compact"/>
      </w:pPr>
      <w:r>
        <w:t xml:space="preserve">costo total;</w:t>
      </w:r>
    </w:p>
    <w:p>
      <w:pPr>
        <w:numPr>
          <w:ilvl w:val="0"/>
          <w:numId w:val="1023"/>
        </w:numPr>
        <w:pStyle w:val="Compact"/>
      </w:pPr>
      <w:r>
        <w:t xml:space="preserve">financiamiento disponible;</w:t>
      </w:r>
    </w:p>
    <w:p>
      <w:pPr>
        <w:numPr>
          <w:ilvl w:val="0"/>
          <w:numId w:val="1023"/>
        </w:numPr>
        <w:pStyle w:val="Compact"/>
      </w:pPr>
      <w:r>
        <w:t xml:space="preserve">duración;</w:t>
      </w:r>
    </w:p>
    <w:p>
      <w:pPr>
        <w:numPr>
          <w:ilvl w:val="0"/>
          <w:numId w:val="1023"/>
        </w:numPr>
        <w:pStyle w:val="Compact"/>
      </w:pPr>
      <w:r>
        <w:t xml:space="preserve">modalidad;</w:t>
      </w:r>
    </w:p>
    <w:p>
      <w:pPr>
        <w:numPr>
          <w:ilvl w:val="0"/>
          <w:numId w:val="1023"/>
        </w:numPr>
        <w:pStyle w:val="Compact"/>
      </w:pPr>
      <w:r>
        <w:t xml:space="preserve">accesibilidad;</w:t>
      </w:r>
    </w:p>
    <w:p>
      <w:pPr>
        <w:numPr>
          <w:ilvl w:val="0"/>
          <w:numId w:val="1023"/>
        </w:numPr>
        <w:pStyle w:val="Compact"/>
      </w:pPr>
      <w:r>
        <w:t xml:space="preserve">habilidades exactas enseñadas;</w:t>
      </w:r>
    </w:p>
    <w:p>
      <w:pPr>
        <w:numPr>
          <w:ilvl w:val="0"/>
          <w:numId w:val="1023"/>
        </w:numPr>
        <w:pStyle w:val="Compact"/>
      </w:pPr>
      <w:r>
        <w:t xml:space="preserve">credencial obtenida;</w:t>
      </w:r>
    </w:p>
    <w:p>
      <w:pPr>
        <w:numPr>
          <w:ilvl w:val="0"/>
          <w:numId w:val="1023"/>
        </w:numPr>
        <w:pStyle w:val="Compact"/>
      </w:pPr>
      <w:r>
        <w:t xml:space="preserve">evidencia de reconocimiento del empleador;</w:t>
      </w:r>
    </w:p>
    <w:p>
      <w:pPr>
        <w:numPr>
          <w:ilvl w:val="0"/>
          <w:numId w:val="1023"/>
        </w:numPr>
        <w:pStyle w:val="Compact"/>
      </w:pPr>
      <w:r>
        <w:t xml:space="preserve">transferibilidad;</w:t>
      </w:r>
    </w:p>
    <w:p>
      <w:pPr>
        <w:numPr>
          <w:ilvl w:val="0"/>
          <w:numId w:val="1023"/>
        </w:numPr>
        <w:pStyle w:val="Compact"/>
      </w:pPr>
      <w:r>
        <w:t xml:space="preserve">condiciones de reembolso; y</w:t>
      </w:r>
    </w:p>
    <w:p>
      <w:pPr>
        <w:numPr>
          <w:ilvl w:val="0"/>
          <w:numId w:val="1023"/>
        </w:numPr>
        <w:pStyle w:val="Compact"/>
      </w:pPr>
      <w:r>
        <w:t xml:space="preserve">obligación de devolución.</w:t>
      </w:r>
    </w:p>
    <w:bookmarkEnd w:id="77"/>
    <w:bookmarkStart w:id="78" w:name="revisión-de-una-oferta"/>
    <w:p>
      <w:pPr>
        <w:pStyle w:val="Heading3"/>
      </w:pPr>
      <w:r>
        <w:t xml:space="preserve">Revisión de una oferta</w:t>
      </w:r>
    </w:p>
    <w:p>
      <w:pPr>
        <w:pStyle w:val="FirstParagraph"/>
      </w:pPr>
      <w:r>
        <w:t xml:space="preserve">Antes de aceptar, registre:</w:t>
      </w:r>
    </w:p>
    <w:p>
      <w:pPr>
        <w:numPr>
          <w:ilvl w:val="0"/>
          <w:numId w:val="1024"/>
        </w:numPr>
        <w:pStyle w:val="Compact"/>
      </w:pPr>
      <w:r>
        <w:t xml:space="preserve">compensación;</w:t>
      </w:r>
    </w:p>
    <w:p>
      <w:pPr>
        <w:numPr>
          <w:ilvl w:val="0"/>
          <w:numId w:val="1024"/>
        </w:numPr>
        <w:pStyle w:val="Compact"/>
      </w:pPr>
      <w:r>
        <w:t xml:space="preserve">beneficios;</w:t>
      </w:r>
    </w:p>
    <w:p>
      <w:pPr>
        <w:numPr>
          <w:ilvl w:val="0"/>
          <w:numId w:val="1024"/>
        </w:numPr>
        <w:pStyle w:val="Compact"/>
      </w:pPr>
      <w:r>
        <w:t xml:space="preserve">clasificación laboral;</w:t>
      </w:r>
    </w:p>
    <w:p>
      <w:pPr>
        <w:numPr>
          <w:ilvl w:val="0"/>
          <w:numId w:val="1024"/>
        </w:numPr>
        <w:pStyle w:val="Compact"/>
      </w:pPr>
      <w:r>
        <w:t xml:space="preserve">horario y zona horaria;</w:t>
      </w:r>
    </w:p>
    <w:p>
      <w:pPr>
        <w:numPr>
          <w:ilvl w:val="0"/>
          <w:numId w:val="1024"/>
        </w:numPr>
        <w:pStyle w:val="Compact"/>
      </w:pPr>
      <w:r>
        <w:t xml:space="preserve">responsabilidad sobre equipos;</w:t>
      </w:r>
    </w:p>
    <w:p>
      <w:pPr>
        <w:numPr>
          <w:ilvl w:val="0"/>
          <w:numId w:val="1024"/>
        </w:numPr>
        <w:pStyle w:val="Compact"/>
      </w:pPr>
      <w:r>
        <w:t xml:space="preserve">métricas de desempeño;</w:t>
      </w:r>
    </w:p>
    <w:p>
      <w:pPr>
        <w:numPr>
          <w:ilvl w:val="0"/>
          <w:numId w:val="1024"/>
        </w:numPr>
        <w:pStyle w:val="Compact"/>
      </w:pPr>
      <w:r>
        <w:t xml:space="preserve">período de capacitación y remuneración;</w:t>
      </w:r>
    </w:p>
    <w:p>
      <w:pPr>
        <w:numPr>
          <w:ilvl w:val="0"/>
          <w:numId w:val="1024"/>
        </w:numPr>
        <w:pStyle w:val="Compact"/>
      </w:pPr>
      <w:r>
        <w:t xml:space="preserve">política de abuso de clientes/seguridad;</w:t>
      </w:r>
    </w:p>
    <w:p>
      <w:pPr>
        <w:numPr>
          <w:ilvl w:val="0"/>
          <w:numId w:val="1024"/>
        </w:numPr>
        <w:pStyle w:val="Compact"/>
      </w:pPr>
      <w:r>
        <w:t xml:space="preserve">requisitos de privacidad y monitoreo;</w:t>
      </w:r>
    </w:p>
    <w:p>
      <w:pPr>
        <w:numPr>
          <w:ilvl w:val="0"/>
          <w:numId w:val="1024"/>
        </w:numPr>
        <w:pStyle w:val="Compact"/>
      </w:pPr>
      <w:r>
        <w:t xml:space="preserve">restricciones de ubicación para trabajo remoto;</w:t>
      </w:r>
    </w:p>
    <w:p>
      <w:pPr>
        <w:numPr>
          <w:ilvl w:val="0"/>
          <w:numId w:val="1024"/>
        </w:numPr>
        <w:pStyle w:val="Compact"/>
      </w:pPr>
      <w:r>
        <w:t xml:space="preserve">condiciones del período de prueba; y</w:t>
      </w:r>
    </w:p>
    <w:p>
      <w:pPr>
        <w:numPr>
          <w:ilvl w:val="0"/>
          <w:numId w:val="1024"/>
        </w:numPr>
        <w:pStyle w:val="Compact"/>
      </w:pPr>
      <w:r>
        <w:t xml:space="preserve">cualquier acuerdo de reembolso de capacitación.</w:t>
      </w:r>
    </w:p>
    <w:bookmarkEnd w:id="78"/>
    <w:bookmarkEnd w:id="79"/>
    <w:bookmarkStart w:id="83" w:name="Xbd5d9eae80b57f8a28de9d1ff8ec7ff57ded4dc"/>
    <w:p>
      <w:pPr>
        <w:pStyle w:val="Heading2"/>
      </w:pPr>
      <w:r>
        <w:t xml:space="preserve">19. Fuentes, versionado y lista final de verificación</w:t>
      </w:r>
    </w:p>
    <w:bookmarkStart w:id="80" w:name="X1afd914c3c9de5eb1ee51c784b087ba5f74562d"/>
    <w:p>
      <w:pPr>
        <w:pStyle w:val="Heading3"/>
      </w:pPr>
      <w:r>
        <w:t xml:space="preserve">Fuentes controladas revisadas para el maestro en inglés de 2026</w:t>
      </w:r>
    </w:p>
    <w:p>
      <w:pPr>
        <w:pStyle w:val="FirstParagraph"/>
      </w:pPr>
      <w:r>
        <w:t xml:space="preserve">Evidencia ocupacional oficial de Estados Unidos:</w:t>
      </w:r>
    </w:p>
    <w:p>
      <w:pPr>
        <w:pStyle w:val="BodyText"/>
      </w:pPr>
      <w:hyperlink r:id="rId30">
        <w:r>
          <w:rPr>
            <w:rStyle w:val="Hyperlink"/>
          </w:rPr>
          <w:t xml:space="preserve">https://www.bls.gov/ooh/office-and-administrative-support/customer-service-representatives.htm</w:t>
        </w:r>
      </w:hyperlink>
    </w:p>
    <w:p>
      <w:pPr>
        <w:pStyle w:val="BodyText"/>
      </w:pPr>
      <w:r>
        <w:t xml:space="preserve">Estimaciones actuales no gubernamentales del mercado de Estados Unidos:</w:t>
      </w:r>
    </w:p>
    <w:p>
      <w:pPr>
        <w:pStyle w:val="BodyText"/>
      </w:pPr>
      <w:hyperlink r:id="rId32">
        <w:r>
          <w:rPr>
            <w:rStyle w:val="Hyperlink"/>
          </w:rPr>
          <w:t xml:space="preserve">https://www.ziprecruiter.com/Salaries/Customer-Service-Specialist-Salary</w:t>
        </w:r>
      </w:hyperlink>
    </w:p>
    <w:p>
      <w:pPr>
        <w:pStyle w:val="BodyText"/>
      </w:pPr>
      <w:hyperlink r:id="rId33">
        <w:r>
          <w:rPr>
            <w:rStyle w:val="Hyperlink"/>
          </w:rPr>
          <w:t xml:space="preserve">https://www.ziprecruiter.com/Salaries/Customer-Service-Representative-Salary</w:t>
        </w:r>
      </w:hyperlink>
    </w:p>
    <w:p>
      <w:pPr>
        <w:pStyle w:val="BodyText"/>
      </w:pPr>
      <w:r>
        <w:t xml:space="preserve">Recursos de empleo, aprendizaje, ayuda y educación del empleador en Estados Unidos:</w:t>
      </w:r>
    </w:p>
    <w:p>
      <w:pPr>
        <w:pStyle w:val="BodyText"/>
      </w:pPr>
      <w:hyperlink r:id="rId41">
        <w:r>
          <w:rPr>
            <w:rStyle w:val="Hyperlink"/>
          </w:rPr>
          <w:t xml:space="preserve">https://www.careeronestop.org/LocalHelp/AmericanJobCenters/american-job-centers.aspx</w:t>
        </w:r>
      </w:hyperlink>
    </w:p>
    <w:p>
      <w:pPr>
        <w:pStyle w:val="BodyText"/>
      </w:pPr>
      <w:hyperlink r:id="rId42">
        <w:r>
          <w:rPr>
            <w:rStyle w:val="Hyperlink"/>
          </w:rPr>
          <w:t xml:space="preserve">https://www.careeronestop.org/LocalHelp/EmploymentAndTraining/find-WIOA-training-programs.aspx</w:t>
        </w:r>
      </w:hyperlink>
    </w:p>
    <w:p>
      <w:pPr>
        <w:pStyle w:val="BodyText"/>
      </w:pPr>
      <w:hyperlink r:id="rId43">
        <w:r>
          <w:rPr>
            <w:rStyle w:val="Hyperlink"/>
          </w:rPr>
          <w:t xml:space="preserve">https://www.apprenticeship.gov/</w:t>
        </w:r>
      </w:hyperlink>
    </w:p>
    <w:p>
      <w:pPr>
        <w:pStyle w:val="BodyText"/>
      </w:pPr>
      <w:hyperlink r:id="rId44">
        <w:r>
          <w:rPr>
            <w:rStyle w:val="Hyperlink"/>
          </w:rPr>
          <w:t xml:space="preserve">https://studentaid.gov/</w:t>
        </w:r>
      </w:hyperlink>
    </w:p>
    <w:p>
      <w:pPr>
        <w:pStyle w:val="BodyText"/>
      </w:pPr>
      <w:hyperlink r:id="rId45">
        <w:r>
          <w:rPr>
            <w:rStyle w:val="Hyperlink"/>
          </w:rPr>
          <w:t xml:space="preserve">https://studentaid.gov/understand-aid/types/scholarships</w:t>
        </w:r>
      </w:hyperlink>
    </w:p>
    <w:p>
      <w:pPr>
        <w:pStyle w:val="BodyText"/>
      </w:pPr>
      <w:hyperlink r:id="rId47">
        <w:r>
          <w:rPr>
            <w:rStyle w:val="Hyperlink"/>
          </w:rPr>
          <w:t xml:space="preserve">https://www.irs.gov/newsroom/updates-to-frequently-asked-questions-about-educational-assistance-programs</w:t>
        </w:r>
      </w:hyperlink>
    </w:p>
    <w:p>
      <w:pPr>
        <w:pStyle w:val="BodyText"/>
      </w:pPr>
      <w:r>
        <w:t xml:space="preserve">Evidencia ocupacional de Canadá:</w:t>
      </w:r>
    </w:p>
    <w:p>
      <w:pPr>
        <w:pStyle w:val="BodyText"/>
      </w:pPr>
      <w:hyperlink r:id="rId35">
        <w:r>
          <w:rPr>
            <w:rStyle w:val="Hyperlink"/>
          </w:rPr>
          <w:t xml:space="preserve">https://www.jobbank.gc.ca/wagereport/occupation/15201</w:t>
        </w:r>
      </w:hyperlink>
    </w:p>
    <w:p>
      <w:pPr>
        <w:pStyle w:val="BodyText"/>
      </w:pPr>
      <w:hyperlink r:id="rId36">
        <w:r>
          <w:rPr>
            <w:rStyle w:val="Hyperlink"/>
          </w:rPr>
          <w:t xml:space="preserve">https://www.jobbank.gc.ca/marketreport/requirements/15201/ca</w:t>
        </w:r>
      </w:hyperlink>
    </w:p>
    <w:p>
      <w:pPr>
        <w:pStyle w:val="BodyText"/>
      </w:pPr>
      <w:r>
        <w:t xml:space="preserve">Rutas de capacitación y empleo en Colombia:</w:t>
      </w:r>
    </w:p>
    <w:p>
      <w:pPr>
        <w:pStyle w:val="BodyText"/>
      </w:pPr>
      <w:hyperlink r:id="rId50">
        <w:r>
          <w:rPr>
            <w:rStyle w:val="Hyperlink"/>
          </w:rPr>
          <w:t xml:space="preserve">https://betowa.sena.edu.co/oferta/servicio-al-cliente?modality=P&amp;offertype=open&amp;programId=116454</w:t>
        </w:r>
      </w:hyperlink>
    </w:p>
    <w:p>
      <w:pPr>
        <w:pStyle w:val="BodyText"/>
      </w:pPr>
      <w:hyperlink r:id="rId51">
        <w:r>
          <w:rPr>
            <w:rStyle w:val="Hyperlink"/>
          </w:rPr>
          <w:t xml:space="preserve">https://www.serviciodeempleo.gov.co/</w:t>
        </w:r>
      </w:hyperlink>
    </w:p>
    <w:bookmarkEnd w:id="80"/>
    <w:bookmarkStart w:id="81" w:name="control-de-versión"/>
    <w:p>
      <w:pPr>
        <w:pStyle w:val="Heading3"/>
      </w:pPr>
      <w:r>
        <w:t xml:space="preserve">Control de versión</w:t>
      </w:r>
    </w:p>
    <w:p>
      <w:pPr>
        <w:numPr>
          <w:ilvl w:val="0"/>
          <w:numId w:val="1025"/>
        </w:numPr>
        <w:pStyle w:val="Compact"/>
      </w:pPr>
      <w:r>
        <w:t xml:space="preserve">Guía: 07</w:t>
      </w:r>
    </w:p>
    <w:p>
      <w:pPr>
        <w:numPr>
          <w:ilvl w:val="0"/>
          <w:numId w:val="1025"/>
        </w:numPr>
        <w:pStyle w:val="Compact"/>
      </w:pPr>
      <w:r>
        <w:t xml:space="preserve">Ocupación: Especialista en Servicio al Cliente</w:t>
      </w:r>
    </w:p>
    <w:p>
      <w:pPr>
        <w:numPr>
          <w:ilvl w:val="0"/>
          <w:numId w:val="1025"/>
        </w:numPr>
        <w:pStyle w:val="Compact"/>
      </w:pPr>
      <w:r>
        <w:t xml:space="preserve">Versión de la candidata de publicación: 2.0</w:t>
      </w:r>
    </w:p>
    <w:p>
      <w:pPr>
        <w:numPr>
          <w:ilvl w:val="0"/>
          <w:numId w:val="1025"/>
        </w:numPr>
        <w:pStyle w:val="Compact"/>
      </w:pPr>
      <w:r>
        <w:t xml:space="preserve">Ciclo de revisión: 2026</w:t>
      </w:r>
    </w:p>
    <w:p>
      <w:pPr>
        <w:numPr>
          <w:ilvl w:val="0"/>
          <w:numId w:val="1025"/>
        </w:numPr>
        <w:pStyle w:val="Compact"/>
      </w:pPr>
      <w:r>
        <w:t xml:space="preserve">Estado de la fuente inglesa: congelada para localización controlada</w:t>
      </w:r>
    </w:p>
    <w:p>
      <w:pPr>
        <w:numPr>
          <w:ilvl w:val="0"/>
          <w:numId w:val="1025"/>
        </w:numPr>
        <w:pStyle w:val="Compact"/>
      </w:pPr>
      <w:r>
        <w:t xml:space="preserve">Estado de esta traducción: fuente es-419 controlada, traducción asistida por IA y revisada editorialmente dentro del proceso del proyecto; no certificada profesionalmente</w:t>
      </w:r>
    </w:p>
    <w:p>
      <w:pPr>
        <w:numPr>
          <w:ilvl w:val="0"/>
          <w:numId w:val="1025"/>
        </w:numPr>
        <w:pStyle w:val="Compact"/>
      </w:pPr>
      <w:r>
        <w:t xml:space="preserve">Estado de publicación: candidata de publicación controlada; el lanzamiento sigue sujeto a los registros de QA del repositorio</w:t>
      </w:r>
    </w:p>
    <w:bookmarkEnd w:id="81"/>
    <w:bookmarkStart w:id="82" w:name="lista-final-de-verificación"/>
    <w:p>
      <w:pPr>
        <w:pStyle w:val="Heading3"/>
      </w:pPr>
      <w:r>
        <w:t xml:space="preserve">Lista final de verificación</w:t>
      </w:r>
    </w:p>
    <w:p>
      <w:pPr>
        <w:pStyle w:val="FirstParagraph"/>
      </w:pPr>
      <w:r>
        <w:t xml:space="preserve">Confirme:</w:t>
      </w:r>
    </w:p>
    <w:p>
      <w:pPr>
        <w:numPr>
          <w:ilvl w:val="0"/>
          <w:numId w:val="1026"/>
        </w:numPr>
        <w:pStyle w:val="Compact"/>
      </w:pPr>
      <w:r>
        <w:t xml:space="preserve">las afirmaciones de alto impacto sobre salarios, perspectivas, impuestos, financiamiento, capacitación y regulación conservan el significado del inglés congelado;</w:t>
      </w:r>
    </w:p>
    <w:p>
      <w:pPr>
        <w:numPr>
          <w:ilvl w:val="0"/>
          <w:numId w:val="1026"/>
        </w:numPr>
        <w:pStyle w:val="Compact"/>
      </w:pPr>
      <w:r>
        <w:t xml:space="preserve">la evidencia salarial oficial y no gubernamental permanece claramente separada;</w:t>
      </w:r>
    </w:p>
    <w:p>
      <w:pPr>
        <w:numPr>
          <w:ilvl w:val="0"/>
          <w:numId w:val="1026"/>
        </w:numPr>
        <w:pStyle w:val="Compact"/>
      </w:pPr>
      <w:r>
        <w:t xml:space="preserve">los enlaces son idénticos a los del inglés o están documentados cuando un sitio oficial resiste recuperación automatizada;</w:t>
      </w:r>
    </w:p>
    <w:p>
      <w:pPr>
        <w:numPr>
          <w:ilvl w:val="0"/>
          <w:numId w:val="1026"/>
        </w:numPr>
        <w:pStyle w:val="Compact"/>
      </w:pPr>
      <w:r>
        <w:t xml:space="preserve">ninguna credencial opcional se presenta como requisito legal;</w:t>
      </w:r>
    </w:p>
    <w:p>
      <w:pPr>
        <w:numPr>
          <w:ilvl w:val="0"/>
          <w:numId w:val="1026"/>
        </w:numPr>
        <w:pStyle w:val="Compact"/>
      </w:pPr>
      <w:r>
        <w:t xml:space="preserve">las reglas de Estados Unidos no se presentan como reglas globales;</w:t>
      </w:r>
    </w:p>
    <w:p>
      <w:pPr>
        <w:numPr>
          <w:ilvl w:val="0"/>
          <w:numId w:val="1026"/>
        </w:numPr>
        <w:pStyle w:val="Compact"/>
      </w:pPr>
      <w:r>
        <w:t xml:space="preserve">la correspondencia canadiense NOC está adecuadamente calificada;</w:t>
      </w:r>
    </w:p>
    <w:p>
      <w:pPr>
        <w:numPr>
          <w:ilvl w:val="0"/>
          <w:numId w:val="1026"/>
        </w:numPr>
        <w:pStyle w:val="Compact"/>
      </w:pPr>
      <w:r>
        <w:t xml:space="preserve">la disponibilidad de SENA en Colombia no se garantiza;</w:t>
      </w:r>
    </w:p>
    <w:p>
      <w:pPr>
        <w:numPr>
          <w:ilvl w:val="0"/>
          <w:numId w:val="1026"/>
        </w:numPr>
        <w:pStyle w:val="Compact"/>
      </w:pPr>
      <w:r>
        <w:t xml:space="preserve">los límites de privacidad, pagos, autenticación, accesibilidad, seguridad e IA son explícitos;</w:t>
      </w:r>
    </w:p>
    <w:p>
      <w:pPr>
        <w:numPr>
          <w:ilvl w:val="0"/>
          <w:numId w:val="1026"/>
        </w:numPr>
        <w:pStyle w:val="Compact"/>
      </w:pPr>
      <w:r>
        <w:t xml:space="preserve">el Markdown es UTF-8 válido sin BOM ni caracteres de reemplazo;</w:t>
      </w:r>
    </w:p>
    <w:p>
      <w:pPr>
        <w:numPr>
          <w:ilvl w:val="0"/>
          <w:numId w:val="1026"/>
        </w:numPr>
        <w:pStyle w:val="Compact"/>
      </w:pPr>
      <w:r>
        <w:t xml:space="preserve">encabezados y listas son estructuralmente consistentes;</w:t>
      </w:r>
    </w:p>
    <w:p>
      <w:pPr>
        <w:numPr>
          <w:ilvl w:val="0"/>
          <w:numId w:val="1026"/>
        </w:numPr>
        <w:pStyle w:val="Compact"/>
      </w:pPr>
      <w:r>
        <w:t xml:space="preserve">el lenguaje es profesional, claro y natural para América Latina; y</w:t>
      </w:r>
    </w:p>
    <w:p>
      <w:pPr>
        <w:numPr>
          <w:ilvl w:val="0"/>
          <w:numId w:val="1026"/>
        </w:numPr>
        <w:pStyle w:val="Compact"/>
      </w:pPr>
      <w:r>
        <w:t xml:space="preserve">no se afirma certificación humana independiente, certificación profesional de traducción, certificación de accesibilidad, acreditación, revisión legal ni resultados garantizados.</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_rels/footnotes.xml.rels><?xml version="1.0" encoding="UTF-8"?><Relationships xmlns="http://schemas.openxmlformats.org/package/2006/relationships"><Relationship Type="http://schemas.openxmlformats.org/officeDocument/2006/relationships/hyperlink" Id="rId50" Target="https://betowa.sena.edu.co/oferta/servicio-al-cliente?modality=P&amp;offertype=open&amp;programId=116454" TargetMode="External" /><Relationship Type="http://schemas.openxmlformats.org/officeDocument/2006/relationships/hyperlink" Id="rId44" Target="https://studentaid.gov/" TargetMode="External" /><Relationship Type="http://schemas.openxmlformats.org/officeDocument/2006/relationships/hyperlink" Id="rId45" Target="https://studentaid.gov/understand-aid/types/scholarships" TargetMode="External" /><Relationship Type="http://schemas.openxmlformats.org/officeDocument/2006/relationships/hyperlink" Id="rId43" Target="https://www.apprenticeship.gov/" TargetMode="External" /><Relationship Type="http://schemas.openxmlformats.org/officeDocument/2006/relationships/hyperlink" Id="rId30" Target="https://www.bls.gov/ooh/office-and-administrative-support/customer-service-representatives.htm" TargetMode="External" /><Relationship Type="http://schemas.openxmlformats.org/officeDocument/2006/relationships/hyperlink" Id="rId41" Target="https://www.careeronestop.org/LocalHelp/AmericanJobCenters/american-job-centers.aspx" TargetMode="External" /><Relationship Type="http://schemas.openxmlformats.org/officeDocument/2006/relationships/hyperlink" Id="rId42" Target="https://www.careeronestop.org/LocalHelp/EmploymentAndTraining/find-WIOA-training-programs.aspx" TargetMode="External" /><Relationship Type="http://schemas.openxmlformats.org/officeDocument/2006/relationships/hyperlink" Id="rId47" Target="https://www.irs.gov/newsroom/updates-to-frequently-asked-questions-about-educational-assistance-programs" TargetMode="External" /><Relationship Type="http://schemas.openxmlformats.org/officeDocument/2006/relationships/hyperlink" Id="rId36" Target="https://www.jobbank.gc.ca/marketreport/requirements/15201/ca" TargetMode="External" /><Relationship Type="http://schemas.openxmlformats.org/officeDocument/2006/relationships/hyperlink" Id="rId35" Target="https://www.jobbank.gc.ca/wagereport/occupation/15201" TargetMode="External" /><Relationship Type="http://schemas.openxmlformats.org/officeDocument/2006/relationships/hyperlink" Id="rId51" Target="https://www.serviciodeempleo.gov.co/" TargetMode="External" /><Relationship Type="http://schemas.openxmlformats.org/officeDocument/2006/relationships/hyperlink" Id="rId33" Target="https://www.ziprecruiter.com/Salaries/Customer-Service-Representative-Salary" TargetMode="External" /><Relationship Type="http://schemas.openxmlformats.org/officeDocument/2006/relationships/hyperlink" Id="rId32" Target="https://www.ziprecruiter.com/Salaries/Customer-Service-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2026-08-08T16:08:38Z</dcterms:created>
  <dcterms:modified xsi:type="dcterms:W3CDTF">2026-08-08T16:08:38Z</dcterms:modified>
</cp:coreProperties>
</file>

<file path=docProps/custom.xml><?xml version="1.0" encoding="utf-8"?>
<Properties xmlns="http://schemas.openxmlformats.org/officeDocument/2006/custom-properties" xmlns:vt="http://schemas.openxmlformats.org/officeDocument/2006/docPropsVTypes"/>
</file>