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lifelong-opportunity-guide-55"/>
    <w:p>
      <w:pPr>
        <w:pStyle w:val="Heading1"/>
      </w:pPr>
      <w:r>
        <w:t xml:space="preserve">Lifelong Opportunity Guide 55</w:t>
      </w:r>
    </w:p>
    <w:bookmarkStart w:id="20" w:name="home-health-and-personal-care-aide"/>
    <w:p>
      <w:pPr>
        <w:pStyle w:val="Heading2"/>
      </w:pPr>
      <w:r>
        <w:t xml:space="preserve">Home Health and Personal Care Aide</w:t>
      </w:r>
    </w:p>
    <w:p>
      <w:pPr>
        <w:pStyle w:val="FirstParagraph"/>
      </w:pPr>
      <w:r>
        <w:rPr>
          <w:bCs/>
          <w:b/>
        </w:rPr>
        <w:t xml:space="preserve">2026 controlled revision — English source master</w:t>
      </w:r>
      <w:r>
        <w:br/>
      </w:r>
      <w:r>
        <w:t xml:space="preserve">Created and directed by</w:t>
      </w:r>
      <w:r>
        <w:t xml:space="preserve"> </w:t>
      </w:r>
      <w:r>
        <w:rPr>
          <w:bCs/>
          <w:b/>
        </w:rPr>
        <w:t xml:space="preserve">Alberto “Al” Leiva</w:t>
      </w:r>
      <w:r>
        <w:br/>
      </w:r>
      <w:r>
        <w:t xml:space="preserve">License:</w:t>
      </w:r>
      <w:r>
        <w:t xml:space="preserve"> </w:t>
      </w:r>
      <w:r>
        <w:rPr>
          <w:bCs/>
          <w:b/>
        </w:rPr>
        <w:t xml:space="preserve">CC BY-NC-SA 4.0</w:t>
      </w:r>
    </w:p>
    <w:p>
      <w:pPr>
        <w:pStyle w:val="BlockText"/>
      </w:pPr>
      <w:r>
        <w:t xml:space="preserve">This guide is educational career-planning information. It is not medical, nursing, legal, immigration, licensing, accreditation, or financial advice. Requirements and permitted duties vary by country, state/province, employer, payer, and care setting. Always verify the rules that apply where you intend to work.</w:t>
      </w:r>
    </w:p>
    <w:bookmarkEnd w:id="20"/>
    <w:bookmarkStart w:id="21" w:name="Xab95adfd83271d4f7c94c570f8097584d77a3ff"/>
    <w:p>
      <w:pPr>
        <w:pStyle w:val="Heading2"/>
      </w:pPr>
      <w:r>
        <w:t xml:space="preserve">1. Why this career matters</w:t>
      </w:r>
    </w:p>
    <w:p>
      <w:pPr>
        <w:pStyle w:val="FirstParagraph"/>
      </w:pPr>
      <w:r>
        <w:t xml:space="preserve">Home health and personal care aides help people remain safer, more independent, and more connected in their homes and communities. Depending on the role and jurisdiction, the work may include personal care, companionship, meal support, light household tasks, mobility assistance, observation and reporting, or other duties that are authorized by the employer, care plan, training, and applicable law.</w:t>
      </w:r>
    </w:p>
    <w:p>
      <w:pPr>
        <w:pStyle w:val="BodyText"/>
      </w:pPr>
      <w:r>
        <w:t xml:space="preserve">This is people-centered work. Technology can assist with scheduling, documentation, learning, and communication, but the core value comes from reliability, observation, empathy, dignity, patience, and safe hands-on support.</w:t>
      </w:r>
    </w:p>
    <w:p>
      <w:pPr>
        <w:pStyle w:val="BodyText"/>
      </w:pPr>
      <w:r>
        <w:t xml:space="preserve">The occupation is especially important as populations age and more long-term care shifts from institutions toward home- and community-based settings.</w:t>
      </w:r>
    </w:p>
    <w:bookmarkEnd w:id="21"/>
    <w:bookmarkStart w:id="22" w:name="X129bccaaee63a85be00836a9f1a904ca6fe0e7c"/>
    <w:p>
      <w:pPr>
        <w:pStyle w:val="Heading2"/>
      </w:pPr>
      <w:r>
        <w:t xml:space="preserve">2. Career snapshot</w:t>
      </w:r>
    </w:p>
    <w:p>
      <w:pPr>
        <w:pStyle w:val="FirstParagraph"/>
      </w:pPr>
      <w:r>
        <w:t xml:space="preserve">A strong candidate for this work is usually comfortable with:</w:t>
      </w:r>
    </w:p>
    <w:p>
      <w:pPr>
        <w:numPr>
          <w:ilvl w:val="0"/>
          <w:numId w:val="1001"/>
        </w:numPr>
        <w:pStyle w:val="Compact"/>
      </w:pPr>
      <w:r>
        <w:t xml:space="preserve">helping people with activities of daily living;</w:t>
      </w:r>
    </w:p>
    <w:p>
      <w:pPr>
        <w:numPr>
          <w:ilvl w:val="0"/>
          <w:numId w:val="1001"/>
        </w:numPr>
        <w:pStyle w:val="Compact"/>
      </w:pPr>
      <w:r>
        <w:t xml:space="preserve">being physically present and dependable;</w:t>
      </w:r>
    </w:p>
    <w:p>
      <w:pPr>
        <w:numPr>
          <w:ilvl w:val="0"/>
          <w:numId w:val="1001"/>
        </w:numPr>
        <w:pStyle w:val="Compact"/>
      </w:pPr>
      <w:r>
        <w:t xml:space="preserve">following a written care plan or employer instructions;</w:t>
      </w:r>
    </w:p>
    <w:p>
      <w:pPr>
        <w:numPr>
          <w:ilvl w:val="0"/>
          <w:numId w:val="1001"/>
        </w:numPr>
        <w:pStyle w:val="Compact"/>
      </w:pPr>
      <w:r>
        <w:t xml:space="preserve">noticing and reporting changes rather than diagnosing them;</w:t>
      </w:r>
    </w:p>
    <w:p>
      <w:pPr>
        <w:numPr>
          <w:ilvl w:val="0"/>
          <w:numId w:val="1001"/>
        </w:numPr>
        <w:pStyle w:val="Compact"/>
      </w:pPr>
      <w:r>
        <w:t xml:space="preserve">communicating respectfully with clients, families, nurses, therapists, supervisors, and other care-team members;</w:t>
      </w:r>
    </w:p>
    <w:p>
      <w:pPr>
        <w:numPr>
          <w:ilvl w:val="0"/>
          <w:numId w:val="1001"/>
        </w:numPr>
        <w:pStyle w:val="Compact"/>
      </w:pPr>
      <w:r>
        <w:t xml:space="preserve">protecting private health and personal information;</w:t>
      </w:r>
    </w:p>
    <w:p>
      <w:pPr>
        <w:numPr>
          <w:ilvl w:val="0"/>
          <w:numId w:val="1001"/>
        </w:numPr>
        <w:pStyle w:val="Compact"/>
      </w:pPr>
      <w:r>
        <w:t xml:space="preserve">working in homes that may differ greatly in cleanliness, accessibility, family dynamics, pets, noise, or available equipment;</w:t>
      </w:r>
    </w:p>
    <w:p>
      <w:pPr>
        <w:numPr>
          <w:ilvl w:val="0"/>
          <w:numId w:val="1001"/>
        </w:numPr>
        <w:pStyle w:val="Compact"/>
      </w:pPr>
      <w:r>
        <w:t xml:space="preserve">maintaining professional boundaries even when relationships become emotionally close;</w:t>
      </w:r>
    </w:p>
    <w:p>
      <w:pPr>
        <w:numPr>
          <w:ilvl w:val="0"/>
          <w:numId w:val="1001"/>
        </w:numPr>
        <w:pStyle w:val="Compact"/>
      </w:pPr>
      <w:r>
        <w:t xml:space="preserve">learning safe transfer, infection-control, emergency, and documentation procedures.</w:t>
      </w:r>
    </w:p>
    <w:p>
      <w:pPr>
        <w:pStyle w:val="FirstParagraph"/>
      </w:pPr>
      <w:r>
        <w:t xml:space="preserve">This career may be a poor fit if you strongly dislike hands-on personal care, cannot tolerate variable home environments, cannot reliably follow safety instructions, or expect to perform clinical tasks without the credential and supervision required in your jurisdiction.</w:t>
      </w:r>
    </w:p>
    <w:bookmarkEnd w:id="22"/>
    <w:bookmarkStart w:id="24" w:name="X267f0b72709e5bf81f1a92c17a1583fb4bd7713"/>
    <w:p>
      <w:pPr>
        <w:pStyle w:val="Heading2"/>
      </w:pPr>
      <w:r>
        <w:t xml:space="preserve">3. What aides commonly do</w:t>
      </w:r>
    </w:p>
    <w:p>
      <w:pPr>
        <w:pStyle w:val="FirstParagraph"/>
      </w:pPr>
      <w:r>
        <w:t xml:space="preserve">Actual duties vary. Common non-exhaustive examples include:</w:t>
      </w:r>
    </w:p>
    <w:p>
      <w:pPr>
        <w:numPr>
          <w:ilvl w:val="0"/>
          <w:numId w:val="1002"/>
        </w:numPr>
        <w:pStyle w:val="Compact"/>
      </w:pPr>
      <w:r>
        <w:t xml:space="preserve">help with bathing, grooming, dressing, toileting, and other personal-care activities;</w:t>
      </w:r>
    </w:p>
    <w:p>
      <w:pPr>
        <w:numPr>
          <w:ilvl w:val="0"/>
          <w:numId w:val="1002"/>
        </w:numPr>
        <w:pStyle w:val="Compact"/>
      </w:pPr>
      <w:r>
        <w:t xml:space="preserve">support safe walking, transfers, positioning, and prescribed mobility routines within training and scope;</w:t>
      </w:r>
    </w:p>
    <w:p>
      <w:pPr>
        <w:numPr>
          <w:ilvl w:val="0"/>
          <w:numId w:val="1002"/>
        </w:numPr>
        <w:pStyle w:val="Compact"/>
      </w:pPr>
      <w:r>
        <w:t xml:space="preserve">prepare simple meals and support hydration and nutrition plans;</w:t>
      </w:r>
    </w:p>
    <w:p>
      <w:pPr>
        <w:numPr>
          <w:ilvl w:val="0"/>
          <w:numId w:val="1002"/>
        </w:numPr>
        <w:pStyle w:val="Compact"/>
      </w:pPr>
      <w:r>
        <w:t xml:space="preserve">provide companionship and social support;</w:t>
      </w:r>
    </w:p>
    <w:p>
      <w:pPr>
        <w:numPr>
          <w:ilvl w:val="0"/>
          <w:numId w:val="1002"/>
        </w:numPr>
        <w:pStyle w:val="Compact"/>
      </w:pPr>
      <w:r>
        <w:t xml:space="preserve">assist with light housekeeping related to the client's safe living environment;</w:t>
      </w:r>
    </w:p>
    <w:p>
      <w:pPr>
        <w:numPr>
          <w:ilvl w:val="0"/>
          <w:numId w:val="1002"/>
        </w:numPr>
        <w:pStyle w:val="Compact"/>
      </w:pPr>
      <w:r>
        <w:t xml:space="preserve">accompany a client to appointments or errands when the role permits it;</w:t>
      </w:r>
    </w:p>
    <w:p>
      <w:pPr>
        <w:numPr>
          <w:ilvl w:val="0"/>
          <w:numId w:val="1002"/>
        </w:numPr>
        <w:pStyle w:val="Compact"/>
      </w:pPr>
      <w:r>
        <w:t xml:space="preserve">observe and report changes in condition, behavior, skin, mobility, appetite, hydration, or safety;</w:t>
      </w:r>
    </w:p>
    <w:p>
      <w:pPr>
        <w:numPr>
          <w:ilvl w:val="0"/>
          <w:numId w:val="1002"/>
        </w:numPr>
        <w:pStyle w:val="Compact"/>
      </w:pPr>
      <w:r>
        <w:t xml:space="preserve">document services according to agency or employer procedures;</w:t>
      </w:r>
    </w:p>
    <w:p>
      <w:pPr>
        <w:numPr>
          <w:ilvl w:val="0"/>
          <w:numId w:val="1002"/>
        </w:numPr>
        <w:pStyle w:val="Compact"/>
      </w:pPr>
      <w:r>
        <w:t xml:space="preserve">follow infection-prevention and emergency procedures;</w:t>
      </w:r>
    </w:p>
    <w:p>
      <w:pPr>
        <w:numPr>
          <w:ilvl w:val="0"/>
          <w:numId w:val="1002"/>
        </w:numPr>
        <w:pStyle w:val="Compact"/>
      </w:pPr>
      <w:r>
        <w:t xml:space="preserve">help a client follow routines and reminders;</w:t>
      </w:r>
    </w:p>
    <w:p>
      <w:pPr>
        <w:numPr>
          <w:ilvl w:val="0"/>
          <w:numId w:val="1002"/>
        </w:numPr>
        <w:pStyle w:val="Compact"/>
      </w:pPr>
      <w:r>
        <w:t xml:space="preserve">support independence instead of automatically doing every task for the person.</w:t>
      </w:r>
    </w:p>
    <w:bookmarkStart w:id="23" w:name="X40bb292cac8a393e1b7bc425baf21c2bee8cc66"/>
    <w:p>
      <w:pPr>
        <w:pStyle w:val="Heading3"/>
      </w:pPr>
      <w:r>
        <w:t xml:space="preserve">Do not assume every aide may perform clinical tasks</w:t>
      </w:r>
    </w:p>
    <w:p>
      <w:pPr>
        <w:pStyle w:val="FirstParagraph"/>
      </w:pPr>
      <w:r>
        <w:t xml:space="preserve">A title such as caregiver, personal care aide, home support worker, or home health aide does</w:t>
      </w:r>
      <w:r>
        <w:t xml:space="preserve"> </w:t>
      </w:r>
      <w:r>
        <w:rPr>
          <w:bCs/>
          <w:b/>
        </w:rPr>
        <w:t xml:space="preserve">not</w:t>
      </w:r>
      <w:r>
        <w:t xml:space="preserve"> </w:t>
      </w:r>
      <w:r>
        <w:t xml:space="preserve">automatically authorize injections, wound care, catheter care, medication administration, clinical assessments, or other regulated health activities.</w:t>
      </w:r>
    </w:p>
    <w:p>
      <w:pPr>
        <w:pStyle w:val="BodyText"/>
      </w:pPr>
      <w:r>
        <w:t xml:space="preserve">Only perform a task when it is permitted by applicable law, included in your authorized role/care plan, supported by required training or credentialing, and allowed by your employer or supervising professional.</w:t>
      </w:r>
    </w:p>
    <w:bookmarkEnd w:id="23"/>
    <w:bookmarkEnd w:id="24"/>
    <w:bookmarkStart w:id="25" w:name="Xd386c27d77ee9d32ef02477638801c71186da52"/>
    <w:p>
      <w:pPr>
        <w:pStyle w:val="Heading2"/>
      </w:pPr>
      <w:r>
        <w:t xml:space="preserve">4. Work settings</w:t>
      </w:r>
    </w:p>
    <w:p>
      <w:pPr>
        <w:pStyle w:val="FirstParagraph"/>
      </w:pPr>
      <w:r>
        <w:t xml:space="preserve">You may work for:</w:t>
      </w:r>
    </w:p>
    <w:p>
      <w:pPr>
        <w:numPr>
          <w:ilvl w:val="0"/>
          <w:numId w:val="1003"/>
        </w:numPr>
        <w:pStyle w:val="Compact"/>
      </w:pPr>
      <w:r>
        <w:t xml:space="preserve">a home health or home-care agency;</w:t>
      </w:r>
    </w:p>
    <w:p>
      <w:pPr>
        <w:numPr>
          <w:ilvl w:val="0"/>
          <w:numId w:val="1003"/>
        </w:numPr>
        <w:pStyle w:val="Compact"/>
      </w:pPr>
      <w:r>
        <w:t xml:space="preserve">a personal support or community-care organization;</w:t>
      </w:r>
    </w:p>
    <w:p>
      <w:pPr>
        <w:numPr>
          <w:ilvl w:val="0"/>
          <w:numId w:val="1003"/>
        </w:numPr>
        <w:pStyle w:val="Compact"/>
      </w:pPr>
      <w:r>
        <w:t xml:space="preserve">an assisted-living or residential-care provider;</w:t>
      </w:r>
    </w:p>
    <w:p>
      <w:pPr>
        <w:numPr>
          <w:ilvl w:val="0"/>
          <w:numId w:val="1003"/>
        </w:numPr>
        <w:pStyle w:val="Compact"/>
      </w:pPr>
      <w:r>
        <w:t xml:space="preserve">a hospice or palliative-support organization;</w:t>
      </w:r>
    </w:p>
    <w:p>
      <w:pPr>
        <w:numPr>
          <w:ilvl w:val="0"/>
          <w:numId w:val="1003"/>
        </w:numPr>
        <w:pStyle w:val="Compact"/>
      </w:pPr>
      <w:r>
        <w:t xml:space="preserve">a private household;</w:t>
      </w:r>
    </w:p>
    <w:p>
      <w:pPr>
        <w:numPr>
          <w:ilvl w:val="0"/>
          <w:numId w:val="1003"/>
        </w:numPr>
        <w:pStyle w:val="Compact"/>
      </w:pPr>
      <w:r>
        <w:t xml:space="preserve">a public or nonprofit social-service organization;</w:t>
      </w:r>
    </w:p>
    <w:p>
      <w:pPr>
        <w:numPr>
          <w:ilvl w:val="0"/>
          <w:numId w:val="1003"/>
        </w:numPr>
        <w:pStyle w:val="Compact"/>
      </w:pPr>
      <w:r>
        <w:t xml:space="preserve">a self-directed client arrangement where local law permits it.</w:t>
      </w:r>
    </w:p>
    <w:p>
      <w:pPr>
        <w:pStyle w:val="FirstParagraph"/>
      </w:pPr>
      <w:r>
        <w:t xml:space="preserve">Some workers visit several clients per day. Others remain with one client for a longer shift. Travel time, transportation, weather, neighborhood safety, parking, and unpaid gaps between visits can materially affect the real value of a job offer.</w:t>
      </w:r>
    </w:p>
    <w:bookmarkEnd w:id="25"/>
    <w:bookmarkStart w:id="26" w:name="X1f16d58ea78b3b2306168cc6297c91076f3d3d7"/>
    <w:p>
      <w:pPr>
        <w:pStyle w:val="Heading2"/>
      </w:pPr>
      <w:r>
        <w:t xml:space="preserve">5. Physical and emotional realities</w:t>
      </w:r>
    </w:p>
    <w:p>
      <w:pPr>
        <w:pStyle w:val="FirstParagraph"/>
      </w:pPr>
      <w:r>
        <w:t xml:space="preserve">This work can be meaningful and physically demanding at the same time.</w:t>
      </w:r>
    </w:p>
    <w:p>
      <w:pPr>
        <w:pStyle w:val="BodyText"/>
      </w:pPr>
      <w:r>
        <w:t xml:space="preserve">Possible demands include:</w:t>
      </w:r>
    </w:p>
    <w:p>
      <w:pPr>
        <w:numPr>
          <w:ilvl w:val="0"/>
          <w:numId w:val="1004"/>
        </w:numPr>
        <w:pStyle w:val="Compact"/>
      </w:pPr>
      <w:r>
        <w:t xml:space="preserve">standing or walking for long periods;</w:t>
      </w:r>
    </w:p>
    <w:p>
      <w:pPr>
        <w:numPr>
          <w:ilvl w:val="0"/>
          <w:numId w:val="1004"/>
        </w:numPr>
        <w:pStyle w:val="Compact"/>
      </w:pPr>
      <w:r>
        <w:t xml:space="preserve">bending, reaching, pushing, pulling, and assisting transfers;</w:t>
      </w:r>
    </w:p>
    <w:p>
      <w:pPr>
        <w:numPr>
          <w:ilvl w:val="0"/>
          <w:numId w:val="1004"/>
        </w:numPr>
        <w:pStyle w:val="Compact"/>
      </w:pPr>
      <w:r>
        <w:t xml:space="preserve">exposure to bodily fluids, infectious illness, odors, or cleaning products;</w:t>
      </w:r>
    </w:p>
    <w:p>
      <w:pPr>
        <w:numPr>
          <w:ilvl w:val="0"/>
          <w:numId w:val="1004"/>
        </w:numPr>
        <w:pStyle w:val="Compact"/>
      </w:pPr>
      <w:r>
        <w:t xml:space="preserve">irregular schedules, evenings, weekends, or holidays;</w:t>
      </w:r>
    </w:p>
    <w:p>
      <w:pPr>
        <w:numPr>
          <w:ilvl w:val="0"/>
          <w:numId w:val="1004"/>
        </w:numPr>
        <w:pStyle w:val="Compact"/>
      </w:pPr>
      <w:r>
        <w:t xml:space="preserve">emotionally difficult situations involving disability, dementia, chronic illness, pain, grief, or end-of-life care;</w:t>
      </w:r>
    </w:p>
    <w:p>
      <w:pPr>
        <w:numPr>
          <w:ilvl w:val="0"/>
          <w:numId w:val="1004"/>
        </w:numPr>
        <w:pStyle w:val="Compact"/>
      </w:pPr>
      <w:r>
        <w:t xml:space="preserve">working alone in a client's home;</w:t>
      </w:r>
    </w:p>
    <w:p>
      <w:pPr>
        <w:numPr>
          <w:ilvl w:val="0"/>
          <w:numId w:val="1004"/>
        </w:numPr>
        <w:pStyle w:val="Compact"/>
      </w:pPr>
      <w:r>
        <w:t xml:space="preserve">communicating with stressed relatives or multiple care-team members.</w:t>
      </w:r>
    </w:p>
    <w:p>
      <w:pPr>
        <w:pStyle w:val="FirstParagraph"/>
      </w:pPr>
      <w:r>
        <w:t xml:space="preserve">Never improvise a lift or transfer that exceeds your training, the equipment available, or the care plan. Ask for equipment, a second worker, or supervisory guidance when needed.</w:t>
      </w:r>
    </w:p>
    <w:bookmarkEnd w:id="26"/>
    <w:bookmarkStart w:id="32" w:name="X809e9e9bd604e465b9f62d7096ac434fca1d796"/>
    <w:p>
      <w:pPr>
        <w:pStyle w:val="Heading2"/>
      </w:pPr>
      <w:r>
        <w:t xml:space="preserve">6. United States pathway</w:t>
      </w:r>
    </w:p>
    <w:bookmarkStart w:id="28" w:name="labor-market-outlook"/>
    <w:p>
      <w:pPr>
        <w:pStyle w:val="Heading3"/>
      </w:pPr>
      <w:r>
        <w:t xml:space="preserve">Labor-market outlook</w:t>
      </w:r>
    </w:p>
    <w:p>
      <w:pPr>
        <w:pStyle w:val="FirstParagraph"/>
      </w:pPr>
      <w:r>
        <w:t xml:space="preserve">The U.S. Bureau of Labor Statistics reports a</w:t>
      </w:r>
      <w:r>
        <w:t xml:space="preserve"> </w:t>
      </w:r>
      <w:r>
        <w:rPr>
          <w:bCs/>
          <w:b/>
        </w:rPr>
        <w:t xml:space="preserve">median annual wage of USD $34,900 in May 2024</w:t>
      </w:r>
      <w:r>
        <w:t xml:space="preserve"> </w:t>
      </w:r>
      <w:r>
        <w:t xml:space="preserve">for home health and personal care aides. The published median hourly wage is approximately</w:t>
      </w:r>
      <w:r>
        <w:t xml:space="preserve"> </w:t>
      </w:r>
      <w:r>
        <w:rPr>
          <w:bCs/>
          <w:b/>
        </w:rPr>
        <w:t xml:space="preserve">$16.78 per hour</w:t>
      </w:r>
      <w:r>
        <w:t xml:space="preserve">. The lowest 10 percent earned less than</w:t>
      </w:r>
      <w:r>
        <w:t xml:space="preserve"> </w:t>
      </w:r>
      <w:r>
        <w:rPr>
          <w:bCs/>
          <w:b/>
        </w:rPr>
        <w:t xml:space="preserve">$25,600</w:t>
      </w:r>
      <w:r>
        <w:t xml:space="preserve">, while the highest 10 percent earned more than</w:t>
      </w:r>
      <w:r>
        <w:t xml:space="preserve"> </w:t>
      </w:r>
      <w:r>
        <w:rPr>
          <w:bCs/>
          <w:b/>
        </w:rPr>
        <w:t xml:space="preserve">$44,190</w:t>
      </w:r>
      <w:r>
        <w:t xml:space="preserve">.</w:t>
      </w:r>
    </w:p>
    <w:p>
      <w:pPr>
        <w:pStyle w:val="BodyText"/>
      </w:pPr>
      <w:r>
        <w:t xml:space="preserve">BLS reports</w:t>
      </w:r>
      <w:r>
        <w:t xml:space="preserve"> </w:t>
      </w:r>
      <w:r>
        <w:rPr>
          <w:bCs/>
          <w:b/>
        </w:rPr>
        <w:t xml:space="preserve">4,347,700 jobs in 2024</w:t>
      </w:r>
      <w:r>
        <w:t xml:space="preserve"> </w:t>
      </w:r>
      <w:r>
        <w:t xml:space="preserve">and projects</w:t>
      </w:r>
      <w:r>
        <w:t xml:space="preserve"> </w:t>
      </w:r>
      <w:r>
        <w:rPr>
          <w:bCs/>
          <w:b/>
        </w:rPr>
        <w:t xml:space="preserve">5,087,500 jobs in 2034</w:t>
      </w:r>
      <w:r>
        <w:t xml:space="preserve">, a</w:t>
      </w:r>
      <w:r>
        <w:t xml:space="preserve"> </w:t>
      </w:r>
      <w:r>
        <w:rPr>
          <w:bCs/>
          <w:b/>
        </w:rPr>
        <w:t xml:space="preserve">17% increase</w:t>
      </w:r>
      <w:r>
        <w:t xml:space="preserve"> </w:t>
      </w:r>
      <w:r>
        <w:t xml:space="preserve">from 2024 to 2034. That equals a projected increase of</w:t>
      </w:r>
      <w:r>
        <w:t xml:space="preserve"> </w:t>
      </w:r>
      <w:r>
        <w:rPr>
          <w:bCs/>
          <w:b/>
        </w:rPr>
        <w:t xml:space="preserve">739,800 jobs</w:t>
      </w:r>
      <w:r>
        <w:t xml:space="preserve">. BLS also projects about</w:t>
      </w:r>
      <w:r>
        <w:t xml:space="preserve"> </w:t>
      </w:r>
      <w:r>
        <w:rPr>
          <w:bCs/>
          <w:b/>
        </w:rPr>
        <w:t xml:space="preserve">765,800 openings per year</w:t>
      </w:r>
      <w:r>
        <w:t xml:space="preserve"> </w:t>
      </w:r>
      <w:r>
        <w:t xml:space="preserve">on average over the decade, including replacement openings.</w:t>
      </w:r>
    </w:p>
    <w:p>
      <w:pPr>
        <w:pStyle w:val="BodyText"/>
      </w:pPr>
      <w:r>
        <w:t xml:space="preserve">These are national statistics, not a promise of pay or employment in a particular city or employer.</w:t>
      </w:r>
    </w:p>
    <w:p>
      <w:pPr>
        <w:pStyle w:val="BodyText"/>
      </w:pPr>
      <w:r>
        <w:t xml:space="preserve">Source: U.S. Bureau of Labor Statistics, Occupational Outlook Handbook, Home Health and Personal Care Aides.</w:t>
      </w:r>
      <w:r>
        <w:br/>
      </w:r>
      <w:hyperlink r:id="rId27">
        <w:hyperlink r:id="rId27">
          <w:r>
            <w:rPr>
              <w:rStyle w:val="Hyperlink"/>
            </w:rPr>
            <w:t xml:space="preserve">Source link</w:t>
          </w:r>
        </w:hyperlink>
      </w:hyperlink>
    </w:p>
    <w:bookmarkEnd w:id="28"/>
    <w:bookmarkStart w:id="29" w:name="entry-requirements"/>
    <w:p>
      <w:pPr>
        <w:pStyle w:val="Heading3"/>
      </w:pPr>
      <w:r>
        <w:t xml:space="preserve">Entry requirements</w:t>
      </w:r>
    </w:p>
    <w:p>
      <w:pPr>
        <w:pStyle w:val="FirstParagraph"/>
      </w:pPr>
      <w:r>
        <w:t xml:space="preserve">BLS describes a high school diploma or equivalent as the typical entry-level education, while noting that some positions may not require it. Short-term on-the-job training is common.</w:t>
      </w:r>
    </w:p>
    <w:p>
      <w:pPr>
        <w:pStyle w:val="BodyText"/>
      </w:pPr>
      <w:r>
        <w:t xml:space="preserve">That general occupational description does</w:t>
      </w:r>
      <w:r>
        <w:t xml:space="preserve"> </w:t>
      </w:r>
      <w:r>
        <w:rPr>
          <w:bCs/>
          <w:b/>
        </w:rPr>
        <w:t xml:space="preserve">not</w:t>
      </w:r>
      <w:r>
        <w:t xml:space="preserve"> </w:t>
      </w:r>
      <w:r>
        <w:t xml:space="preserve">replace federal or state requirements for a worker furnishing home health aide services through a Medicare-participating home health agency.</w:t>
      </w:r>
    </w:p>
    <w:bookmarkEnd w:id="29"/>
    <w:bookmarkStart w:id="31" w:name="Xf944603d49e8bd29fe0e4cba11136e68232a8f1"/>
    <w:p>
      <w:pPr>
        <w:pStyle w:val="Heading3"/>
      </w:pPr>
      <w:r>
        <w:t xml:space="preserve">Medicare-participating home health agency requirements</w:t>
      </w:r>
    </w:p>
    <w:p>
      <w:pPr>
        <w:pStyle w:val="FirstParagraph"/>
      </w:pPr>
      <w:r>
        <w:t xml:space="preserve">Under</w:t>
      </w:r>
      <w:r>
        <w:t xml:space="preserve"> </w:t>
      </w:r>
      <w:r>
        <w:rPr>
          <w:bCs/>
          <w:b/>
        </w:rPr>
        <w:t xml:space="preserve">42 CFR § 484.80</w:t>
      </w:r>
      <w:r>
        <w:t xml:space="preserve">, a home health aide working within the federal home-health-agency framework must meet an applicable qualification pathway. For the training-and-competency route:</w:t>
      </w:r>
    </w:p>
    <w:p>
      <w:pPr>
        <w:numPr>
          <w:ilvl w:val="0"/>
          <w:numId w:val="1005"/>
        </w:numPr>
        <w:pStyle w:val="Compact"/>
      </w:pPr>
      <w:r>
        <w:t xml:space="preserve">classroom plus supervised practical training must total at least</w:t>
      </w:r>
      <w:r>
        <w:t xml:space="preserve"> </w:t>
      </w:r>
      <w:r>
        <w:rPr>
          <w:bCs/>
          <w:b/>
        </w:rPr>
        <w:t xml:space="preserve">75 hours</w:t>
      </w:r>
      <w:r>
        <w:t xml:space="preserve">;</w:t>
      </w:r>
    </w:p>
    <w:p>
      <w:pPr>
        <w:numPr>
          <w:ilvl w:val="0"/>
          <w:numId w:val="1005"/>
        </w:numPr>
        <w:pStyle w:val="Compact"/>
      </w:pPr>
      <w:r>
        <w:t xml:space="preserve">at least</w:t>
      </w:r>
      <w:r>
        <w:t xml:space="preserve"> </w:t>
      </w:r>
      <w:r>
        <w:rPr>
          <w:bCs/>
          <w:b/>
        </w:rPr>
        <w:t xml:space="preserve">16 hours of classroom instruction must occur before at least 16 hours of supervised practical training</w:t>
      </w:r>
      <w:r>
        <w:t xml:space="preserve"> </w:t>
      </w:r>
      <w:r>
        <w:t xml:space="preserve">within those 75 hours;</w:t>
      </w:r>
    </w:p>
    <w:p>
      <w:pPr>
        <w:numPr>
          <w:ilvl w:val="0"/>
          <w:numId w:val="1005"/>
        </w:numPr>
        <w:pStyle w:val="Compact"/>
      </w:pPr>
      <w:r>
        <w:t xml:space="preserve">required subjects include communication, documentation, vital signs, infection prevention, emergencies, personal care, safe transfers and ambulation, positioning/range of motion, nutrition and hydration, and reporting skin changes;</w:t>
      </w:r>
    </w:p>
    <w:p>
      <w:pPr>
        <w:numPr>
          <w:ilvl w:val="0"/>
          <w:numId w:val="1005"/>
        </w:numPr>
        <w:pStyle w:val="Compact"/>
      </w:pPr>
      <w:r>
        <w:t xml:space="preserve">competency must be evaluated as required by the regulation;</w:t>
      </w:r>
    </w:p>
    <w:p>
      <w:pPr>
        <w:numPr>
          <w:ilvl w:val="0"/>
          <w:numId w:val="1005"/>
        </w:numPr>
        <w:pStyle w:val="Compact"/>
      </w:pPr>
      <w:r>
        <w:t xml:space="preserve">a home health aide must receive at least</w:t>
      </w:r>
      <w:r>
        <w:t xml:space="preserve"> </w:t>
      </w:r>
      <w:r>
        <w:rPr>
          <w:bCs/>
          <w:b/>
        </w:rPr>
        <w:t xml:space="preserve">12 hours of in-service training during each 12-month period</w:t>
      </w:r>
      <w:r>
        <w:t xml:space="preserve">;</w:t>
      </w:r>
    </w:p>
    <w:p>
      <w:pPr>
        <w:numPr>
          <w:ilvl w:val="0"/>
          <w:numId w:val="1005"/>
        </w:numPr>
        <w:pStyle w:val="Compact"/>
      </w:pPr>
      <w:r>
        <w:t xml:space="preserve">services must be consistent with the aide's training, the plan of care, state law, and the applicable order/instructions.</w:t>
      </w:r>
    </w:p>
    <w:p>
      <w:pPr>
        <w:pStyle w:val="FirstParagraph"/>
      </w:pPr>
      <w:r>
        <w:t xml:space="preserve">States may add requirements. A private-duty personal-care role may follow a different regulatory pathway. Verify your state and employer before paying for training.</w:t>
      </w:r>
    </w:p>
    <w:p>
      <w:pPr>
        <w:pStyle w:val="BodyText"/>
      </w:pPr>
      <w:r>
        <w:t xml:space="preserve">Official federal regulation:</w:t>
      </w:r>
      <w:r>
        <w:br/>
      </w:r>
      <w:hyperlink r:id="rId30">
        <w:hyperlink r:id="rId30">
          <w:r>
            <w:rPr>
              <w:rStyle w:val="Hyperlink"/>
            </w:rPr>
            <w:t xml:space="preserve">Source link</w:t>
          </w:r>
        </w:hyperlink>
      </w:hyperlink>
    </w:p>
    <w:bookmarkEnd w:id="31"/>
    <w:bookmarkEnd w:id="32"/>
    <w:bookmarkStart w:id="36" w:name="X67bae5fb32d7ec70f6b645ad3b138773a51aa07"/>
    <w:p>
      <w:pPr>
        <w:pStyle w:val="Heading2"/>
      </w:pPr>
      <w:r>
        <w:t xml:space="preserve">7. United States free-first training and funding strategy</w:t>
      </w:r>
    </w:p>
    <w:p>
      <w:pPr>
        <w:pStyle w:val="FirstParagraph"/>
      </w:pPr>
      <w:r>
        <w:t xml:space="preserve">Before paying a private school:</w:t>
      </w:r>
    </w:p>
    <w:p>
      <w:pPr>
        <w:numPr>
          <w:ilvl w:val="0"/>
          <w:numId w:val="1006"/>
        </w:numPr>
        <w:pStyle w:val="Compact"/>
      </w:pPr>
      <w:r>
        <w:t xml:space="preserve">Identify the exact role and state in which you want to work.</w:t>
      </w:r>
    </w:p>
    <w:p>
      <w:pPr>
        <w:numPr>
          <w:ilvl w:val="0"/>
          <w:numId w:val="1006"/>
        </w:numPr>
        <w:pStyle w:val="Compact"/>
      </w:pPr>
      <w:r>
        <w:t xml:space="preserve">Ask target employers which programs or credentials they accept.</w:t>
      </w:r>
    </w:p>
    <w:p>
      <w:pPr>
        <w:numPr>
          <w:ilvl w:val="0"/>
          <w:numId w:val="1006"/>
        </w:numPr>
        <w:pStyle w:val="Compact"/>
      </w:pPr>
      <w:r>
        <w:t xml:space="preserve">Contact an</w:t>
      </w:r>
      <w:r>
        <w:t xml:space="preserve"> </w:t>
      </w:r>
      <w:r>
        <w:rPr>
          <w:bCs/>
          <w:b/>
        </w:rPr>
        <w:t xml:space="preserve">American Job Center</w:t>
      </w:r>
      <w:r>
        <w:t xml:space="preserve"> </w:t>
      </w:r>
      <w:r>
        <w:t xml:space="preserve">and ask whether you qualify for WIOA-funded or other workforce training.</w:t>
      </w:r>
    </w:p>
    <w:p>
      <w:pPr>
        <w:numPr>
          <w:ilvl w:val="0"/>
          <w:numId w:val="1006"/>
        </w:numPr>
        <w:pStyle w:val="Compact"/>
      </w:pPr>
      <w:r>
        <w:t xml:space="preserve">Verify that any proposed program meets applicable state and employer requirements and, when relevant, the federal home-health-aide requirements.</w:t>
      </w:r>
    </w:p>
    <w:p>
      <w:pPr>
        <w:numPr>
          <w:ilvl w:val="0"/>
          <w:numId w:val="1006"/>
        </w:numPr>
        <w:pStyle w:val="Compact"/>
      </w:pPr>
      <w:r>
        <w:t xml:space="preserve">Ask employers whether they provide paid training, tuition support, or hire-and-train pathways.</w:t>
      </w:r>
    </w:p>
    <w:p>
      <w:pPr>
        <w:numPr>
          <w:ilvl w:val="0"/>
          <w:numId w:val="1006"/>
        </w:numPr>
        <w:pStyle w:val="Compact"/>
      </w:pPr>
      <w:r>
        <w:t xml:space="preserve">Compare total cost, transportation, books, exams, background checks, health screening, and unpaid clinical/practical time before enrolling.</w:t>
      </w:r>
    </w:p>
    <w:p>
      <w:pPr>
        <w:pStyle w:val="FirstParagraph"/>
      </w:pPr>
      <w:r>
        <w:t xml:space="preserve">U.S. Department of Labor WIOA programs:</w:t>
      </w:r>
      <w:r>
        <w:br/>
      </w:r>
      <w:hyperlink r:id="rId33">
        <w:hyperlink r:id="rId33">
          <w:r>
            <w:rPr>
              <w:rStyle w:val="Hyperlink"/>
            </w:rPr>
            <w:t xml:space="preserve">Source link</w:t>
          </w:r>
        </w:hyperlink>
      </w:hyperlink>
    </w:p>
    <w:p>
      <w:pPr>
        <w:pStyle w:val="BodyText"/>
      </w:pPr>
      <w:r>
        <w:t xml:space="preserve">American Job Centers:</w:t>
      </w:r>
      <w:r>
        <w:br/>
      </w:r>
      <w:hyperlink r:id="rId34">
        <w:hyperlink r:id="rId34">
          <w:r>
            <w:rPr>
              <w:rStyle w:val="Hyperlink"/>
            </w:rPr>
            <w:t xml:space="preserve">Source link</w:t>
          </w:r>
        </w:hyperlink>
      </w:hyperlink>
    </w:p>
    <w:p>
      <w:pPr>
        <w:pStyle w:val="BodyText"/>
      </w:pPr>
      <w:r>
        <w:t xml:space="preserve">WIOA Adult and Dislocated Worker Program:</w:t>
      </w:r>
      <w:r>
        <w:br/>
      </w:r>
      <w:hyperlink r:id="rId35">
        <w:hyperlink r:id="rId35">
          <w:r>
            <w:rPr>
              <w:rStyle w:val="Hyperlink"/>
            </w:rPr>
            <w:t xml:space="preserve">Source link</w:t>
          </w:r>
        </w:hyperlink>
      </w:hyperlink>
    </w:p>
    <w:p>
      <w:pPr>
        <w:pStyle w:val="BodyText"/>
      </w:pPr>
      <w:r>
        <w:t xml:space="preserve">Funding is eligibility-based and locally administered. This guide does not guarantee WIOA payment.</w:t>
      </w:r>
    </w:p>
    <w:bookmarkEnd w:id="36"/>
    <w:bookmarkStart w:id="42" w:name="Xe53efcf2267810efabef293def0a3aa349b6cf5"/>
    <w:p>
      <w:pPr>
        <w:pStyle w:val="Heading2"/>
      </w:pPr>
      <w:r>
        <w:t xml:space="preserve">8. Canada pathway</w:t>
      </w:r>
    </w:p>
    <w:p>
      <w:pPr>
        <w:pStyle w:val="FirstParagraph"/>
      </w:pPr>
      <w:r>
        <w:t xml:space="preserve">The closest national occupational grouping is</w:t>
      </w:r>
      <w:r>
        <w:t xml:space="preserve"> </w:t>
      </w:r>
      <w:r>
        <w:rPr>
          <w:bCs/>
          <w:b/>
        </w:rPr>
        <w:t xml:space="preserve">NOC 44101 — Home support workers, caregivers and related occupations</w:t>
      </w:r>
      <w:r>
        <w:t xml:space="preserve">.</w:t>
      </w:r>
    </w:p>
    <w:p>
      <w:pPr>
        <w:pStyle w:val="BodyText"/>
      </w:pPr>
      <w:r>
        <w:t xml:space="preserve">Government of Canada Job Bank describes these workers as providing personal care and companionship for seniors, persons with disabilities, and convalescent clients, generally in the client's residence. They may work for home-care/support agencies, private households, or be self-employed.</w:t>
      </w:r>
    </w:p>
    <w:p>
      <w:pPr>
        <w:pStyle w:val="BodyText"/>
      </w:pPr>
      <w:r>
        <w:t xml:space="preserve">Job Bank summarizes the usual entry level as secondary school or specific training and notes that several weeks of on-the-job training may be typical. Requirements can differ by province, employer, client group, and whether the work crosses into a regulated health occupation.</w:t>
      </w:r>
    </w:p>
    <w:p>
      <w:pPr>
        <w:pStyle w:val="BodyText"/>
      </w:pPr>
      <w:r>
        <w:t xml:space="preserve">Job Bank summary:</w:t>
      </w:r>
      <w:r>
        <w:br/>
      </w:r>
      <w:hyperlink r:id="rId37">
        <w:hyperlink r:id="rId37">
          <w:r>
            <w:rPr>
              <w:rStyle w:val="Hyperlink"/>
            </w:rPr>
            <w:t xml:space="preserve">Source link</w:t>
          </w:r>
        </w:hyperlink>
      </w:hyperlink>
    </w:p>
    <w:bookmarkStart w:id="39" w:name="canada-wages"/>
    <w:p>
      <w:pPr>
        <w:pStyle w:val="Heading3"/>
      </w:pPr>
      <w:r>
        <w:t xml:space="preserve">Canada wages</w:t>
      </w:r>
    </w:p>
    <w:p>
      <w:pPr>
        <w:pStyle w:val="FirstParagraph"/>
      </w:pPr>
      <w:r>
        <w:t xml:space="preserve">Job Bank's national wage report for NOC 44101, updated November 19, 2025 using a 2023–2024 Labour Force Survey reference period, reports:</w:t>
      </w:r>
    </w:p>
    <w:p>
      <w:pPr>
        <w:numPr>
          <w:ilvl w:val="0"/>
          <w:numId w:val="1007"/>
        </w:numPr>
        <w:pStyle w:val="Compact"/>
      </w:pPr>
      <w:r>
        <w:t xml:space="preserve">low:</w:t>
      </w:r>
      <w:r>
        <w:t xml:space="preserve"> </w:t>
      </w:r>
      <w:r>
        <w:rPr>
          <w:bCs/>
          <w:b/>
        </w:rPr>
        <w:t xml:space="preserve">CAD $16.00/hour</w:t>
      </w:r>
      <w:r>
        <w:t xml:space="preserve">;</w:t>
      </w:r>
    </w:p>
    <w:p>
      <w:pPr>
        <w:numPr>
          <w:ilvl w:val="0"/>
          <w:numId w:val="1007"/>
        </w:numPr>
        <w:pStyle w:val="Compact"/>
      </w:pPr>
      <w:r>
        <w:t xml:space="preserve">median:</w:t>
      </w:r>
      <w:r>
        <w:t xml:space="preserve"> </w:t>
      </w:r>
      <w:r>
        <w:rPr>
          <w:bCs/>
          <w:b/>
        </w:rPr>
        <w:t xml:space="preserve">CAD $20.50/hour</w:t>
      </w:r>
      <w:r>
        <w:t xml:space="preserve">;</w:t>
      </w:r>
    </w:p>
    <w:p>
      <w:pPr>
        <w:numPr>
          <w:ilvl w:val="0"/>
          <w:numId w:val="1007"/>
        </w:numPr>
        <w:pStyle w:val="Compact"/>
      </w:pPr>
      <w:r>
        <w:t xml:space="preserve">high:</w:t>
      </w:r>
      <w:r>
        <w:t xml:space="preserve"> </w:t>
      </w:r>
      <w:r>
        <w:rPr>
          <w:bCs/>
          <w:b/>
        </w:rPr>
        <w:t xml:space="preserve">CAD $27.00/hour</w:t>
      </w:r>
      <w:r>
        <w:t xml:space="preserve">.</w:t>
      </w:r>
    </w:p>
    <w:p>
      <w:pPr>
        <w:pStyle w:val="FirstParagraph"/>
      </w:pPr>
      <w:r>
        <w:t xml:space="preserve">These are Canadian-dollar hourly figures and vary substantially by province and region.</w:t>
      </w:r>
    </w:p>
    <w:p>
      <w:pPr>
        <w:pStyle w:val="BodyText"/>
      </w:pPr>
      <w:hyperlink r:id="rId38">
        <w:hyperlink r:id="rId38">
          <w:r>
            <w:rPr>
              <w:rStyle w:val="Hyperlink"/>
            </w:rPr>
            <w:t xml:space="preserve">Source link</w:t>
          </w:r>
        </w:hyperlink>
      </w:hyperlink>
    </w:p>
    <w:bookmarkEnd w:id="39"/>
    <w:bookmarkStart w:id="41" w:name="canada-outlook"/>
    <w:p>
      <w:pPr>
        <w:pStyle w:val="Heading3"/>
      </w:pPr>
      <w:r>
        <w:t xml:space="preserve">Canada outlook</w:t>
      </w:r>
    </w:p>
    <w:p>
      <w:pPr>
        <w:pStyle w:val="FirstParagraph"/>
      </w:pPr>
      <w:r>
        <w:t xml:space="preserve">Job Bank reports that prospects for NOC 44101</w:t>
      </w:r>
      <w:r>
        <w:t xml:space="preserve"> </w:t>
      </w:r>
      <w:r>
        <w:rPr>
          <w:bCs/>
          <w:b/>
        </w:rPr>
        <w:t xml:space="preserve">vary across Canada</w:t>
      </w:r>
      <w:r>
        <w:t xml:space="preserve">. Do not treat one province's rating as the national outlook. Check the current provincial and regional outlook where you plan to work.</w:t>
      </w:r>
    </w:p>
    <w:p>
      <w:pPr>
        <w:pStyle w:val="BodyText"/>
      </w:pPr>
      <w:hyperlink r:id="rId40">
        <w:hyperlink r:id="rId40">
          <w:r>
            <w:rPr>
              <w:rStyle w:val="Hyperlink"/>
            </w:rPr>
            <w:t xml:space="preserve">Source link</w:t>
          </w:r>
        </w:hyperlink>
      </w:hyperlink>
    </w:p>
    <w:bookmarkEnd w:id="41"/>
    <w:bookmarkEnd w:id="42"/>
    <w:bookmarkStart w:id="47" w:name="X806bc0cb839350be39333c4b269654bc3043f1d"/>
    <w:p>
      <w:pPr>
        <w:pStyle w:val="Heading2"/>
      </w:pPr>
      <w:r>
        <w:t xml:space="preserve">9. Canada free-first training and funding strategy</w:t>
      </w:r>
    </w:p>
    <w:p>
      <w:pPr>
        <w:pStyle w:val="FirstParagraph"/>
      </w:pPr>
      <w:r>
        <w:t xml:space="preserve">Start with public resources before paying a private provider:</w:t>
      </w:r>
    </w:p>
    <w:p>
      <w:pPr>
        <w:numPr>
          <w:ilvl w:val="0"/>
          <w:numId w:val="1008"/>
        </w:numPr>
        <w:pStyle w:val="Compact"/>
      </w:pPr>
      <w:r>
        <w:t xml:space="preserve">Canada training portal:</w:t>
      </w:r>
      <w:r>
        <w:t xml:space="preserve"> </w:t>
      </w:r>
      <w:hyperlink r:id="rId43">
        <w:hyperlink r:id="rId43">
          <w:r>
            <w:rPr>
              <w:rStyle w:val="Hyperlink"/>
            </w:rPr>
            <w:t xml:space="preserve">Source link</w:t>
          </w:r>
        </w:hyperlink>
      </w:hyperlink>
    </w:p>
    <w:p>
      <w:pPr>
        <w:numPr>
          <w:ilvl w:val="0"/>
          <w:numId w:val="1008"/>
        </w:numPr>
        <w:pStyle w:val="Compact"/>
      </w:pPr>
      <w:r>
        <w:t xml:space="preserve">Government of Canada Labour Market Agreements:</w:t>
      </w:r>
      <w:r>
        <w:t xml:space="preserve"> </w:t>
      </w:r>
      <w:hyperlink r:id="rId44">
        <w:hyperlink r:id="rId44">
          <w:r>
            <w:rPr>
              <w:rStyle w:val="Hyperlink"/>
            </w:rPr>
            <w:t xml:space="preserve">Source link</w:t>
          </w:r>
        </w:hyperlink>
      </w:hyperlink>
    </w:p>
    <w:p>
      <w:pPr>
        <w:numPr>
          <w:ilvl w:val="0"/>
          <w:numId w:val="1008"/>
        </w:numPr>
        <w:pStyle w:val="Compact"/>
      </w:pPr>
      <w:r>
        <w:t xml:space="preserve">Skills for Success:</w:t>
      </w:r>
      <w:r>
        <w:t xml:space="preserve"> </w:t>
      </w:r>
      <w:hyperlink r:id="rId45">
        <w:hyperlink r:id="rId45">
          <w:r>
            <w:rPr>
              <w:rStyle w:val="Hyperlink"/>
            </w:rPr>
            <w:t xml:space="preserve">Source link</w:t>
          </w:r>
        </w:hyperlink>
      </w:hyperlink>
    </w:p>
    <w:p>
      <w:pPr>
        <w:numPr>
          <w:ilvl w:val="0"/>
          <w:numId w:val="1008"/>
        </w:numPr>
        <w:pStyle w:val="Compact"/>
      </w:pPr>
      <w:r>
        <w:t xml:space="preserve">Job Bank occupation/training information:</w:t>
      </w:r>
      <w:r>
        <w:t xml:space="preserve"> </w:t>
      </w:r>
      <w:hyperlink r:id="rId46">
        <w:r>
          <w:rPr>
            <w:rStyle w:val="Hyperlink"/>
          </w:rPr>
          <w:t xml:space="preserve">https://www.jobbank.gc.ca/</w:t>
        </w:r>
      </w:hyperlink>
    </w:p>
    <w:p>
      <w:pPr>
        <w:pStyle w:val="FirstParagraph"/>
      </w:pPr>
      <w:r>
        <w:t xml:space="preserve">Canada's Labour Market Development Agreements and Workforce Development Agreements fund province- and territory-delivered training and employment supports. Eligibility and available programs vary. Skills for Success also provides free assessment and learning resources for foundational workplace skills.</w:t>
      </w:r>
    </w:p>
    <w:p>
      <w:pPr>
        <w:pStyle w:val="BodyText"/>
      </w:pPr>
      <w:r>
        <w:t xml:space="preserve">Ask the province/territory, training provider, and prospective employer whether a particular program meets local hiring or regulatory requirements.</w:t>
      </w:r>
    </w:p>
    <w:bookmarkEnd w:id="47"/>
    <w:bookmarkStart w:id="56" w:name="Xb3968bf85c7e3686c5f6285a89c99658f998414"/>
    <w:p>
      <w:pPr>
        <w:pStyle w:val="Heading2"/>
      </w:pPr>
      <w:r>
        <w:t xml:space="preserve">10. Colombia pathway</w:t>
      </w:r>
    </w:p>
    <w:p>
      <w:pPr>
        <w:pStyle w:val="FirstParagraph"/>
      </w:pPr>
      <w:r>
        <w:t xml:space="preserve">Colombia requires an important distinction between</w:t>
      </w:r>
      <w:r>
        <w:t xml:space="preserve"> </w:t>
      </w:r>
      <w:r>
        <w:rPr>
          <w:bCs/>
          <w:b/>
        </w:rPr>
        <w:t xml:space="preserve">general caregiving/personal assistance</w:t>
      </w:r>
      <w:r>
        <w:t xml:space="preserve"> </w:t>
      </w:r>
      <w:r>
        <w:t xml:space="preserve">and regulated</w:t>
      </w:r>
      <w:r>
        <w:t xml:space="preserve"> </w:t>
      </w:r>
      <w:r>
        <w:rPr>
          <w:bCs/>
          <w:b/>
        </w:rPr>
        <w:t xml:space="preserve">health-auxiliary</w:t>
      </w:r>
      <w:r>
        <w:t xml:space="preserve"> </w:t>
      </w:r>
      <w:r>
        <w:t xml:space="preserve">practice.</w:t>
      </w:r>
    </w:p>
    <w:bookmarkStart w:id="49" w:name="Xad4a62fa3a2457ecc7debca63d151b4333bdd0e"/>
    <w:p>
      <w:pPr>
        <w:pStyle w:val="Heading3"/>
      </w:pPr>
      <w:r>
        <w:t xml:space="preserve">General caregiver or personal-assistance pathway</w:t>
      </w:r>
    </w:p>
    <w:p>
      <w:pPr>
        <w:pStyle w:val="FirstParagraph"/>
      </w:pPr>
      <w:r>
        <w:t xml:space="preserve">A caregiver may support activities of daily living, autonomy, companionship, and personal assistance according to the person's needs and the applicable employment/service arrangement.</w:t>
      </w:r>
    </w:p>
    <w:p>
      <w:pPr>
        <w:pStyle w:val="BodyText"/>
      </w:pPr>
      <w:r>
        <w:rPr>
          <w:bCs/>
          <w:b/>
        </w:rPr>
        <w:t xml:space="preserve">Ley 2297 de 2023</w:t>
      </w:r>
      <w:r>
        <w:t xml:space="preserve"> </w:t>
      </w:r>
      <w:r>
        <w:t xml:space="preserve">created a national framework concerning caregivers or personal assistants of persons with disabilities, including orientation/training and evaluation/certification of competencies within Colombia's qualifications framework.</w:t>
      </w:r>
    </w:p>
    <w:p>
      <w:pPr>
        <w:pStyle w:val="BodyText"/>
      </w:pPr>
      <w:r>
        <w:t xml:space="preserve">SENA Normograma — Ley 2297 de 2023:</w:t>
      </w:r>
      <w:r>
        <w:br/>
      </w:r>
      <w:hyperlink r:id="rId48">
        <w:hyperlink r:id="rId48">
          <w:r>
            <w:rPr>
              <w:rStyle w:val="Hyperlink"/>
            </w:rPr>
            <w:t xml:space="preserve">Source link</w:t>
          </w:r>
        </w:hyperlink>
      </w:hyperlink>
    </w:p>
    <w:bookmarkEnd w:id="49"/>
    <w:bookmarkStart w:id="52" w:name="sena-caregiver-competency-certification"/>
    <w:p>
      <w:pPr>
        <w:pStyle w:val="Heading3"/>
      </w:pPr>
      <w:r>
        <w:t xml:space="preserve">SENA caregiver competency certification</w:t>
      </w:r>
    </w:p>
    <w:p>
      <w:pPr>
        <w:pStyle w:val="FirstParagraph"/>
      </w:pPr>
      <w:r>
        <w:t xml:space="preserve">SENA has continued to recognize caregiver skills through its</w:t>
      </w:r>
      <w:r>
        <w:t xml:space="preserve"> </w:t>
      </w:r>
      <w:r>
        <w:rPr>
          <w:bCs/>
          <w:b/>
        </w:rPr>
        <w:t xml:space="preserve">Evaluación y Certificación de Competencias Laborales (ECCL)</w:t>
      </w:r>
      <w:r>
        <w:t xml:space="preserve"> </w:t>
      </w:r>
      <w:r>
        <w:t xml:space="preserve">process. In March 2026, SENA announced the “Manos que Cuidan” Certificatón, including standards related to:</w:t>
      </w:r>
    </w:p>
    <w:p>
      <w:pPr>
        <w:numPr>
          <w:ilvl w:val="0"/>
          <w:numId w:val="1009"/>
        </w:numPr>
        <w:pStyle w:val="Compact"/>
      </w:pPr>
      <w:r>
        <w:t xml:space="preserve">caring for people according to protocols for activities of daily living and degree of autonomy; and</w:t>
      </w:r>
    </w:p>
    <w:p>
      <w:pPr>
        <w:numPr>
          <w:ilvl w:val="0"/>
          <w:numId w:val="1009"/>
        </w:numPr>
        <w:pStyle w:val="Compact"/>
      </w:pPr>
      <w:r>
        <w:t xml:space="preserve">accompaniment according to spiritual and emotional preferences.</w:t>
      </w:r>
    </w:p>
    <w:p>
      <w:pPr>
        <w:pStyle w:val="FirstParagraph"/>
      </w:pPr>
      <w:r>
        <w:t xml:space="preserve">That specific enrollment window has already closed. It should be treated as evidence that a competency-certification pathway exists, not as a currently open offer.</w:t>
      </w:r>
    </w:p>
    <w:p>
      <w:pPr>
        <w:pStyle w:val="BodyText"/>
      </w:pPr>
      <w:r>
        <w:t xml:space="preserve">SENA March 20, 2026 announcement:</w:t>
      </w:r>
      <w:r>
        <w:br/>
      </w:r>
      <w:hyperlink r:id="rId50">
        <w:hyperlink r:id="rId50">
          <w:r>
            <w:rPr>
              <w:rStyle w:val="Hyperlink"/>
            </w:rPr>
            <w:t xml:space="preserve">Source link</w:t>
          </w:r>
        </w:hyperlink>
      </w:hyperlink>
    </w:p>
    <w:p>
      <w:pPr>
        <w:pStyle w:val="BodyText"/>
      </w:pPr>
      <w:r>
        <w:t xml:space="preserve">SENA also reported additional caregiver certifications in July 2026, confirming that this competency-recognition work continued during 2026:</w:t>
      </w:r>
      <w:r>
        <w:br/>
      </w:r>
      <w:hyperlink r:id="rId51">
        <w:hyperlink r:id="rId51">
          <w:r>
            <w:rPr>
              <w:rStyle w:val="Hyperlink"/>
            </w:rPr>
            <w:t xml:space="preserve">Source link</w:t>
          </w:r>
        </w:hyperlink>
      </w:hyperlink>
    </w:p>
    <w:p>
      <w:pPr>
        <w:pStyle w:val="BodyText"/>
      </w:pPr>
      <w:r>
        <w:t xml:space="preserve">Check SENA's current offerings and ECCL opportunities rather than relying on an expired campaign.</w:t>
      </w:r>
    </w:p>
    <w:bookmarkEnd w:id="52"/>
    <w:bookmarkStart w:id="55" w:name="regulated-health-auxiliary-boundary"/>
    <w:p>
      <w:pPr>
        <w:pStyle w:val="Heading3"/>
      </w:pPr>
      <w:r>
        <w:t xml:space="preserve">Regulated health-auxiliary boundary</w:t>
      </w:r>
    </w:p>
    <w:p>
      <w:pPr>
        <w:pStyle w:val="FirstParagraph"/>
      </w:pPr>
      <w:r>
        <w:t xml:space="preserve">Colombia's Ministry of Health states that</w:t>
      </w:r>
      <w:r>
        <w:t xml:space="preserve"> </w:t>
      </w:r>
      <w:r>
        <w:rPr>
          <w:bCs/>
          <w:b/>
        </w:rPr>
        <w:t xml:space="preserve">Educación para el Trabajo y el Desarrollo Humano</w:t>
      </w:r>
      <w:r>
        <w:t xml:space="preserve"> </w:t>
      </w:r>
      <w:r>
        <w:t xml:space="preserve">in the health area is governed by the rules for</w:t>
      </w:r>
      <w:r>
        <w:t xml:space="preserve"> </w:t>
      </w:r>
      <w:r>
        <w:rPr>
          <w:bCs/>
          <w:b/>
        </w:rPr>
        <w:t xml:space="preserve">Talento Humano en Salud</w:t>
      </w:r>
      <w:r>
        <w:t xml:space="preserve">, and that health-auxiliary occupational profiles support and complement comprehensive health care.</w:t>
      </w:r>
    </w:p>
    <w:p>
      <w:pPr>
        <w:pStyle w:val="BodyText"/>
      </w:pPr>
      <w:r>
        <w:t xml:space="preserve">Therefore, caregiver experience or a caregiver competency certificate does</w:t>
      </w:r>
      <w:r>
        <w:t xml:space="preserve"> </w:t>
      </w:r>
      <w:r>
        <w:rPr>
          <w:bCs/>
          <w:b/>
        </w:rPr>
        <w:t xml:space="preserve">not</w:t>
      </w:r>
      <w:r>
        <w:t xml:space="preserve"> </w:t>
      </w:r>
      <w:r>
        <w:t xml:space="preserve">automatically authorize someone to perform the regulated duties of an</w:t>
      </w:r>
      <w:r>
        <w:t xml:space="preserve"> </w:t>
      </w:r>
      <w:r>
        <w:rPr>
          <w:bCs/>
          <w:b/>
        </w:rPr>
        <w:t xml:space="preserve">Auxiliar en Salud</w:t>
      </w:r>
      <w:r>
        <w:t xml:space="preserve">, such as clinical procedures reserved to properly trained and authorized health personnel.</w:t>
      </w:r>
    </w:p>
    <w:p>
      <w:pPr>
        <w:pStyle w:val="BodyText"/>
      </w:pPr>
      <w:r>
        <w:t xml:space="preserve">Ministry of Health — Formación Talento Humano en Salud:</w:t>
      </w:r>
      <w:r>
        <w:br/>
      </w:r>
      <w:hyperlink r:id="rId53">
        <w:hyperlink r:id="rId53">
          <w:r>
            <w:rPr>
              <w:rStyle w:val="Hyperlink"/>
            </w:rPr>
            <w:t xml:space="preserve">Source link</w:t>
          </w:r>
        </w:hyperlink>
      </w:hyperlink>
    </w:p>
    <w:p>
      <w:pPr>
        <w:pStyle w:val="BodyText"/>
      </w:pPr>
      <w:r>
        <w:t xml:space="preserve">Ministry of Health — Profesiones y ocupaciones:</w:t>
      </w:r>
      <w:r>
        <w:br/>
      </w:r>
      <w:hyperlink r:id="rId54">
        <w:hyperlink r:id="rId54">
          <w:r>
            <w:rPr>
              <w:rStyle w:val="Hyperlink"/>
            </w:rPr>
            <w:t xml:space="preserve">Source link</w:t>
          </w:r>
        </w:hyperlink>
      </w:hyperlink>
    </w:p>
    <w:bookmarkEnd w:id="55"/>
    <w:bookmarkEnd w:id="56"/>
    <w:bookmarkStart w:id="58" w:name="X814d4105de0cabd83927dd5f4d91a75ac95db8e"/>
    <w:p>
      <w:pPr>
        <w:pStyle w:val="Heading2"/>
      </w:pPr>
      <w:r>
        <w:t xml:space="preserve">11. Colombia free-first strategy</w:t>
      </w:r>
    </w:p>
    <w:p>
      <w:pPr>
        <w:numPr>
          <w:ilvl w:val="0"/>
          <w:numId w:val="1010"/>
        </w:numPr>
        <w:pStyle w:val="Compact"/>
      </w:pPr>
      <w:r>
        <w:t xml:space="preserve">Decide whether you are pursuing a general caregiver/personal-assistance role or a regulated health-auxiliary role.</w:t>
      </w:r>
    </w:p>
    <w:p>
      <w:pPr>
        <w:numPr>
          <w:ilvl w:val="0"/>
          <w:numId w:val="1010"/>
        </w:numPr>
        <w:pStyle w:val="Compact"/>
      </w:pPr>
      <w:r>
        <w:t xml:space="preserve">For caregiving, check current</w:t>
      </w:r>
      <w:r>
        <w:t xml:space="preserve"> </w:t>
      </w:r>
      <w:r>
        <w:rPr>
          <w:bCs/>
          <w:b/>
        </w:rPr>
        <w:t xml:space="preserve">SENA ECCL</w:t>
      </w:r>
      <w:r>
        <w:t xml:space="preserve"> </w:t>
      </w:r>
      <w:r>
        <w:t xml:space="preserve">caregiver competency opportunities and current SENA training offerings.</w:t>
      </w:r>
    </w:p>
    <w:p>
      <w:pPr>
        <w:numPr>
          <w:ilvl w:val="0"/>
          <w:numId w:val="1010"/>
        </w:numPr>
        <w:pStyle w:val="Compact"/>
      </w:pPr>
      <w:r>
        <w:t xml:space="preserve">If pursuing an Auxiliar en Salud pathway, verify that the program and institution satisfy current Colombian health-training requirements before enrollment.</w:t>
      </w:r>
    </w:p>
    <w:p>
      <w:pPr>
        <w:numPr>
          <w:ilvl w:val="0"/>
          <w:numId w:val="1010"/>
        </w:numPr>
        <w:pStyle w:val="Compact"/>
      </w:pPr>
      <w:r>
        <w:t xml:space="preserve">Ask the employer to specify the exact functions expected and whether professional/occupational registration or a particular health credential is required.</w:t>
      </w:r>
    </w:p>
    <w:p>
      <w:pPr>
        <w:numPr>
          <w:ilvl w:val="0"/>
          <w:numId w:val="1010"/>
        </w:numPr>
        <w:pStyle w:val="Compact"/>
      </w:pPr>
      <w:r>
        <w:t xml:space="preserve">Do not pay for a course solely because its marketing uses words such as “health,” “clinical,” or “home care.” Verify recognition first.</w:t>
      </w:r>
    </w:p>
    <w:p>
      <w:pPr>
        <w:pStyle w:val="FirstParagraph"/>
      </w:pPr>
      <w:r>
        <w:t xml:space="preserve">SENA:</w:t>
      </w:r>
      <w:r>
        <w:t xml:space="preserve"> </w:t>
      </w:r>
      <w:hyperlink r:id="rId57">
        <w:r>
          <w:rPr>
            <w:rStyle w:val="Hyperlink"/>
          </w:rPr>
          <w:t xml:space="preserve">https://www.sena.edu.co/</w:t>
        </w:r>
      </w:hyperlink>
    </w:p>
    <w:bookmarkEnd w:id="58"/>
    <w:bookmarkStart w:id="65" w:name="X86ef3c1daa2679d707ec2561c45469a3a8b52d4"/>
    <w:p>
      <w:pPr>
        <w:pStyle w:val="Heading2"/>
      </w:pPr>
      <w:r>
        <w:t xml:space="preserve">12. Skills employers value</w:t>
      </w:r>
    </w:p>
    <w:bookmarkStart w:id="59" w:name="reliability"/>
    <w:p>
      <w:pPr>
        <w:pStyle w:val="Heading3"/>
      </w:pPr>
      <w:r>
        <w:t xml:space="preserve">Reliability</w:t>
      </w:r>
    </w:p>
    <w:p>
      <w:pPr>
        <w:pStyle w:val="FirstParagraph"/>
      </w:pPr>
      <w:r>
        <w:t xml:space="preserve">Clients may depend on you for essential daily routines. Consistent arrival, accurate handoffs, and following the care plan matter.</w:t>
      </w:r>
    </w:p>
    <w:bookmarkEnd w:id="59"/>
    <w:bookmarkStart w:id="60" w:name="observation"/>
    <w:p>
      <w:pPr>
        <w:pStyle w:val="Heading3"/>
      </w:pPr>
      <w:r>
        <w:t xml:space="preserve">Observation</w:t>
      </w:r>
    </w:p>
    <w:p>
      <w:pPr>
        <w:pStyle w:val="FirstParagraph"/>
      </w:pPr>
      <w:r>
        <w:t xml:space="preserve">Notice meaningful changes and report them through the correct channel. Do not convert observation into an unauthorized diagnosis.</w:t>
      </w:r>
    </w:p>
    <w:bookmarkEnd w:id="60"/>
    <w:bookmarkStart w:id="61" w:name="communication"/>
    <w:p>
      <w:pPr>
        <w:pStyle w:val="Heading3"/>
      </w:pPr>
      <w:r>
        <w:t xml:space="preserve">Communication</w:t>
      </w:r>
    </w:p>
    <w:p>
      <w:pPr>
        <w:pStyle w:val="FirstParagraph"/>
      </w:pPr>
      <w:r>
        <w:t xml:space="preserve">Use clear, respectful language with the client and family. Confirm instructions when they are unclear.</w:t>
      </w:r>
    </w:p>
    <w:bookmarkEnd w:id="61"/>
    <w:bookmarkStart w:id="62" w:name="documentation"/>
    <w:p>
      <w:pPr>
        <w:pStyle w:val="Heading3"/>
      </w:pPr>
      <w:r>
        <w:t xml:space="preserve">Documentation</w:t>
      </w:r>
    </w:p>
    <w:p>
      <w:pPr>
        <w:pStyle w:val="FirstParagraph"/>
      </w:pPr>
      <w:r>
        <w:t xml:space="preserve">Record what you actually observed and did. Avoid assumptions, exaggeration, copied boilerplate, or undocumented clinical conclusions.</w:t>
      </w:r>
    </w:p>
    <w:bookmarkEnd w:id="62"/>
    <w:bookmarkStart w:id="63" w:name="boundaries"/>
    <w:p>
      <w:pPr>
        <w:pStyle w:val="Heading3"/>
      </w:pPr>
      <w:r>
        <w:t xml:space="preserve">Boundaries</w:t>
      </w:r>
    </w:p>
    <w:p>
      <w:pPr>
        <w:pStyle w:val="FirstParagraph"/>
      </w:pPr>
      <w:r>
        <w:t xml:space="preserve">Do not borrow money, accept inappropriate gifts, become a client's financial decision-maker without lawful authorization, share passwords, post client information online, or privately expand your duties beyond the approved arrangement.</w:t>
      </w:r>
    </w:p>
    <w:bookmarkEnd w:id="63"/>
    <w:bookmarkStart w:id="64" w:name="dignity-and-autonomy"/>
    <w:p>
      <w:pPr>
        <w:pStyle w:val="Heading3"/>
      </w:pPr>
      <w:r>
        <w:t xml:space="preserve">Dignity and autonomy</w:t>
      </w:r>
    </w:p>
    <w:p>
      <w:pPr>
        <w:pStyle w:val="FirstParagraph"/>
      </w:pPr>
      <w:r>
        <w:t xml:space="preserve">Ask before touching, explain what you are doing, protect privacy, and support the person's ability to make choices whenever possible.</w:t>
      </w:r>
    </w:p>
    <w:bookmarkEnd w:id="64"/>
    <w:bookmarkEnd w:id="65"/>
    <w:bookmarkStart w:id="71" w:name="X3dcee1b3a5850c7cfc8fcd517787fa1514bb149"/>
    <w:p>
      <w:pPr>
        <w:pStyle w:val="Heading2"/>
      </w:pPr>
      <w:r>
        <w:t xml:space="preserve">13. Safety fundamentals</w:t>
      </w:r>
    </w:p>
    <w:bookmarkStart w:id="66" w:name="transfers-and-body-mechanics"/>
    <w:p>
      <w:pPr>
        <w:pStyle w:val="Heading3"/>
      </w:pPr>
      <w:r>
        <w:t xml:space="preserve">Transfers and body mechanics</w:t>
      </w:r>
    </w:p>
    <w:p>
      <w:pPr>
        <w:pStyle w:val="FirstParagraph"/>
      </w:pPr>
      <w:r>
        <w:t xml:space="preserve">Use the equipment and technique you were trained to use. A rushed unsafe transfer can injure both worker and client.</w:t>
      </w:r>
    </w:p>
    <w:bookmarkEnd w:id="66"/>
    <w:bookmarkStart w:id="67" w:name="fall-prevention"/>
    <w:p>
      <w:pPr>
        <w:pStyle w:val="Heading3"/>
      </w:pPr>
      <w:r>
        <w:t xml:space="preserve">Fall prevention</w:t>
      </w:r>
    </w:p>
    <w:p>
      <w:pPr>
        <w:pStyle w:val="FirstParagraph"/>
      </w:pPr>
      <w:r>
        <w:t xml:space="preserve">Keep pathways clear, use prescribed mobility aids correctly, report new unsteadiness, and follow the care plan rather than improvising.</w:t>
      </w:r>
    </w:p>
    <w:bookmarkEnd w:id="67"/>
    <w:bookmarkStart w:id="68" w:name="infection-prevention"/>
    <w:p>
      <w:pPr>
        <w:pStyle w:val="Heading3"/>
      </w:pPr>
      <w:r>
        <w:t xml:space="preserve">Infection prevention</w:t>
      </w:r>
    </w:p>
    <w:p>
      <w:pPr>
        <w:pStyle w:val="FirstParagraph"/>
      </w:pPr>
      <w:r>
        <w:t xml:space="preserve">Follow hand hygiene, personal protective equipment, cleaning, exposure, and reporting procedures required by your employer and setting.</w:t>
      </w:r>
    </w:p>
    <w:bookmarkEnd w:id="68"/>
    <w:bookmarkStart w:id="69" w:name="emergencies"/>
    <w:p>
      <w:pPr>
        <w:pStyle w:val="Heading3"/>
      </w:pPr>
      <w:r>
        <w:t xml:space="preserve">Emergencies</w:t>
      </w:r>
    </w:p>
    <w:p>
      <w:pPr>
        <w:pStyle w:val="FirstParagraph"/>
      </w:pPr>
      <w:r>
        <w:t xml:space="preserve">Know whom to call, when to activate emergency medical services, where emergency information is kept, and what you are authorized and trained to do while help is coming.</w:t>
      </w:r>
    </w:p>
    <w:bookmarkEnd w:id="69"/>
    <w:bookmarkStart w:id="70" w:name="violence-and-unsafe-homes"/>
    <w:p>
      <w:pPr>
        <w:pStyle w:val="Heading3"/>
      </w:pPr>
      <w:r>
        <w:t xml:space="preserve">Violence and unsafe homes</w:t>
      </w:r>
    </w:p>
    <w:p>
      <w:pPr>
        <w:pStyle w:val="FirstParagraph"/>
      </w:pPr>
      <w:r>
        <w:t xml:space="preserve">A home is also a workplace. Report threats, weapons concerns, aggressive animals, unsafe environmental conditions, harassment, or situations in which you cannot safely provide care.</w:t>
      </w:r>
    </w:p>
    <w:bookmarkEnd w:id="70"/>
    <w:bookmarkEnd w:id="71"/>
    <w:bookmarkStart w:id="72" w:name="X141e16f3a26feb3344810ccb26efe26235a16e8"/>
    <w:p>
      <w:pPr>
        <w:pStyle w:val="Heading2"/>
      </w:pPr>
      <w:r>
        <w:t xml:space="preserve">14. Medication boundary</w:t>
      </w:r>
    </w:p>
    <w:p>
      <w:pPr>
        <w:pStyle w:val="FirstParagraph"/>
      </w:pPr>
      <w:r>
        <w:t xml:space="preserve">Medication rules differ widely. “Reminding” a client to take a medication is not necessarily the same legal activity as administering medication.</w:t>
      </w:r>
    </w:p>
    <w:p>
      <w:pPr>
        <w:pStyle w:val="BodyText"/>
      </w:pPr>
      <w:r>
        <w:t xml:space="preserve">Never assume medication administration is allowed. Verify:</w:t>
      </w:r>
    </w:p>
    <w:p>
      <w:pPr>
        <w:numPr>
          <w:ilvl w:val="0"/>
          <w:numId w:val="1011"/>
        </w:numPr>
        <w:pStyle w:val="Compact"/>
      </w:pPr>
      <w:r>
        <w:t xml:space="preserve">applicable law;</w:t>
      </w:r>
    </w:p>
    <w:p>
      <w:pPr>
        <w:numPr>
          <w:ilvl w:val="0"/>
          <w:numId w:val="1011"/>
        </w:numPr>
        <w:pStyle w:val="Compact"/>
      </w:pPr>
      <w:r>
        <w:t xml:space="preserve">your credential and training;</w:t>
      </w:r>
    </w:p>
    <w:p>
      <w:pPr>
        <w:numPr>
          <w:ilvl w:val="0"/>
          <w:numId w:val="1011"/>
        </w:numPr>
        <w:pStyle w:val="Compact"/>
      </w:pPr>
      <w:r>
        <w:t xml:space="preserve">employer policy;</w:t>
      </w:r>
    </w:p>
    <w:p>
      <w:pPr>
        <w:numPr>
          <w:ilvl w:val="0"/>
          <w:numId w:val="1011"/>
        </w:numPr>
        <w:pStyle w:val="Compact"/>
      </w:pPr>
      <w:r>
        <w:t xml:space="preserve">the written care plan/order;</w:t>
      </w:r>
    </w:p>
    <w:p>
      <w:pPr>
        <w:numPr>
          <w:ilvl w:val="0"/>
          <w:numId w:val="1011"/>
        </w:numPr>
        <w:pStyle w:val="Compact"/>
      </w:pPr>
      <w:r>
        <w:t xml:space="preserve">required supervision and documentation.</w:t>
      </w:r>
    </w:p>
    <w:p>
      <w:pPr>
        <w:pStyle w:val="FirstParagraph"/>
      </w:pPr>
      <w:r>
        <w:t xml:space="preserve">When uncertain, stop and escalate to the authorized supervisor or clinician.</w:t>
      </w:r>
    </w:p>
    <w:bookmarkEnd w:id="72"/>
    <w:bookmarkStart w:id="73" w:name="X31cb87564f87984dd3f7763d4318317bb1c57e4"/>
    <w:p>
      <w:pPr>
        <w:pStyle w:val="Heading2"/>
      </w:pPr>
      <w:r>
        <w:t xml:space="preserve">15. Privacy and confidentiality</w:t>
      </w:r>
    </w:p>
    <w:p>
      <w:pPr>
        <w:pStyle w:val="FirstParagraph"/>
      </w:pPr>
      <w:r>
        <w:t xml:space="preserve">You may see highly sensitive information about health, disability, finances, family relationships, medications, living conditions, or identity.</w:t>
      </w:r>
    </w:p>
    <w:p>
      <w:pPr>
        <w:pStyle w:val="BodyText"/>
      </w:pPr>
      <w:r>
        <w:t xml:space="preserve">Good practice includes:</w:t>
      </w:r>
    </w:p>
    <w:p>
      <w:pPr>
        <w:numPr>
          <w:ilvl w:val="0"/>
          <w:numId w:val="1012"/>
        </w:numPr>
        <w:pStyle w:val="Compact"/>
      </w:pPr>
      <w:r>
        <w:t xml:space="preserve">use only approved systems and communication channels;</w:t>
      </w:r>
    </w:p>
    <w:p>
      <w:pPr>
        <w:numPr>
          <w:ilvl w:val="0"/>
          <w:numId w:val="1012"/>
        </w:numPr>
        <w:pStyle w:val="Compact"/>
      </w:pPr>
      <w:r>
        <w:t xml:space="preserve">access only information needed for your work;</w:t>
      </w:r>
    </w:p>
    <w:p>
      <w:pPr>
        <w:numPr>
          <w:ilvl w:val="0"/>
          <w:numId w:val="1012"/>
        </w:numPr>
        <w:pStyle w:val="Compact"/>
      </w:pPr>
      <w:r>
        <w:t xml:space="preserve">do not photograph records or clients on a personal device unless expressly authorized;</w:t>
      </w:r>
    </w:p>
    <w:p>
      <w:pPr>
        <w:numPr>
          <w:ilvl w:val="0"/>
          <w:numId w:val="1012"/>
        </w:numPr>
        <w:pStyle w:val="Compact"/>
      </w:pPr>
      <w:r>
        <w:t xml:space="preserve">do not discuss clients in public places or on social media;</w:t>
      </w:r>
    </w:p>
    <w:p>
      <w:pPr>
        <w:numPr>
          <w:ilvl w:val="0"/>
          <w:numId w:val="1012"/>
        </w:numPr>
        <w:pStyle w:val="Compact"/>
      </w:pPr>
      <w:r>
        <w:t xml:space="preserve">verify recipients before sending messages;</w:t>
      </w:r>
    </w:p>
    <w:p>
      <w:pPr>
        <w:numPr>
          <w:ilvl w:val="0"/>
          <w:numId w:val="1012"/>
        </w:numPr>
        <w:pStyle w:val="Compact"/>
      </w:pPr>
      <w:r>
        <w:t xml:space="preserve">report privacy mistakes promptly through employer procedures.</w:t>
      </w:r>
    </w:p>
    <w:bookmarkEnd w:id="73"/>
    <w:bookmarkStart w:id="75" w:name="Xef78e595a1fabdbafe7e5a6c45591cf2c49b70f"/>
    <w:p>
      <w:pPr>
        <w:pStyle w:val="Heading2"/>
      </w:pPr>
      <w:r>
        <w:t xml:space="preserve">16. Responsible use of artificial intelligence</w:t>
      </w:r>
    </w:p>
    <w:p>
      <w:pPr>
        <w:pStyle w:val="FirstParagraph"/>
      </w:pPr>
      <w:r>
        <w:t xml:space="preserve">AI can be useful for</w:t>
      </w:r>
      <w:r>
        <w:t xml:space="preserve"> </w:t>
      </w:r>
      <w:r>
        <w:rPr>
          <w:bCs/>
          <w:b/>
        </w:rPr>
        <w:t xml:space="preserve">learning and administrative preparation</w:t>
      </w:r>
      <w:r>
        <w:t xml:space="preserve">, for example:</w:t>
      </w:r>
    </w:p>
    <w:p>
      <w:pPr>
        <w:numPr>
          <w:ilvl w:val="0"/>
          <w:numId w:val="1013"/>
        </w:numPr>
        <w:pStyle w:val="Compact"/>
      </w:pPr>
      <w:r>
        <w:t xml:space="preserve">explaining unfamiliar non-client-specific terminology;</w:t>
      </w:r>
    </w:p>
    <w:p>
      <w:pPr>
        <w:numPr>
          <w:ilvl w:val="0"/>
          <w:numId w:val="1013"/>
        </w:numPr>
        <w:pStyle w:val="Compact"/>
      </w:pPr>
      <w:r>
        <w:t xml:space="preserve">creating study quizzes from public course material;</w:t>
      </w:r>
    </w:p>
    <w:p>
      <w:pPr>
        <w:numPr>
          <w:ilvl w:val="0"/>
          <w:numId w:val="1013"/>
        </w:numPr>
        <w:pStyle w:val="Compact"/>
      </w:pPr>
      <w:r>
        <w:t xml:space="preserve">practicing interview answers;</w:t>
      </w:r>
    </w:p>
    <w:p>
      <w:pPr>
        <w:numPr>
          <w:ilvl w:val="0"/>
          <w:numId w:val="1013"/>
        </w:numPr>
        <w:pStyle w:val="Compact"/>
      </w:pPr>
      <w:r>
        <w:t xml:space="preserve">improving a résumé or cover letter using truthful experience;</w:t>
      </w:r>
    </w:p>
    <w:p>
      <w:pPr>
        <w:numPr>
          <w:ilvl w:val="0"/>
          <w:numId w:val="1013"/>
        </w:numPr>
        <w:pStyle w:val="Compact"/>
      </w:pPr>
      <w:r>
        <w:t xml:space="preserve">creating generic checklists or scheduling templates;</w:t>
      </w:r>
    </w:p>
    <w:p>
      <w:pPr>
        <w:numPr>
          <w:ilvl w:val="0"/>
          <w:numId w:val="1013"/>
        </w:numPr>
        <w:pStyle w:val="Compact"/>
      </w:pPr>
      <w:r>
        <w:t xml:space="preserve">translating non-confidential practice material for learning, followed by human review.</w:t>
      </w:r>
    </w:p>
    <w:bookmarkStart w:id="74" w:name="X17a418da604b6a4338346cc2808218ffd28d27a"/>
    <w:p>
      <w:pPr>
        <w:pStyle w:val="Heading3"/>
      </w:pPr>
      <w:r>
        <w:t xml:space="preserve">Do not put identifiable client data into public AI tools</w:t>
      </w:r>
    </w:p>
    <w:p>
      <w:pPr>
        <w:pStyle w:val="FirstParagraph"/>
      </w:pPr>
      <w:r>
        <w:t xml:space="preserve">Do not enter names, diagnoses, addresses, photographs, care notes, medication lists, dates of birth, insurance information, or other identifiable client/patient information into a public generative-AI system unless your employer has specifically approved a compliant system and that exact use.</w:t>
      </w:r>
    </w:p>
    <w:p>
      <w:pPr>
        <w:pStyle w:val="BodyText"/>
      </w:pPr>
      <w:r>
        <w:t xml:space="preserve">AI must not replace:</w:t>
      </w:r>
    </w:p>
    <w:p>
      <w:pPr>
        <w:numPr>
          <w:ilvl w:val="0"/>
          <w:numId w:val="1014"/>
        </w:numPr>
        <w:pStyle w:val="Compact"/>
      </w:pPr>
      <w:r>
        <w:t xml:space="preserve">emergency procedures;</w:t>
      </w:r>
    </w:p>
    <w:p>
      <w:pPr>
        <w:numPr>
          <w:ilvl w:val="0"/>
          <w:numId w:val="1014"/>
        </w:numPr>
        <w:pStyle w:val="Compact"/>
      </w:pPr>
      <w:r>
        <w:t xml:space="preserve">the client's care plan;</w:t>
      </w:r>
    </w:p>
    <w:p>
      <w:pPr>
        <w:numPr>
          <w:ilvl w:val="0"/>
          <w:numId w:val="1014"/>
        </w:numPr>
        <w:pStyle w:val="Compact"/>
      </w:pPr>
      <w:r>
        <w:t xml:space="preserve">supervisor instructions;</w:t>
      </w:r>
    </w:p>
    <w:p>
      <w:pPr>
        <w:numPr>
          <w:ilvl w:val="0"/>
          <w:numId w:val="1014"/>
        </w:numPr>
        <w:pStyle w:val="Compact"/>
      </w:pPr>
      <w:r>
        <w:t xml:space="preserve">licensed clinical judgment;</w:t>
      </w:r>
    </w:p>
    <w:p>
      <w:pPr>
        <w:numPr>
          <w:ilvl w:val="0"/>
          <w:numId w:val="1014"/>
        </w:numPr>
        <w:pStyle w:val="Compact"/>
      </w:pPr>
      <w:r>
        <w:t xml:space="preserve">medication orders;</w:t>
      </w:r>
    </w:p>
    <w:p>
      <w:pPr>
        <w:numPr>
          <w:ilvl w:val="0"/>
          <w:numId w:val="1014"/>
        </w:numPr>
        <w:pStyle w:val="Compact"/>
      </w:pPr>
      <w:r>
        <w:t xml:space="preserve">required documentation systems;</w:t>
      </w:r>
    </w:p>
    <w:p>
      <w:pPr>
        <w:numPr>
          <w:ilvl w:val="0"/>
          <w:numId w:val="1014"/>
        </w:numPr>
        <w:pStyle w:val="Compact"/>
      </w:pPr>
      <w:r>
        <w:t xml:space="preserve">legal or regulatory verification.</w:t>
      </w:r>
    </w:p>
    <w:p>
      <w:pPr>
        <w:pStyle w:val="FirstParagraph"/>
      </w:pPr>
      <w:r>
        <w:t xml:space="preserve">If an AI answer conflicts with the care plan, law, employer policy, or your supervisor, follow the authorized source—not the AI.</w:t>
      </w:r>
    </w:p>
    <w:bookmarkEnd w:id="74"/>
    <w:bookmarkEnd w:id="75"/>
    <w:bookmarkStart w:id="76" w:name="X320710e57d73b713bd934c60a84452befa1d7cc"/>
    <w:p>
      <w:pPr>
        <w:pStyle w:val="Heading2"/>
      </w:pPr>
      <w:r>
        <w:t xml:space="preserve">17. Accessibility and disability planning</w:t>
      </w:r>
    </w:p>
    <w:p>
      <w:pPr>
        <w:pStyle w:val="FirstParagraph"/>
      </w:pPr>
      <w:r>
        <w:t xml:space="preserve">A disability or neurodivergence does not automatically rule out this career, but the actual essential functions matter.</w:t>
      </w:r>
    </w:p>
    <w:p>
      <w:pPr>
        <w:pStyle w:val="BodyText"/>
      </w:pPr>
      <w:r>
        <w:t xml:space="preserve">Consider:</w:t>
      </w:r>
    </w:p>
    <w:p>
      <w:pPr>
        <w:numPr>
          <w:ilvl w:val="0"/>
          <w:numId w:val="1015"/>
        </w:numPr>
        <w:pStyle w:val="Compact"/>
      </w:pPr>
      <w:r>
        <w:t xml:space="preserve">lifting/transfer requirements;</w:t>
      </w:r>
    </w:p>
    <w:p>
      <w:pPr>
        <w:numPr>
          <w:ilvl w:val="0"/>
          <w:numId w:val="1015"/>
        </w:numPr>
        <w:pStyle w:val="Compact"/>
      </w:pPr>
      <w:r>
        <w:t xml:space="preserve">standing and walking tolerance;</w:t>
      </w:r>
    </w:p>
    <w:p>
      <w:pPr>
        <w:numPr>
          <w:ilvl w:val="0"/>
          <w:numId w:val="1015"/>
        </w:numPr>
        <w:pStyle w:val="Compact"/>
      </w:pPr>
      <w:r>
        <w:t xml:space="preserve">driving or public-transport access between clients;</w:t>
      </w:r>
    </w:p>
    <w:p>
      <w:pPr>
        <w:numPr>
          <w:ilvl w:val="0"/>
          <w:numId w:val="1015"/>
        </w:numPr>
        <w:pStyle w:val="Compact"/>
      </w:pPr>
      <w:r>
        <w:t xml:space="preserve">sensory exposure to noise, odors, touch, or unpredictable environments;</w:t>
      </w:r>
    </w:p>
    <w:p>
      <w:pPr>
        <w:numPr>
          <w:ilvl w:val="0"/>
          <w:numId w:val="1015"/>
        </w:numPr>
        <w:pStyle w:val="Compact"/>
      </w:pPr>
      <w:r>
        <w:t xml:space="preserve">reading care plans and medication-related instructions;</w:t>
      </w:r>
    </w:p>
    <w:p>
      <w:pPr>
        <w:numPr>
          <w:ilvl w:val="0"/>
          <w:numId w:val="1015"/>
        </w:numPr>
        <w:pStyle w:val="Compact"/>
      </w:pPr>
      <w:r>
        <w:t xml:space="preserve">writing or electronic documentation;</w:t>
      </w:r>
    </w:p>
    <w:p>
      <w:pPr>
        <w:numPr>
          <w:ilvl w:val="0"/>
          <w:numId w:val="1015"/>
        </w:numPr>
        <w:pStyle w:val="Compact"/>
      </w:pPr>
      <w:r>
        <w:t xml:space="preserve">rapid communication during emergencies;</w:t>
      </w:r>
    </w:p>
    <w:p>
      <w:pPr>
        <w:numPr>
          <w:ilvl w:val="0"/>
          <w:numId w:val="1015"/>
        </w:numPr>
        <w:pStyle w:val="Compact"/>
      </w:pPr>
      <w:r>
        <w:t xml:space="preserve">schedule changes and executive-function demands.</w:t>
      </w:r>
    </w:p>
    <w:p>
      <w:pPr>
        <w:pStyle w:val="FirstParagraph"/>
      </w:pPr>
      <w:r>
        <w:t xml:space="preserve">Possible supports, when compatible with essential functions and employer policy, may include:</w:t>
      </w:r>
    </w:p>
    <w:p>
      <w:pPr>
        <w:numPr>
          <w:ilvl w:val="0"/>
          <w:numId w:val="1016"/>
        </w:numPr>
        <w:pStyle w:val="Compact"/>
      </w:pPr>
      <w:r>
        <w:t xml:space="preserve">speech-to-text or dictation for notes;</w:t>
      </w:r>
    </w:p>
    <w:p>
      <w:pPr>
        <w:numPr>
          <w:ilvl w:val="0"/>
          <w:numId w:val="1016"/>
        </w:numPr>
        <w:pStyle w:val="Compact"/>
      </w:pPr>
      <w:r>
        <w:t xml:space="preserve">spelling/grammar support in approved systems;</w:t>
      </w:r>
    </w:p>
    <w:p>
      <w:pPr>
        <w:numPr>
          <w:ilvl w:val="0"/>
          <w:numId w:val="1016"/>
        </w:numPr>
        <w:pStyle w:val="Compact"/>
      </w:pPr>
      <w:r>
        <w:t xml:space="preserve">checklists and structured routines;</w:t>
      </w:r>
    </w:p>
    <w:p>
      <w:pPr>
        <w:numPr>
          <w:ilvl w:val="0"/>
          <w:numId w:val="1016"/>
        </w:numPr>
        <w:pStyle w:val="Compact"/>
      </w:pPr>
      <w:r>
        <w:t xml:space="preserve">larger text or screen magnification;</w:t>
      </w:r>
    </w:p>
    <w:p>
      <w:pPr>
        <w:numPr>
          <w:ilvl w:val="0"/>
          <w:numId w:val="1016"/>
        </w:numPr>
        <w:pStyle w:val="Compact"/>
      </w:pPr>
      <w:r>
        <w:t xml:space="preserve">assistive listening tools;</w:t>
      </w:r>
    </w:p>
    <w:p>
      <w:pPr>
        <w:numPr>
          <w:ilvl w:val="0"/>
          <w:numId w:val="1016"/>
        </w:numPr>
        <w:pStyle w:val="Compact"/>
      </w:pPr>
      <w:r>
        <w:t xml:space="preserve">ergonomic or transfer equipment;</w:t>
      </w:r>
    </w:p>
    <w:p>
      <w:pPr>
        <w:numPr>
          <w:ilvl w:val="0"/>
          <w:numId w:val="1016"/>
        </w:numPr>
        <w:pStyle w:val="Compact"/>
      </w:pPr>
      <w:r>
        <w:t xml:space="preserve">written follow-up to verbal instructions;</w:t>
      </w:r>
    </w:p>
    <w:p>
      <w:pPr>
        <w:numPr>
          <w:ilvl w:val="0"/>
          <w:numId w:val="1016"/>
        </w:numPr>
        <w:pStyle w:val="Compact"/>
      </w:pPr>
      <w:r>
        <w:t xml:space="preserve">predictable scheduling where feasible.</w:t>
      </w:r>
    </w:p>
    <w:p>
      <w:pPr>
        <w:pStyle w:val="FirstParagraph"/>
      </w:pPr>
      <w:r>
        <w:t xml:space="preserve">For dysgraphia, practice concise factual documentation and use employer-approved dictation or templates when allowed. For autism or ADHD, structured checklists, clear escalation rules, written care instructions, and predictable handoff routines can reduce ambiguity.</w:t>
      </w:r>
    </w:p>
    <w:p>
      <w:pPr>
        <w:pStyle w:val="BodyText"/>
      </w:pPr>
      <w:r>
        <w:t xml:space="preserve">Do not disclose more medical information than necessary when requesting an accommodation. Follow the accommodation process applicable in your jurisdiction.</w:t>
      </w:r>
    </w:p>
    <w:bookmarkEnd w:id="76"/>
    <w:bookmarkStart w:id="83" w:name="Xd239abbff712f570909884e82be4a6031efdd3b"/>
    <w:p>
      <w:pPr>
        <w:pStyle w:val="Heading2"/>
      </w:pPr>
      <w:r>
        <w:t xml:space="preserve">18. A 30-day exploration plan</w:t>
      </w:r>
    </w:p>
    <w:bookmarkStart w:id="77" w:name="days-15-reality-check"/>
    <w:p>
      <w:pPr>
        <w:pStyle w:val="Heading3"/>
      </w:pPr>
      <w:r>
        <w:t xml:space="preserve">Days 1–5: Reality check</w:t>
      </w:r>
    </w:p>
    <w:p>
      <w:pPr>
        <w:numPr>
          <w:ilvl w:val="0"/>
          <w:numId w:val="1017"/>
        </w:numPr>
        <w:pStyle w:val="Compact"/>
      </w:pPr>
      <w:r>
        <w:t xml:space="preserve">Read 10 current job postings in your local area.</w:t>
      </w:r>
    </w:p>
    <w:p>
      <w:pPr>
        <w:numPr>
          <w:ilvl w:val="0"/>
          <w:numId w:val="1017"/>
        </w:numPr>
        <w:pStyle w:val="Compact"/>
      </w:pPr>
      <w:r>
        <w:t xml:space="preserve">List repeated requirements, shifts, travel expectations, and duties.</w:t>
      </w:r>
    </w:p>
    <w:p>
      <w:pPr>
        <w:numPr>
          <w:ilvl w:val="0"/>
          <w:numId w:val="1017"/>
        </w:numPr>
        <w:pStyle w:val="Compact"/>
      </w:pPr>
      <w:r>
        <w:t xml:space="preserve">Separate “personal care” duties from clinical tasks.</w:t>
      </w:r>
    </w:p>
    <w:p>
      <w:pPr>
        <w:numPr>
          <w:ilvl w:val="0"/>
          <w:numId w:val="1017"/>
        </w:numPr>
        <w:pStyle w:val="Compact"/>
      </w:pPr>
      <w:r>
        <w:t xml:space="preserve">Note which employers provide training.</w:t>
      </w:r>
    </w:p>
    <w:bookmarkEnd w:id="77"/>
    <w:bookmarkStart w:id="78" w:name="days-610-verify-the-pathway"/>
    <w:p>
      <w:pPr>
        <w:pStyle w:val="Heading3"/>
      </w:pPr>
      <w:r>
        <w:t xml:space="preserve">Days 6–10: Verify the pathway</w:t>
      </w:r>
    </w:p>
    <w:p>
      <w:pPr>
        <w:numPr>
          <w:ilvl w:val="0"/>
          <w:numId w:val="1018"/>
        </w:numPr>
        <w:pStyle w:val="Compact"/>
      </w:pPr>
      <w:r>
        <w:t xml:space="preserve">U.S.: check state requirements and contact an American Job Center.</w:t>
      </w:r>
    </w:p>
    <w:p>
      <w:pPr>
        <w:numPr>
          <w:ilvl w:val="0"/>
          <w:numId w:val="1018"/>
        </w:numPr>
        <w:pStyle w:val="Compact"/>
      </w:pPr>
      <w:r>
        <w:t xml:space="preserve">Canada: check Job Bank plus provincial/territorial training rules.</w:t>
      </w:r>
    </w:p>
    <w:p>
      <w:pPr>
        <w:numPr>
          <w:ilvl w:val="0"/>
          <w:numId w:val="1018"/>
        </w:numPr>
        <w:pStyle w:val="Compact"/>
      </w:pPr>
      <w:r>
        <w:t xml:space="preserve">Colombia: decide caregiver versus regulated Auxiliar en Salud pathway and check current SENA/MinSalud information.</w:t>
      </w:r>
    </w:p>
    <w:bookmarkEnd w:id="78"/>
    <w:bookmarkStart w:id="79" w:name="days-1115-build-safety-knowledge"/>
    <w:p>
      <w:pPr>
        <w:pStyle w:val="Heading3"/>
      </w:pPr>
      <w:r>
        <w:t xml:space="preserve">Days 11–15: Build safety knowledge</w:t>
      </w:r>
    </w:p>
    <w:p>
      <w:pPr>
        <w:pStyle w:val="FirstParagraph"/>
      </w:pPr>
      <w:r>
        <w:t xml:space="preserve">Study basic infection prevention, emergency response, safe transfers, communication, privacy, and professional boundaries using recognized training sources.</w:t>
      </w:r>
    </w:p>
    <w:bookmarkEnd w:id="79"/>
    <w:bookmarkStart w:id="80" w:name="days-1620-test-the-work"/>
    <w:p>
      <w:pPr>
        <w:pStyle w:val="Heading3"/>
      </w:pPr>
      <w:r>
        <w:t xml:space="preserve">Days 16–20: Test the work</w:t>
      </w:r>
    </w:p>
    <w:p>
      <w:pPr>
        <w:pStyle w:val="FirstParagraph"/>
      </w:pPr>
      <w:r>
        <w:t xml:space="preserve">If lawful and safe, seek a supervised volunteer, caregiving orientation, job shadow, informational interview, or employer open house. Do not perform clinical care merely to “practice.”</w:t>
      </w:r>
    </w:p>
    <w:bookmarkEnd w:id="80"/>
    <w:bookmarkStart w:id="81" w:name="days-2125-prepare-evidence"/>
    <w:p>
      <w:pPr>
        <w:pStyle w:val="Heading3"/>
      </w:pPr>
      <w:r>
        <w:t xml:space="preserve">Days 21–25: Prepare evidence</w:t>
      </w:r>
    </w:p>
    <w:p>
      <w:pPr>
        <w:pStyle w:val="FirstParagraph"/>
      </w:pPr>
      <w:r>
        <w:t xml:space="preserve">Create a simple evidence file containing:</w:t>
      </w:r>
    </w:p>
    <w:p>
      <w:pPr>
        <w:numPr>
          <w:ilvl w:val="0"/>
          <w:numId w:val="1019"/>
        </w:numPr>
        <w:pStyle w:val="Compact"/>
      </w:pPr>
      <w:r>
        <w:t xml:space="preserve">training/certificates;</w:t>
      </w:r>
    </w:p>
    <w:p>
      <w:pPr>
        <w:numPr>
          <w:ilvl w:val="0"/>
          <w:numId w:val="1019"/>
        </w:numPr>
        <w:pStyle w:val="Compact"/>
      </w:pPr>
      <w:r>
        <w:t xml:space="preserve">CPR/first-aid documentation if obtained and relevant;</w:t>
      </w:r>
    </w:p>
    <w:p>
      <w:pPr>
        <w:numPr>
          <w:ilvl w:val="0"/>
          <w:numId w:val="1019"/>
        </w:numPr>
        <w:pStyle w:val="Compact"/>
      </w:pPr>
      <w:r>
        <w:t xml:space="preserve">references;</w:t>
      </w:r>
    </w:p>
    <w:p>
      <w:pPr>
        <w:numPr>
          <w:ilvl w:val="0"/>
          <w:numId w:val="1019"/>
        </w:numPr>
        <w:pStyle w:val="Compact"/>
      </w:pPr>
      <w:r>
        <w:t xml:space="preserve">dates and description of caregiving experience;</w:t>
      </w:r>
    </w:p>
    <w:p>
      <w:pPr>
        <w:numPr>
          <w:ilvl w:val="0"/>
          <w:numId w:val="1019"/>
        </w:numPr>
        <w:pStyle w:val="Compact"/>
      </w:pPr>
      <w:r>
        <w:t xml:space="preserve">transportation availability;</w:t>
      </w:r>
    </w:p>
    <w:p>
      <w:pPr>
        <w:numPr>
          <w:ilvl w:val="0"/>
          <w:numId w:val="1019"/>
        </w:numPr>
        <w:pStyle w:val="Compact"/>
      </w:pPr>
      <w:r>
        <w:t xml:space="preserve">languages;</w:t>
      </w:r>
    </w:p>
    <w:p>
      <w:pPr>
        <w:numPr>
          <w:ilvl w:val="0"/>
          <w:numId w:val="1019"/>
        </w:numPr>
        <w:pStyle w:val="Compact"/>
      </w:pPr>
      <w:r>
        <w:t xml:space="preserve">examples of reliability, communication, and safe problem solving.</w:t>
      </w:r>
    </w:p>
    <w:bookmarkEnd w:id="81"/>
    <w:bookmarkStart w:id="82" w:name="days-2630-apply-selectively"/>
    <w:p>
      <w:pPr>
        <w:pStyle w:val="Heading3"/>
      </w:pPr>
      <w:r>
        <w:t xml:space="preserve">Days 26–30: Apply selectively</w:t>
      </w:r>
    </w:p>
    <w:p>
      <w:pPr>
        <w:pStyle w:val="FirstParagraph"/>
      </w:pPr>
      <w:r>
        <w:t xml:space="preserve">Apply to employers whose duties and training expectations match your lawful scope and physical capacity. Track each application and follow up professionally.</w:t>
      </w:r>
    </w:p>
    <w:bookmarkEnd w:id="82"/>
    <w:bookmarkEnd w:id="83"/>
    <w:bookmarkStart w:id="84" w:name="Xc4b3591ca3ef0c1c290b4b51138ceec39506d62"/>
    <w:p>
      <w:pPr>
        <w:pStyle w:val="Heading2"/>
      </w:pPr>
      <w:r>
        <w:t xml:space="preserve">19. Résumé guidance</w:t>
      </w:r>
    </w:p>
    <w:p>
      <w:pPr>
        <w:pStyle w:val="FirstParagraph"/>
      </w:pPr>
      <w:r>
        <w:t xml:space="preserve">A caregiver résumé should emphasize verified evidence, not inflated clinical language.</w:t>
      </w:r>
    </w:p>
    <w:p>
      <w:pPr>
        <w:pStyle w:val="BodyText"/>
      </w:pPr>
      <w:r>
        <w:t xml:space="preserve">Useful themes include:</w:t>
      </w:r>
    </w:p>
    <w:p>
      <w:pPr>
        <w:numPr>
          <w:ilvl w:val="0"/>
          <w:numId w:val="1020"/>
        </w:numPr>
        <w:pStyle w:val="Compact"/>
      </w:pPr>
      <w:r>
        <w:t xml:space="preserve">activities-of-daily-living support;</w:t>
      </w:r>
    </w:p>
    <w:p>
      <w:pPr>
        <w:numPr>
          <w:ilvl w:val="0"/>
          <w:numId w:val="1020"/>
        </w:numPr>
        <w:pStyle w:val="Compact"/>
      </w:pPr>
      <w:r>
        <w:t xml:space="preserve">companionship and client dignity;</w:t>
      </w:r>
    </w:p>
    <w:p>
      <w:pPr>
        <w:numPr>
          <w:ilvl w:val="0"/>
          <w:numId w:val="1020"/>
        </w:numPr>
        <w:pStyle w:val="Compact"/>
      </w:pPr>
      <w:r>
        <w:t xml:space="preserve">safe mobility assistance within training;</w:t>
      </w:r>
    </w:p>
    <w:p>
      <w:pPr>
        <w:numPr>
          <w:ilvl w:val="0"/>
          <w:numId w:val="1020"/>
        </w:numPr>
        <w:pStyle w:val="Compact"/>
      </w:pPr>
      <w:r>
        <w:t xml:space="preserve">meal preparation and hydration support;</w:t>
      </w:r>
    </w:p>
    <w:p>
      <w:pPr>
        <w:numPr>
          <w:ilvl w:val="0"/>
          <w:numId w:val="1020"/>
        </w:numPr>
        <w:pStyle w:val="Compact"/>
      </w:pPr>
      <w:r>
        <w:t xml:space="preserve">accurate observation and reporting;</w:t>
      </w:r>
    </w:p>
    <w:p>
      <w:pPr>
        <w:numPr>
          <w:ilvl w:val="0"/>
          <w:numId w:val="1020"/>
        </w:numPr>
        <w:pStyle w:val="Compact"/>
      </w:pPr>
      <w:r>
        <w:t xml:space="preserve">dependable scheduling and attendance;</w:t>
      </w:r>
    </w:p>
    <w:p>
      <w:pPr>
        <w:numPr>
          <w:ilvl w:val="0"/>
          <w:numId w:val="1020"/>
        </w:numPr>
        <w:pStyle w:val="Compact"/>
      </w:pPr>
      <w:r>
        <w:t xml:space="preserve">infection-prevention practices;</w:t>
      </w:r>
    </w:p>
    <w:p>
      <w:pPr>
        <w:numPr>
          <w:ilvl w:val="0"/>
          <w:numId w:val="1020"/>
        </w:numPr>
        <w:pStyle w:val="Compact"/>
      </w:pPr>
      <w:r>
        <w:t xml:space="preserve">privacy and confidentiality;</w:t>
      </w:r>
    </w:p>
    <w:p>
      <w:pPr>
        <w:numPr>
          <w:ilvl w:val="0"/>
          <w:numId w:val="1020"/>
        </w:numPr>
        <w:pStyle w:val="Compact"/>
      </w:pPr>
      <w:r>
        <w:t xml:space="preserve">multilingual communication;</w:t>
      </w:r>
    </w:p>
    <w:p>
      <w:pPr>
        <w:numPr>
          <w:ilvl w:val="0"/>
          <w:numId w:val="1020"/>
        </w:numPr>
        <w:pStyle w:val="Compact"/>
      </w:pPr>
      <w:r>
        <w:t xml:space="preserve">dementia or disability support training, if actually completed;</w:t>
      </w:r>
    </w:p>
    <w:p>
      <w:pPr>
        <w:numPr>
          <w:ilvl w:val="0"/>
          <w:numId w:val="1020"/>
        </w:numPr>
        <w:pStyle w:val="Compact"/>
      </w:pPr>
      <w:r>
        <w:t xml:space="preserve">CPR/first aid, if current and verifiable;</w:t>
      </w:r>
    </w:p>
    <w:p>
      <w:pPr>
        <w:numPr>
          <w:ilvl w:val="0"/>
          <w:numId w:val="1020"/>
        </w:numPr>
        <w:pStyle w:val="Compact"/>
      </w:pPr>
      <w:r>
        <w:t xml:space="preserve">formal caregiver/home-health/health-auxiliary credentials, only when genuinely held.</w:t>
      </w:r>
    </w:p>
    <w:p>
      <w:pPr>
        <w:pStyle w:val="FirstParagraph"/>
      </w:pPr>
      <w:r>
        <w:t xml:space="preserve">Do not call yourself a nurse, nursing assistant, home health aide, health auxiliary, or other regulated/credentialed title unless you meet the requirements where you are using that title.</w:t>
      </w:r>
    </w:p>
    <w:bookmarkEnd w:id="84"/>
    <w:bookmarkStart w:id="85" w:name="X8b0d71f1826ca3313ee8da1ff4752625f954e23"/>
    <w:p>
      <w:pPr>
        <w:pStyle w:val="Heading2"/>
      </w:pPr>
      <w:r>
        <w:t xml:space="preserve">20. Interview questions to ask the employer</w:t>
      </w:r>
    </w:p>
    <w:p>
      <w:pPr>
        <w:pStyle w:val="FirstParagraph"/>
      </w:pPr>
      <w:r>
        <w:t xml:space="preserve">Ask questions that reveal the real job:</w:t>
      </w:r>
    </w:p>
    <w:p>
      <w:pPr>
        <w:numPr>
          <w:ilvl w:val="0"/>
          <w:numId w:val="1021"/>
        </w:numPr>
        <w:pStyle w:val="Compact"/>
      </w:pPr>
      <w:r>
        <w:t xml:space="preserve">What tasks are aides expected to perform?</w:t>
      </w:r>
    </w:p>
    <w:p>
      <w:pPr>
        <w:numPr>
          <w:ilvl w:val="0"/>
          <w:numId w:val="1021"/>
        </w:numPr>
        <w:pStyle w:val="Compact"/>
      </w:pPr>
      <w:r>
        <w:t xml:space="preserve">Which tasks are prohibited unless I hold an additional credential?</w:t>
      </w:r>
    </w:p>
    <w:p>
      <w:pPr>
        <w:numPr>
          <w:ilvl w:val="0"/>
          <w:numId w:val="1021"/>
        </w:numPr>
        <w:pStyle w:val="Compact"/>
      </w:pPr>
      <w:r>
        <w:t xml:space="preserve">Is training paid?</w:t>
      </w:r>
    </w:p>
    <w:p>
      <w:pPr>
        <w:numPr>
          <w:ilvl w:val="0"/>
          <w:numId w:val="1021"/>
        </w:numPr>
        <w:pStyle w:val="Compact"/>
      </w:pPr>
      <w:r>
        <w:t xml:space="preserve">Is travel time between clients paid?</w:t>
      </w:r>
    </w:p>
    <w:p>
      <w:pPr>
        <w:numPr>
          <w:ilvl w:val="0"/>
          <w:numId w:val="1021"/>
        </w:numPr>
        <w:pStyle w:val="Compact"/>
      </w:pPr>
      <w:r>
        <w:t xml:space="preserve">Is mileage reimbursed?</w:t>
      </w:r>
    </w:p>
    <w:p>
      <w:pPr>
        <w:numPr>
          <w:ilvl w:val="0"/>
          <w:numId w:val="1021"/>
        </w:numPr>
        <w:pStyle w:val="Compact"/>
      </w:pPr>
      <w:r>
        <w:t xml:space="preserve">Are guaranteed hours available?</w:t>
      </w:r>
    </w:p>
    <w:p>
      <w:pPr>
        <w:numPr>
          <w:ilvl w:val="0"/>
          <w:numId w:val="1021"/>
        </w:numPr>
        <w:pStyle w:val="Compact"/>
      </w:pPr>
      <w:r>
        <w:t xml:space="preserve">What happens when a client cancels?</w:t>
      </w:r>
    </w:p>
    <w:p>
      <w:pPr>
        <w:numPr>
          <w:ilvl w:val="0"/>
          <w:numId w:val="1021"/>
        </w:numPr>
        <w:pStyle w:val="Compact"/>
      </w:pPr>
      <w:r>
        <w:t xml:space="preserve">What lifting or transfer requirements are typical?</w:t>
      </w:r>
    </w:p>
    <w:p>
      <w:pPr>
        <w:numPr>
          <w:ilvl w:val="0"/>
          <w:numId w:val="1021"/>
        </w:numPr>
        <w:pStyle w:val="Compact"/>
      </w:pPr>
      <w:r>
        <w:t xml:space="preserve">What equipment is provided for transfers?</w:t>
      </w:r>
    </w:p>
    <w:p>
      <w:pPr>
        <w:numPr>
          <w:ilvl w:val="0"/>
          <w:numId w:val="1021"/>
        </w:numPr>
        <w:pStyle w:val="Compact"/>
      </w:pPr>
      <w:r>
        <w:t xml:space="preserve">How are unsafe homes or aggressive behavior handled?</w:t>
      </w:r>
    </w:p>
    <w:p>
      <w:pPr>
        <w:numPr>
          <w:ilvl w:val="0"/>
          <w:numId w:val="1021"/>
        </w:numPr>
        <w:pStyle w:val="Compact"/>
      </w:pPr>
      <w:r>
        <w:t xml:space="preserve">Who is available after hours for clinical or safety escalation?</w:t>
      </w:r>
    </w:p>
    <w:p>
      <w:pPr>
        <w:numPr>
          <w:ilvl w:val="0"/>
          <w:numId w:val="1021"/>
        </w:numPr>
        <w:pStyle w:val="Compact"/>
      </w:pPr>
      <w:r>
        <w:t xml:space="preserve">Which documentation system is used?</w:t>
      </w:r>
    </w:p>
    <w:p>
      <w:pPr>
        <w:numPr>
          <w:ilvl w:val="0"/>
          <w:numId w:val="1021"/>
        </w:numPr>
        <w:pStyle w:val="Compact"/>
      </w:pPr>
      <w:r>
        <w:t xml:space="preserve">What background checks, vaccines, health screenings, driving records, or credentials are required?</w:t>
      </w:r>
    </w:p>
    <w:p>
      <w:pPr>
        <w:numPr>
          <w:ilvl w:val="0"/>
          <w:numId w:val="1021"/>
        </w:numPr>
        <w:pStyle w:val="Compact"/>
      </w:pPr>
      <w:r>
        <w:t xml:space="preserve">How often are performance and competency evaluations completed?</w:t>
      </w:r>
    </w:p>
    <w:bookmarkEnd w:id="85"/>
    <w:bookmarkStart w:id="86" w:name="Xa6d11392353f7b0d5fb9c3a51c61fbe7e2cee78"/>
    <w:p>
      <w:pPr>
        <w:pStyle w:val="Heading2"/>
      </w:pPr>
      <w:r>
        <w:t xml:space="preserve">21. Evaluate compensation beyond the hourly rate</w:t>
      </w:r>
    </w:p>
    <w:p>
      <w:pPr>
        <w:pStyle w:val="FirstParagraph"/>
      </w:pPr>
      <w:r>
        <w:t xml:space="preserve">Compare:</w:t>
      </w:r>
    </w:p>
    <w:p>
      <w:pPr>
        <w:numPr>
          <w:ilvl w:val="0"/>
          <w:numId w:val="1022"/>
        </w:numPr>
        <w:pStyle w:val="Compact"/>
      </w:pPr>
      <w:r>
        <w:t xml:space="preserve">paid versus unpaid travel time;</w:t>
      </w:r>
    </w:p>
    <w:p>
      <w:pPr>
        <w:numPr>
          <w:ilvl w:val="0"/>
          <w:numId w:val="1022"/>
        </w:numPr>
        <w:pStyle w:val="Compact"/>
      </w:pPr>
      <w:r>
        <w:t xml:space="preserve">mileage reimbursement;</w:t>
      </w:r>
    </w:p>
    <w:p>
      <w:pPr>
        <w:numPr>
          <w:ilvl w:val="0"/>
          <w:numId w:val="1022"/>
        </w:numPr>
        <w:pStyle w:val="Compact"/>
      </w:pPr>
      <w:r>
        <w:t xml:space="preserve">guaranteed hours;</w:t>
      </w:r>
    </w:p>
    <w:p>
      <w:pPr>
        <w:numPr>
          <w:ilvl w:val="0"/>
          <w:numId w:val="1022"/>
        </w:numPr>
        <w:pStyle w:val="Compact"/>
      </w:pPr>
      <w:r>
        <w:t xml:space="preserve">cancellation policy;</w:t>
      </w:r>
    </w:p>
    <w:p>
      <w:pPr>
        <w:numPr>
          <w:ilvl w:val="0"/>
          <w:numId w:val="1022"/>
        </w:numPr>
        <w:pStyle w:val="Compact"/>
      </w:pPr>
      <w:r>
        <w:t xml:space="preserve">overtime eligibility;</w:t>
      </w:r>
    </w:p>
    <w:p>
      <w:pPr>
        <w:numPr>
          <w:ilvl w:val="0"/>
          <w:numId w:val="1022"/>
        </w:numPr>
        <w:pStyle w:val="Compact"/>
      </w:pPr>
      <w:r>
        <w:t xml:space="preserve">evening/weekend differentials;</w:t>
      </w:r>
    </w:p>
    <w:p>
      <w:pPr>
        <w:numPr>
          <w:ilvl w:val="0"/>
          <w:numId w:val="1022"/>
        </w:numPr>
        <w:pStyle w:val="Compact"/>
      </w:pPr>
      <w:r>
        <w:t xml:space="preserve">benefits;</w:t>
      </w:r>
    </w:p>
    <w:p>
      <w:pPr>
        <w:numPr>
          <w:ilvl w:val="0"/>
          <w:numId w:val="1022"/>
        </w:numPr>
        <w:pStyle w:val="Compact"/>
      </w:pPr>
      <w:r>
        <w:t xml:space="preserve">paid training;</w:t>
      </w:r>
    </w:p>
    <w:p>
      <w:pPr>
        <w:numPr>
          <w:ilvl w:val="0"/>
          <w:numId w:val="1022"/>
        </w:numPr>
        <w:pStyle w:val="Compact"/>
      </w:pPr>
      <w:r>
        <w:t xml:space="preserve">paid sick leave and vacation;</w:t>
      </w:r>
    </w:p>
    <w:p>
      <w:pPr>
        <w:numPr>
          <w:ilvl w:val="0"/>
          <w:numId w:val="1022"/>
        </w:numPr>
        <w:pStyle w:val="Compact"/>
      </w:pPr>
      <w:r>
        <w:t xml:space="preserve">uniform/PPE costs;</w:t>
      </w:r>
    </w:p>
    <w:p>
      <w:pPr>
        <w:numPr>
          <w:ilvl w:val="0"/>
          <w:numId w:val="1022"/>
        </w:numPr>
        <w:pStyle w:val="Compact"/>
      </w:pPr>
      <w:r>
        <w:t xml:space="preserve">credential renewal costs;</w:t>
      </w:r>
    </w:p>
    <w:p>
      <w:pPr>
        <w:numPr>
          <w:ilvl w:val="0"/>
          <w:numId w:val="1022"/>
        </w:numPr>
        <w:pStyle w:val="Compact"/>
      </w:pPr>
      <w:r>
        <w:t xml:space="preserve">transportation and parking;</w:t>
      </w:r>
    </w:p>
    <w:p>
      <w:pPr>
        <w:numPr>
          <w:ilvl w:val="0"/>
          <w:numId w:val="1022"/>
        </w:numPr>
        <w:pStyle w:val="Compact"/>
      </w:pPr>
      <w:r>
        <w:t xml:space="preserve">unpaid gaps between clients.</w:t>
      </w:r>
    </w:p>
    <w:p>
      <w:pPr>
        <w:pStyle w:val="FirstParagraph"/>
      </w:pPr>
      <w:r>
        <w:t xml:space="preserve">A higher advertised hourly rate can produce lower real earnings if the schedule contains unpaid travel or frequent cancellations.</w:t>
      </w:r>
    </w:p>
    <w:bookmarkEnd w:id="86"/>
    <w:bookmarkStart w:id="87" w:name="Xf08432693d95e0fe33dfe6624e6472fd5d5d017"/>
    <w:p>
      <w:pPr>
        <w:pStyle w:val="Heading2"/>
      </w:pPr>
      <w:r>
        <w:t xml:space="preserve">22. Advancement paths</w:t>
      </w:r>
    </w:p>
    <w:p>
      <w:pPr>
        <w:pStyle w:val="FirstParagraph"/>
      </w:pPr>
      <w:r>
        <w:t xml:space="preserve">Depending on jurisdiction and education, experience may lead toward roles such as:</w:t>
      </w:r>
    </w:p>
    <w:p>
      <w:pPr>
        <w:numPr>
          <w:ilvl w:val="0"/>
          <w:numId w:val="1023"/>
        </w:numPr>
        <w:pStyle w:val="Compact"/>
      </w:pPr>
      <w:r>
        <w:t xml:space="preserve">senior caregiver or lead aide;</w:t>
      </w:r>
    </w:p>
    <w:p>
      <w:pPr>
        <w:numPr>
          <w:ilvl w:val="0"/>
          <w:numId w:val="1023"/>
        </w:numPr>
        <w:pStyle w:val="Compact"/>
      </w:pPr>
      <w:r>
        <w:t xml:space="preserve">scheduler or care coordinator;</w:t>
      </w:r>
    </w:p>
    <w:p>
      <w:pPr>
        <w:numPr>
          <w:ilvl w:val="0"/>
          <w:numId w:val="1023"/>
        </w:numPr>
        <w:pStyle w:val="Compact"/>
      </w:pPr>
      <w:r>
        <w:t xml:space="preserve">home-care supervisor where qualifications permit;</w:t>
      </w:r>
    </w:p>
    <w:p>
      <w:pPr>
        <w:numPr>
          <w:ilvl w:val="0"/>
          <w:numId w:val="1023"/>
        </w:numPr>
        <w:pStyle w:val="Compact"/>
      </w:pPr>
      <w:r>
        <w:t xml:space="preserve">community support worker;</w:t>
      </w:r>
    </w:p>
    <w:p>
      <w:pPr>
        <w:numPr>
          <w:ilvl w:val="0"/>
          <w:numId w:val="1023"/>
        </w:numPr>
        <w:pStyle w:val="Compact"/>
      </w:pPr>
      <w:r>
        <w:t xml:space="preserve">personal support worker specialization;</w:t>
      </w:r>
    </w:p>
    <w:p>
      <w:pPr>
        <w:numPr>
          <w:ilvl w:val="0"/>
          <w:numId w:val="1023"/>
        </w:numPr>
        <w:pStyle w:val="Compact"/>
      </w:pPr>
      <w:r>
        <w:t xml:space="preserve">nursing assistant pathway;</w:t>
      </w:r>
    </w:p>
    <w:p>
      <w:pPr>
        <w:numPr>
          <w:ilvl w:val="0"/>
          <w:numId w:val="1023"/>
        </w:numPr>
        <w:pStyle w:val="Compact"/>
      </w:pPr>
      <w:r>
        <w:t xml:space="preserve">Auxiliar en Salud pathway in Colombia through recognized training;</w:t>
      </w:r>
    </w:p>
    <w:p>
      <w:pPr>
        <w:numPr>
          <w:ilvl w:val="0"/>
          <w:numId w:val="1023"/>
        </w:numPr>
        <w:pStyle w:val="Compact"/>
      </w:pPr>
      <w:r>
        <w:t xml:space="preserve">practical/vocational nursing;</w:t>
      </w:r>
    </w:p>
    <w:p>
      <w:pPr>
        <w:numPr>
          <w:ilvl w:val="0"/>
          <w:numId w:val="1023"/>
        </w:numPr>
        <w:pStyle w:val="Compact"/>
      </w:pPr>
      <w:r>
        <w:t xml:space="preserve">registered nursing;</w:t>
      </w:r>
    </w:p>
    <w:p>
      <w:pPr>
        <w:numPr>
          <w:ilvl w:val="0"/>
          <w:numId w:val="1023"/>
        </w:numPr>
        <w:pStyle w:val="Compact"/>
      </w:pPr>
      <w:r>
        <w:t xml:space="preserve">occupational or physical therapy support careers;</w:t>
      </w:r>
    </w:p>
    <w:p>
      <w:pPr>
        <w:numPr>
          <w:ilvl w:val="0"/>
          <w:numId w:val="1023"/>
        </w:numPr>
        <w:pStyle w:val="Compact"/>
      </w:pPr>
      <w:r>
        <w:t xml:space="preserve">social/community-service roles;</w:t>
      </w:r>
    </w:p>
    <w:p>
      <w:pPr>
        <w:numPr>
          <w:ilvl w:val="0"/>
          <w:numId w:val="1023"/>
        </w:numPr>
        <w:pStyle w:val="Compact"/>
      </w:pPr>
      <w:r>
        <w:t xml:space="preserve">dementia, disability, hospice, or palliative-care specialization.</w:t>
      </w:r>
    </w:p>
    <w:p>
      <w:pPr>
        <w:pStyle w:val="FirstParagraph"/>
      </w:pPr>
      <w:r>
        <w:t xml:space="preserve">Each step may require separate education, licensure, registration, or employer authorization. Experience alone does not confer a regulated credential.</w:t>
      </w:r>
    </w:p>
    <w:bookmarkEnd w:id="87"/>
    <w:bookmarkStart w:id="88" w:name="Xc7f073ed108c73974082cc81146fe2d8cd8d227"/>
    <w:p>
      <w:pPr>
        <w:pStyle w:val="Heading2"/>
      </w:pPr>
      <w:r>
        <w:t xml:space="preserve">23. Warning signs in training programs</w:t>
      </w:r>
    </w:p>
    <w:p>
      <w:pPr>
        <w:pStyle w:val="FirstParagraph"/>
      </w:pPr>
      <w:r>
        <w:t xml:space="preserve">Be cautious if a school or recruiter:</w:t>
      </w:r>
    </w:p>
    <w:p>
      <w:pPr>
        <w:numPr>
          <w:ilvl w:val="0"/>
          <w:numId w:val="1024"/>
        </w:numPr>
        <w:pStyle w:val="Compact"/>
      </w:pPr>
      <w:r>
        <w:t xml:space="preserve">guarantees a job or a specific salary;</w:t>
      </w:r>
    </w:p>
    <w:p>
      <w:pPr>
        <w:numPr>
          <w:ilvl w:val="0"/>
          <w:numId w:val="1024"/>
        </w:numPr>
        <w:pStyle w:val="Compact"/>
      </w:pPr>
      <w:r>
        <w:t xml:space="preserve">claims one short certificate automatically authorizes clinical work everywhere;</w:t>
      </w:r>
    </w:p>
    <w:p>
      <w:pPr>
        <w:numPr>
          <w:ilvl w:val="0"/>
          <w:numId w:val="1024"/>
        </w:numPr>
        <w:pStyle w:val="Compact"/>
      </w:pPr>
      <w:r>
        <w:t xml:space="preserve">refuses to identify the accreditor, regulator, employer partners, or program approval status;</w:t>
      </w:r>
    </w:p>
    <w:p>
      <w:pPr>
        <w:numPr>
          <w:ilvl w:val="0"/>
          <w:numId w:val="1024"/>
        </w:numPr>
        <w:pStyle w:val="Compact"/>
      </w:pPr>
      <w:r>
        <w:t xml:space="preserve">pressures you to pay immediately;</w:t>
      </w:r>
    </w:p>
    <w:p>
      <w:pPr>
        <w:numPr>
          <w:ilvl w:val="0"/>
          <w:numId w:val="1024"/>
        </w:numPr>
        <w:pStyle w:val="Compact"/>
      </w:pPr>
      <w:r>
        <w:t xml:space="preserve">cannot explain total cost;</w:t>
      </w:r>
    </w:p>
    <w:p>
      <w:pPr>
        <w:numPr>
          <w:ilvl w:val="0"/>
          <w:numId w:val="1024"/>
        </w:numPr>
        <w:pStyle w:val="Compact"/>
      </w:pPr>
      <w:r>
        <w:t xml:space="preserve">markets an expired government program as currently open;</w:t>
      </w:r>
    </w:p>
    <w:p>
      <w:pPr>
        <w:numPr>
          <w:ilvl w:val="0"/>
          <w:numId w:val="1024"/>
        </w:numPr>
        <w:pStyle w:val="Compact"/>
      </w:pPr>
      <w:r>
        <w:t xml:space="preserve">tells you to ignore state/provincial/national requirements;</w:t>
      </w:r>
    </w:p>
    <w:p>
      <w:pPr>
        <w:numPr>
          <w:ilvl w:val="0"/>
          <w:numId w:val="1024"/>
        </w:numPr>
        <w:pStyle w:val="Compact"/>
      </w:pPr>
      <w:r>
        <w:t xml:space="preserve">promises immigration status or visa approval in exchange for tuition.</w:t>
      </w:r>
    </w:p>
    <w:p>
      <w:pPr>
        <w:pStyle w:val="FirstParagraph"/>
      </w:pPr>
      <w:r>
        <w:t xml:space="preserve">Verify before paying.</w:t>
      </w:r>
    </w:p>
    <w:bookmarkEnd w:id="88"/>
    <w:bookmarkStart w:id="92" w:name="Xd06e1d4836853027aecf069fe19cee3e47a8e64"/>
    <w:p>
      <w:pPr>
        <w:pStyle w:val="Heading2"/>
      </w:pPr>
      <w:r>
        <w:t xml:space="preserve">24. Source verification checklist</w:t>
      </w:r>
    </w:p>
    <w:p>
      <w:pPr>
        <w:pStyle w:val="FirstParagraph"/>
      </w:pPr>
      <w:r>
        <w:t xml:space="preserve">Because rules and wages change, re-check these sources before making a decision:</w:t>
      </w:r>
    </w:p>
    <w:bookmarkStart w:id="89" w:name="united-states"/>
    <w:p>
      <w:pPr>
        <w:pStyle w:val="Heading3"/>
      </w:pPr>
      <w:r>
        <w:t xml:space="preserve">United States</w:t>
      </w:r>
    </w:p>
    <w:p>
      <w:pPr>
        <w:numPr>
          <w:ilvl w:val="0"/>
          <w:numId w:val="1025"/>
        </w:numPr>
        <w:pStyle w:val="Compact"/>
      </w:pPr>
      <w:r>
        <w:t xml:space="preserve">BLS occupational profile:</w:t>
      </w:r>
      <w:r>
        <w:t xml:space="preserve"> </w:t>
      </w:r>
      <w:hyperlink r:id="rId27">
        <w:hyperlink r:id="rId27">
          <w:r>
            <w:rPr>
              <w:rStyle w:val="Hyperlink"/>
            </w:rPr>
            <w:t xml:space="preserve">Source link</w:t>
          </w:r>
        </w:hyperlink>
      </w:hyperlink>
    </w:p>
    <w:p>
      <w:pPr>
        <w:numPr>
          <w:ilvl w:val="0"/>
          <w:numId w:val="1025"/>
        </w:numPr>
        <w:pStyle w:val="Compact"/>
      </w:pPr>
      <w:r>
        <w:t xml:space="preserve">Federal home health aide rule:</w:t>
      </w:r>
      <w:r>
        <w:t xml:space="preserve"> </w:t>
      </w:r>
      <w:hyperlink r:id="rId30">
        <w:hyperlink r:id="rId30">
          <w:r>
            <w:rPr>
              <w:rStyle w:val="Hyperlink"/>
            </w:rPr>
            <w:t xml:space="preserve">Source link</w:t>
          </w:r>
        </w:hyperlink>
      </w:hyperlink>
    </w:p>
    <w:p>
      <w:pPr>
        <w:numPr>
          <w:ilvl w:val="0"/>
          <w:numId w:val="1025"/>
        </w:numPr>
        <w:pStyle w:val="Compact"/>
      </w:pPr>
      <w:r>
        <w:t xml:space="preserve">Department of Labor WIOA:</w:t>
      </w:r>
      <w:r>
        <w:t xml:space="preserve"> </w:t>
      </w:r>
      <w:hyperlink r:id="rId33">
        <w:hyperlink r:id="rId33">
          <w:r>
            <w:rPr>
              <w:rStyle w:val="Hyperlink"/>
            </w:rPr>
            <w:t xml:space="preserve">Source link</w:t>
          </w:r>
        </w:hyperlink>
      </w:hyperlink>
    </w:p>
    <w:p>
      <w:pPr>
        <w:numPr>
          <w:ilvl w:val="0"/>
          <w:numId w:val="1025"/>
        </w:numPr>
        <w:pStyle w:val="Compact"/>
      </w:pPr>
      <w:r>
        <w:t xml:space="preserve">American Job Centers:</w:t>
      </w:r>
      <w:r>
        <w:t xml:space="preserve"> </w:t>
      </w:r>
      <w:hyperlink r:id="rId34">
        <w:hyperlink r:id="rId34">
          <w:r>
            <w:rPr>
              <w:rStyle w:val="Hyperlink"/>
            </w:rPr>
            <w:t xml:space="preserve">Source link</w:t>
          </w:r>
        </w:hyperlink>
      </w:hyperlink>
    </w:p>
    <w:bookmarkEnd w:id="89"/>
    <w:bookmarkStart w:id="90" w:name="canada"/>
    <w:p>
      <w:pPr>
        <w:pStyle w:val="Heading3"/>
      </w:pPr>
      <w:r>
        <w:t xml:space="preserve">Canada</w:t>
      </w:r>
    </w:p>
    <w:p>
      <w:pPr>
        <w:numPr>
          <w:ilvl w:val="0"/>
          <w:numId w:val="1026"/>
        </w:numPr>
        <w:pStyle w:val="Compact"/>
      </w:pPr>
      <w:r>
        <w:t xml:space="preserve">Job Bank NOC 44101 summary:</w:t>
      </w:r>
      <w:r>
        <w:t xml:space="preserve"> </w:t>
      </w:r>
      <w:hyperlink r:id="rId37">
        <w:hyperlink r:id="rId37">
          <w:r>
            <w:rPr>
              <w:rStyle w:val="Hyperlink"/>
            </w:rPr>
            <w:t xml:space="preserve">Source link</w:t>
          </w:r>
        </w:hyperlink>
      </w:hyperlink>
    </w:p>
    <w:p>
      <w:pPr>
        <w:numPr>
          <w:ilvl w:val="0"/>
          <w:numId w:val="1026"/>
        </w:numPr>
        <w:pStyle w:val="Compact"/>
      </w:pPr>
      <w:r>
        <w:t xml:space="preserve">Job Bank wages:</w:t>
      </w:r>
      <w:r>
        <w:t xml:space="preserve"> </w:t>
      </w:r>
      <w:hyperlink r:id="rId38">
        <w:hyperlink r:id="rId38">
          <w:r>
            <w:rPr>
              <w:rStyle w:val="Hyperlink"/>
            </w:rPr>
            <w:t xml:space="preserve">Source link</w:t>
          </w:r>
        </w:hyperlink>
      </w:hyperlink>
    </w:p>
    <w:p>
      <w:pPr>
        <w:numPr>
          <w:ilvl w:val="0"/>
          <w:numId w:val="1026"/>
        </w:numPr>
        <w:pStyle w:val="Compact"/>
      </w:pPr>
      <w:r>
        <w:t xml:space="preserve">Job Bank outlook:</w:t>
      </w:r>
      <w:r>
        <w:t xml:space="preserve"> </w:t>
      </w:r>
      <w:hyperlink r:id="rId40">
        <w:hyperlink r:id="rId40">
          <w:r>
            <w:rPr>
              <w:rStyle w:val="Hyperlink"/>
            </w:rPr>
            <w:t xml:space="preserve">Source link</w:t>
          </w:r>
        </w:hyperlink>
      </w:hyperlink>
    </w:p>
    <w:p>
      <w:pPr>
        <w:numPr>
          <w:ilvl w:val="0"/>
          <w:numId w:val="1026"/>
        </w:numPr>
        <w:pStyle w:val="Compact"/>
      </w:pPr>
      <w:r>
        <w:t xml:space="preserve">Canada training portal:</w:t>
      </w:r>
      <w:r>
        <w:t xml:space="preserve"> </w:t>
      </w:r>
      <w:hyperlink r:id="rId43">
        <w:hyperlink r:id="rId43">
          <w:r>
            <w:rPr>
              <w:rStyle w:val="Hyperlink"/>
            </w:rPr>
            <w:t xml:space="preserve">Source link</w:t>
          </w:r>
        </w:hyperlink>
      </w:hyperlink>
    </w:p>
    <w:p>
      <w:pPr>
        <w:numPr>
          <w:ilvl w:val="0"/>
          <w:numId w:val="1026"/>
        </w:numPr>
        <w:pStyle w:val="Compact"/>
      </w:pPr>
      <w:r>
        <w:t xml:space="preserve">Labour Market Agreements:</w:t>
      </w:r>
      <w:r>
        <w:t xml:space="preserve"> </w:t>
      </w:r>
      <w:hyperlink r:id="rId44">
        <w:hyperlink r:id="rId44">
          <w:r>
            <w:rPr>
              <w:rStyle w:val="Hyperlink"/>
            </w:rPr>
            <w:t xml:space="preserve">Source link</w:t>
          </w:r>
        </w:hyperlink>
      </w:hyperlink>
    </w:p>
    <w:bookmarkEnd w:id="90"/>
    <w:bookmarkStart w:id="91" w:name="colombia"/>
    <w:p>
      <w:pPr>
        <w:pStyle w:val="Heading3"/>
      </w:pPr>
      <w:r>
        <w:t xml:space="preserve">Colombia</w:t>
      </w:r>
    </w:p>
    <w:p>
      <w:pPr>
        <w:numPr>
          <w:ilvl w:val="0"/>
          <w:numId w:val="1027"/>
        </w:numPr>
        <w:pStyle w:val="Compact"/>
      </w:pPr>
      <w:r>
        <w:t xml:space="preserve">MinSalud health-talent training:</w:t>
      </w:r>
      <w:r>
        <w:t xml:space="preserve"> </w:t>
      </w:r>
      <w:hyperlink r:id="rId53">
        <w:hyperlink r:id="rId53">
          <w:r>
            <w:rPr>
              <w:rStyle w:val="Hyperlink"/>
            </w:rPr>
            <w:t xml:space="preserve">Source link</w:t>
          </w:r>
        </w:hyperlink>
      </w:hyperlink>
    </w:p>
    <w:p>
      <w:pPr>
        <w:numPr>
          <w:ilvl w:val="0"/>
          <w:numId w:val="1027"/>
        </w:numPr>
        <w:pStyle w:val="Compact"/>
      </w:pPr>
      <w:r>
        <w:t xml:space="preserve">MinSalud professions/occupations:</w:t>
      </w:r>
      <w:r>
        <w:t xml:space="preserve"> </w:t>
      </w:r>
      <w:hyperlink r:id="rId54">
        <w:hyperlink r:id="rId54">
          <w:r>
            <w:rPr>
              <w:rStyle w:val="Hyperlink"/>
            </w:rPr>
            <w:t xml:space="preserve">Source link</w:t>
          </w:r>
        </w:hyperlink>
      </w:hyperlink>
    </w:p>
    <w:p>
      <w:pPr>
        <w:numPr>
          <w:ilvl w:val="0"/>
          <w:numId w:val="1027"/>
        </w:numPr>
        <w:pStyle w:val="Compact"/>
      </w:pPr>
      <w:r>
        <w:t xml:space="preserve">Ley 2297 de 2023 via SENA Normograma:</w:t>
      </w:r>
      <w:r>
        <w:t xml:space="preserve"> </w:t>
      </w:r>
      <w:hyperlink r:id="rId48">
        <w:hyperlink r:id="rId48">
          <w:r>
            <w:rPr>
              <w:rStyle w:val="Hyperlink"/>
            </w:rPr>
            <w:t xml:space="preserve">Source link</w:t>
          </w:r>
        </w:hyperlink>
      </w:hyperlink>
    </w:p>
    <w:p>
      <w:pPr>
        <w:numPr>
          <w:ilvl w:val="0"/>
          <w:numId w:val="1027"/>
        </w:numPr>
        <w:pStyle w:val="Compact"/>
      </w:pPr>
      <w:r>
        <w:t xml:space="preserve">SENA:</w:t>
      </w:r>
      <w:r>
        <w:t xml:space="preserve"> </w:t>
      </w:r>
      <w:hyperlink r:id="rId57">
        <w:r>
          <w:rPr>
            <w:rStyle w:val="Hyperlink"/>
          </w:rPr>
          <w:t xml:space="preserve">https://www.sena.edu.co/</w:t>
        </w:r>
      </w:hyperlink>
    </w:p>
    <w:bookmarkEnd w:id="91"/>
    <w:bookmarkEnd w:id="92"/>
    <w:bookmarkStart w:id="93" w:name="X95d45165cf585b890668d63484081609e7dd3ae"/>
    <w:p>
      <w:pPr>
        <w:pStyle w:val="Heading2"/>
      </w:pPr>
      <w:r>
        <w:t xml:space="preserve">25. Final decision test</w:t>
      </w:r>
    </w:p>
    <w:p>
      <w:pPr>
        <w:pStyle w:val="FirstParagraph"/>
      </w:pPr>
      <w:r>
        <w:t xml:space="preserve">Before committing money or accepting an offer, you should be able to answer:</w:t>
      </w:r>
    </w:p>
    <w:p>
      <w:pPr>
        <w:numPr>
          <w:ilvl w:val="0"/>
          <w:numId w:val="1028"/>
        </w:numPr>
        <w:pStyle w:val="Compact"/>
      </w:pPr>
      <w:r>
        <w:t xml:space="preserve">What exact job title am I pursuing in this jurisdiction?</w:t>
      </w:r>
    </w:p>
    <w:p>
      <w:pPr>
        <w:numPr>
          <w:ilvl w:val="0"/>
          <w:numId w:val="1028"/>
        </w:numPr>
        <w:pStyle w:val="Compact"/>
      </w:pPr>
      <w:r>
        <w:t xml:space="preserve">Which duties may I legally and safely perform?</w:t>
      </w:r>
    </w:p>
    <w:p>
      <w:pPr>
        <w:numPr>
          <w:ilvl w:val="0"/>
          <w:numId w:val="1028"/>
        </w:numPr>
        <w:pStyle w:val="Compact"/>
      </w:pPr>
      <w:r>
        <w:t xml:space="preserve">What training, credential, background check, or registration is actually required?</w:t>
      </w:r>
    </w:p>
    <w:p>
      <w:pPr>
        <w:numPr>
          <w:ilvl w:val="0"/>
          <w:numId w:val="1028"/>
        </w:numPr>
        <w:pStyle w:val="Compact"/>
      </w:pPr>
      <w:r>
        <w:t xml:space="preserve">Who confirmed that the training program I am considering is accepted?</w:t>
      </w:r>
    </w:p>
    <w:p>
      <w:pPr>
        <w:numPr>
          <w:ilvl w:val="0"/>
          <w:numId w:val="1028"/>
        </w:numPr>
        <w:pStyle w:val="Compact"/>
      </w:pPr>
      <w:r>
        <w:t xml:space="preserve">What are the full costs?</w:t>
      </w:r>
    </w:p>
    <w:p>
      <w:pPr>
        <w:numPr>
          <w:ilvl w:val="0"/>
          <w:numId w:val="1028"/>
        </w:numPr>
        <w:pStyle w:val="Compact"/>
      </w:pPr>
      <w:r>
        <w:t xml:space="preserve">What is the realistic local pay after travel and unpaid time?</w:t>
      </w:r>
    </w:p>
    <w:p>
      <w:pPr>
        <w:numPr>
          <w:ilvl w:val="0"/>
          <w:numId w:val="1028"/>
        </w:numPr>
        <w:pStyle w:val="Compact"/>
      </w:pPr>
      <w:r>
        <w:t xml:space="preserve">Can I perform the essential physical and emotional functions safely?</w:t>
      </w:r>
    </w:p>
    <w:p>
      <w:pPr>
        <w:numPr>
          <w:ilvl w:val="0"/>
          <w:numId w:val="1028"/>
        </w:numPr>
        <w:pStyle w:val="Compact"/>
      </w:pPr>
      <w:r>
        <w:t xml:space="preserve">What supervision and escalation support will I receive?</w:t>
      </w:r>
    </w:p>
    <w:p>
      <w:pPr>
        <w:numPr>
          <w:ilvl w:val="0"/>
          <w:numId w:val="1028"/>
        </w:numPr>
        <w:pStyle w:val="Compact"/>
      </w:pPr>
      <w:r>
        <w:t xml:space="preserve">What privacy rules apply?</w:t>
      </w:r>
    </w:p>
    <w:p>
      <w:pPr>
        <w:numPr>
          <w:ilvl w:val="0"/>
          <w:numId w:val="1028"/>
        </w:numPr>
        <w:pStyle w:val="Compact"/>
      </w:pPr>
      <w:r>
        <w:t xml:space="preserve">What is my next advancement option if I enjoy the work?</w:t>
      </w:r>
    </w:p>
    <w:p>
      <w:pPr>
        <w:pStyle w:val="FirstParagraph"/>
      </w:pPr>
      <w:r>
        <w:t xml:space="preserve">If several answers are still unclear, verify them before paying for training or committing to the job.</w:t>
      </w:r>
    </w:p>
    <w:bookmarkEnd w:id="93"/>
    <w:bookmarkStart w:id="94" w:name="X73d471ebbce1896917c23af7b0fdd73ee74ce27"/>
    <w:p>
      <w:pPr>
        <w:pStyle w:val="Heading2"/>
      </w:pPr>
      <w:r>
        <w:t xml:space="preserve">26. Important limitations</w:t>
      </w:r>
    </w:p>
    <w:p>
      <w:pPr>
        <w:pStyle w:val="FirstParagraph"/>
      </w:pPr>
      <w:r>
        <w:t xml:space="preserve">This guide does not guarantee employment, earnings, admission, funding, accommodation, certification, licensing, immigration status, or promotion.</w:t>
      </w:r>
    </w:p>
    <w:p>
      <w:pPr>
        <w:pStyle w:val="BodyText"/>
      </w:pPr>
      <w:r>
        <w:t xml:space="preserve">National wage and outlook data are not forecasts for an individual worker. Government funding programs have eligibility rules and local availability. Job titles and scopes are not automatically equivalent across countries.</w:t>
      </w:r>
    </w:p>
    <w:p>
      <w:pPr>
        <w:pStyle w:val="BodyText"/>
      </w:pPr>
      <w:r>
        <w:t xml:space="preserve">Health and personal-care work involves real safety and privacy responsibilities. Follow applicable law, employer policy, the authorized care plan, required supervision, and your verified scope of practice.</w:t>
      </w:r>
    </w:p>
    <w:p>
      <w:r>
        <w:pict>
          <v:rect style="width:0;height:1.5pt" o:hralign="center" o:hrstd="t" o:hr="t"/>
        </w:pict>
      </w:r>
    </w:p>
    <w:p>
      <w:pPr>
        <w:pStyle w:val="FirstParagraph"/>
      </w:pPr>
      <w:r>
        <w:rPr>
          <w:bCs/>
          <w:b/>
        </w:rPr>
        <w:t xml:space="preserve">Source-control note:</w:t>
      </w:r>
      <w:r>
        <w:t xml:space="preserve"> </w:t>
      </w:r>
      <w:r>
        <w:t xml:space="preserve">This English v2 master was reconstructed for the 2026 controlled revision from current authoritative evidence and the Guide 55 legacy inventory. Spanish and Brazilian Portuguese localization must be produced from the frozen English source only after English Editorial and Evidence/Traceability gates pass.</w:t>
      </w:r>
    </w:p>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s://normograma.sena.edu.co/compilacion/docs/ley_2297_2023.htm" TargetMode="External" /><Relationship Type="http://schemas.openxmlformats.org/officeDocument/2006/relationships/hyperlink" Id="rId27" Target="https://www.bls.gov/ooh/healthcare/home-health-aides-and-personal-care-aides.htm" TargetMode="External" /><Relationship Type="http://schemas.openxmlformats.org/officeDocument/2006/relationships/hyperlink" Id="rId44" Target="https://www.canada.ca/en/employment-social-development/programs/training-agreements.html" TargetMode="External" /><Relationship Type="http://schemas.openxmlformats.org/officeDocument/2006/relationships/hyperlink" Id="rId43" Target="https://www.canada.ca/en/services/jobs/training.html" TargetMode="External" /><Relationship Type="http://schemas.openxmlformats.org/officeDocument/2006/relationships/hyperlink" Id="rId45" Target="https://www.canada.ca/en/services/jobs/training/initiatives/skills-success.html" TargetMode="External" /><Relationship Type="http://schemas.openxmlformats.org/officeDocument/2006/relationships/hyperlink" Id="rId34" Target="https://www.dol.gov/agencies/eta/american-job-centers" TargetMode="External" /><Relationship Type="http://schemas.openxmlformats.org/officeDocument/2006/relationships/hyperlink" Id="rId33" Target="https://www.dol.gov/agencies/eta/wioa/programs" TargetMode="External" /><Relationship Type="http://schemas.openxmlformats.org/officeDocument/2006/relationships/hyperlink" Id="rId35" Target="https://www.dol.gov/agencies/eta/workforce-investment/adult" TargetMode="External" /><Relationship Type="http://schemas.openxmlformats.org/officeDocument/2006/relationships/hyperlink" Id="rId30" Target="https://www.ecfr.gov/current/title-42/chapter-IV/subchapter-G/part-484/subpart-B/section-484.80" TargetMode="External" /><Relationship Type="http://schemas.openxmlformats.org/officeDocument/2006/relationships/hyperlink" Id="rId46" Target="https://www.jobbank.gc.ca/" TargetMode="External" /><Relationship Type="http://schemas.openxmlformats.org/officeDocument/2006/relationships/hyperlink" Id="rId37" Target="https://www.jobbank.gc.ca/marketreport/summary-occupation/20667/ca" TargetMode="External" /><Relationship Type="http://schemas.openxmlformats.org/officeDocument/2006/relationships/hyperlink" Id="rId40" Target="https://www.jobbank.gc.ca/outlookreport/occupation/20667" TargetMode="External" /><Relationship Type="http://schemas.openxmlformats.org/officeDocument/2006/relationships/hyperlink" Id="rId38" Target="https://www.jobbank.gc.ca/wagereport/occupation/20667" TargetMode="External" /><Relationship Type="http://schemas.openxmlformats.org/officeDocument/2006/relationships/hyperlink" Id="rId54" Target="https://www.minsalud.gov.co/salud/PO/Paginas/talento-humano-salud.aspx" TargetMode="External" /><Relationship Type="http://schemas.openxmlformats.org/officeDocument/2006/relationships/hyperlink" Id="rId57" Target="https://www.sena.edu.co/" TargetMode="External" /><Relationship Type="http://schemas.openxmlformats.org/officeDocument/2006/relationships/hyperlink" Id="rId50" Target="https://www.sena.edu.co/es-co/Noticias/Paginas/noticia.aspx?IdNoticia=9127" TargetMode="External" /><Relationship Type="http://schemas.openxmlformats.org/officeDocument/2006/relationships/hyperlink" Id="rId51" Target="https://www.sena.edu.co/es-co/Noticias/Paginas/noticia.aspx?IdNoticia=9692" TargetMode="External" /><Relationship Type="http://schemas.openxmlformats.org/officeDocument/2006/relationships/hyperlink" Id="rId53" Target="https://www2.minsalud.gov.co/salud/PO/Paginas/formacion-talento-humano-salud.aspx" TargetMode="External" /></Relationships>
</file>

<file path=word/_rels/footnotes.xml.rels><?xml version="1.0" encoding="UTF-8"?><Relationships xmlns="http://schemas.openxmlformats.org/package/2006/relationships"><Relationship Type="http://schemas.openxmlformats.org/officeDocument/2006/relationships/hyperlink" Id="rId48" Target="https://normograma.sena.edu.co/compilacion/docs/ley_2297_2023.htm" TargetMode="External" /><Relationship Type="http://schemas.openxmlformats.org/officeDocument/2006/relationships/hyperlink" Id="rId27" Target="https://www.bls.gov/ooh/healthcare/home-health-aides-and-personal-care-aides.htm" TargetMode="External" /><Relationship Type="http://schemas.openxmlformats.org/officeDocument/2006/relationships/hyperlink" Id="rId44" Target="https://www.canada.ca/en/employment-social-development/programs/training-agreements.html" TargetMode="External" /><Relationship Type="http://schemas.openxmlformats.org/officeDocument/2006/relationships/hyperlink" Id="rId43" Target="https://www.canada.ca/en/services/jobs/training.html" TargetMode="External" /><Relationship Type="http://schemas.openxmlformats.org/officeDocument/2006/relationships/hyperlink" Id="rId45" Target="https://www.canada.ca/en/services/jobs/training/initiatives/skills-success.html" TargetMode="External" /><Relationship Type="http://schemas.openxmlformats.org/officeDocument/2006/relationships/hyperlink" Id="rId34" Target="https://www.dol.gov/agencies/eta/american-job-centers" TargetMode="External" /><Relationship Type="http://schemas.openxmlformats.org/officeDocument/2006/relationships/hyperlink" Id="rId33" Target="https://www.dol.gov/agencies/eta/wioa/programs" TargetMode="External" /><Relationship Type="http://schemas.openxmlformats.org/officeDocument/2006/relationships/hyperlink" Id="rId35" Target="https://www.dol.gov/agencies/eta/workforce-investment/adult" TargetMode="External" /><Relationship Type="http://schemas.openxmlformats.org/officeDocument/2006/relationships/hyperlink" Id="rId30" Target="https://www.ecfr.gov/current/title-42/chapter-IV/subchapter-G/part-484/subpart-B/section-484.80" TargetMode="External" /><Relationship Type="http://schemas.openxmlformats.org/officeDocument/2006/relationships/hyperlink" Id="rId46" Target="https://www.jobbank.gc.ca/" TargetMode="External" /><Relationship Type="http://schemas.openxmlformats.org/officeDocument/2006/relationships/hyperlink" Id="rId37" Target="https://www.jobbank.gc.ca/marketreport/summary-occupation/20667/ca" TargetMode="External" /><Relationship Type="http://schemas.openxmlformats.org/officeDocument/2006/relationships/hyperlink" Id="rId40" Target="https://www.jobbank.gc.ca/outlookreport/occupation/20667" TargetMode="External" /><Relationship Type="http://schemas.openxmlformats.org/officeDocument/2006/relationships/hyperlink" Id="rId38" Target="https://www.jobbank.gc.ca/wagereport/occupation/20667" TargetMode="External" /><Relationship Type="http://schemas.openxmlformats.org/officeDocument/2006/relationships/hyperlink" Id="rId54" Target="https://www.minsalud.gov.co/salud/PO/Paginas/talento-humano-salud.aspx" TargetMode="External" /><Relationship Type="http://schemas.openxmlformats.org/officeDocument/2006/relationships/hyperlink" Id="rId57" Target="https://www.sena.edu.co/" TargetMode="External" /><Relationship Type="http://schemas.openxmlformats.org/officeDocument/2006/relationships/hyperlink" Id="rId50" Target="https://www.sena.edu.co/es-co/Noticias/Paginas/noticia.aspx?IdNoticia=9127" TargetMode="External" /><Relationship Type="http://schemas.openxmlformats.org/officeDocument/2006/relationships/hyperlink" Id="rId51" Target="https://www.sena.edu.co/es-co/Noticias/Paginas/noticia.aspx?IdNoticia=9692" TargetMode="External" /><Relationship Type="http://schemas.openxmlformats.org/officeDocument/2006/relationships/hyperlink" Id="rId53" Target="https://www2.minsalud.gov.co/salud/PO/Paginas/formacion-talento-humano-salud.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2026-08-20T01:58:37Z</dcterms:created>
  <dcterms:modified xsi:type="dcterms:W3CDTF">2026-08-20T01:58:37Z</dcterms:modified>
</cp:coreProperties>
</file>

<file path=docProps/custom.xml><?xml version="1.0" encoding="utf-8"?>
<Properties xmlns="http://schemas.openxmlformats.org/officeDocument/2006/custom-properties" xmlns:vt="http://schemas.openxmlformats.org/officeDocument/2006/docPropsVTypes"/>
</file>