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guia-49--assistente-odontológico"/>
    <w:p>
      <w:pPr>
        <w:pStyle w:val="Heading1"/>
      </w:pPr>
      <w:r>
        <w:t xml:space="preserve">Guia 49 — Assistente odontológico</w:t>
      </w:r>
    </w:p>
    <w:p>
      <w:pPr>
        <w:pStyle w:val="FirstParagraph"/>
      </w:pPr>
      <w:r>
        <w:rPr>
          <w:bCs/>
          <w:b/>
        </w:rPr>
        <w:t xml:space="preserve">Mestre de trabalho controlado em português brasileiro (pt-BR) — Versão 2.0</w:t>
      </w:r>
      <w:r>
        <w:br/>
      </w:r>
      <w:r>
        <w:rPr>
          <w:bCs/>
          <w:b/>
        </w:rPr>
        <w:t xml:space="preserve">Data da revisão:</w:t>
      </w:r>
      <w:r>
        <w:t xml:space="preserve"> </w:t>
      </w:r>
      <w:r>
        <w:t xml:space="preserve">19 de agosto de 2026</w:t>
      </w:r>
      <w:r>
        <w:br/>
      </w:r>
      <w:r>
        <w:rPr>
          <w:bCs/>
          <w:b/>
        </w:rPr>
        <w:t xml:space="preserve">Licença:</w:t>
      </w:r>
      <w:r>
        <w:t xml:space="preserve"> </w:t>
      </w:r>
      <w:r>
        <w:t xml:space="preserve">CC BY-NC-SA 4.0</w:t>
      </w:r>
    </w:p>
    <w:bookmarkStart w:id="20" w:name="o-que-é-este-trabalho"/>
    <w:p>
      <w:pPr>
        <w:pStyle w:val="Heading2"/>
      </w:pPr>
      <w:r>
        <w:t xml:space="preserve">O que é este trabalho</w:t>
      </w:r>
    </w:p>
    <w:p>
      <w:pPr>
        <w:pStyle w:val="FirstParagraph"/>
      </w:pPr>
      <w:r>
        <w:t xml:space="preserve">Assistentes odontológicos apoiam dentistas e equipes de saúde bucal na preparação de pacientes, assistência à cadeira, preparação de instrumentos e salas, tarefas de prevenção de infecções, registros, agendamento, suprimentos e outros trabalhos clínicos ou administrativos permitidos pela jurisdição e pelo local de trabalho aplicáveis.</w:t>
      </w:r>
    </w:p>
    <w:p>
      <w:pPr>
        <w:pStyle w:val="BodyText"/>
      </w:pPr>
      <w:r>
        <w:t xml:space="preserve">Nos Estados Unidos, o O*NET classifica Dental Assistants como</w:t>
      </w:r>
      <w:r>
        <w:t xml:space="preserve"> </w:t>
      </w:r>
      <w:r>
        <w:rPr>
          <w:bCs/>
          <w:b/>
        </w:rPr>
        <w:t xml:space="preserve">31-9091.00</w:t>
      </w:r>
      <w:r>
        <w:t xml:space="preserve"> </w:t>
      </w:r>
      <w:r>
        <w:t xml:space="preserve">e descreve a ocupação como a execução de funções clínicas limitadas sob a direção de um dentista. O título do cargo, por si só, não determina o escopo legal. A lei estadual de prática odontológica, as regras do conselho odontológico, a formação, os requisitos de radiografia ou funções ampliadas, a situação das credenciais, a delegação e supervisão do dentista e as políticas do empregador podem alterar o que uma pessoa assistente odontológica pode realizar.</w:t>
      </w:r>
    </w:p>
    <w:p>
      <w:pPr>
        <w:pStyle w:val="BodyText"/>
      </w:pPr>
      <w:r>
        <w:t xml:space="preserve">Este guia serve para exploração e preparação de carreira. Não constitui orientação odontológica, médica, jurídica, de licenciamento, imigração ou financeira. Antes de se matricular em um programa, pagar por um exame, realizar radiografias ou executar uma tarefa intraoral ou outra atividade regulamentada, verifique os requisitos atuais no local onde pretende estudar e trabalhar.</w:t>
      </w:r>
    </w:p>
    <w:bookmarkEnd w:id="20"/>
    <w:bookmarkStart w:id="21" w:name="o-que-você-pode-fazer"/>
    <w:p>
      <w:pPr>
        <w:pStyle w:val="Heading2"/>
      </w:pPr>
      <w:r>
        <w:t xml:space="preserve">O que você pode fazer</w:t>
      </w:r>
    </w:p>
    <w:p>
      <w:pPr>
        <w:pStyle w:val="FirstParagraph"/>
      </w:pPr>
      <w:r>
        <w:t xml:space="preserve">Dependendo da jurisdição, empregador, formação, credenciais, delegação e supervisão, as funções podem incluir:</w:t>
      </w:r>
    </w:p>
    <w:p>
      <w:pPr>
        <w:numPr>
          <w:ilvl w:val="0"/>
          <w:numId w:val="1001"/>
        </w:numPr>
        <w:pStyle w:val="Compact"/>
      </w:pPr>
      <w:r>
        <w:t xml:space="preserve">receber pacientes e prepará-los para o atendimento;</w:t>
      </w:r>
    </w:p>
    <w:p>
      <w:pPr>
        <w:numPr>
          <w:ilvl w:val="0"/>
          <w:numId w:val="1001"/>
        </w:numPr>
        <w:pStyle w:val="Compact"/>
      </w:pPr>
      <w:r>
        <w:t xml:space="preserve">preparar salas de tratamento, bandejas, materiais, instrumentos e equipamentos;</w:t>
      </w:r>
    </w:p>
    <w:p>
      <w:pPr>
        <w:numPr>
          <w:ilvl w:val="0"/>
          <w:numId w:val="1001"/>
        </w:numPr>
        <w:pStyle w:val="Compact"/>
      </w:pPr>
      <w:r>
        <w:t xml:space="preserve">auxiliar o dentista à cadeira durante exames e procedimentos;</w:t>
      </w:r>
    </w:p>
    <w:p>
      <w:pPr>
        <w:numPr>
          <w:ilvl w:val="0"/>
          <w:numId w:val="1001"/>
        </w:numPr>
        <w:pStyle w:val="Compact"/>
      </w:pPr>
      <w:r>
        <w:t xml:space="preserve">passar instrumentos e manter o campo de trabalho organizado;</w:t>
      </w:r>
    </w:p>
    <w:p>
      <w:pPr>
        <w:numPr>
          <w:ilvl w:val="0"/>
          <w:numId w:val="1001"/>
        </w:numPr>
        <w:pStyle w:val="Compact"/>
      </w:pPr>
      <w:r>
        <w:t xml:space="preserve">limpar, embalar, esterilizar, armazenar e controlar instrumentos conforme procedimentos aprovados;</w:t>
      </w:r>
    </w:p>
    <w:p>
      <w:pPr>
        <w:numPr>
          <w:ilvl w:val="0"/>
          <w:numId w:val="1001"/>
        </w:numPr>
        <w:pStyle w:val="Compact"/>
      </w:pPr>
      <w:r>
        <w:t xml:space="preserve">seguir procedimentos de higiene das mãos, EPI, perfurocortantes, controle de exposições, limpeza ambiental e resíduos;</w:t>
      </w:r>
    </w:p>
    <w:p>
      <w:pPr>
        <w:numPr>
          <w:ilvl w:val="0"/>
          <w:numId w:val="1001"/>
        </w:numPr>
        <w:pStyle w:val="Compact"/>
      </w:pPr>
      <w:r>
        <w:t xml:space="preserve">registrar informações em prontuários aprovados conforme as regras do local de trabalho;</w:t>
      </w:r>
    </w:p>
    <w:p>
      <w:pPr>
        <w:numPr>
          <w:ilvl w:val="0"/>
          <w:numId w:val="1001"/>
        </w:numPr>
        <w:pStyle w:val="Compact"/>
      </w:pPr>
      <w:r>
        <w:t xml:space="preserve">agendar consultas e coordenar acompanhamentos de rotina;</w:t>
      </w:r>
    </w:p>
    <w:p>
      <w:pPr>
        <w:numPr>
          <w:ilvl w:val="0"/>
          <w:numId w:val="1001"/>
        </w:numPr>
        <w:pStyle w:val="Compact"/>
      </w:pPr>
      <w:r>
        <w:t xml:space="preserve">manter estoque e solicitar suprimentos autorizados;</w:t>
      </w:r>
    </w:p>
    <w:p>
      <w:pPr>
        <w:numPr>
          <w:ilvl w:val="0"/>
          <w:numId w:val="1001"/>
        </w:numPr>
        <w:pStyle w:val="Compact"/>
      </w:pPr>
      <w:r>
        <w:t xml:space="preserve">processar informações rotineiras de seguro, faturamento ou administração;</w:t>
      </w:r>
    </w:p>
    <w:p>
      <w:pPr>
        <w:numPr>
          <w:ilvl w:val="0"/>
          <w:numId w:val="1001"/>
        </w:numPr>
        <w:pStyle w:val="Compact"/>
      </w:pPr>
      <w:r>
        <w:t xml:space="preserve">fornecer orientações aprovadas de higiene bucal ou pós-consulta dentro do escopo autorizado; e</w:t>
      </w:r>
    </w:p>
    <w:p>
      <w:pPr>
        <w:numPr>
          <w:ilvl w:val="0"/>
          <w:numId w:val="1001"/>
        </w:numPr>
        <w:pStyle w:val="Compact"/>
      </w:pPr>
      <w:r>
        <w:t xml:space="preserve">escalar questões clínicas, de segurança, privacidade, equipamentos, controle de infecções ou emergência ao profissional apropriado.</w:t>
      </w:r>
    </w:p>
    <w:p>
      <w:pPr>
        <w:pStyle w:val="FirstParagraph"/>
      </w:pPr>
      <w:r>
        <w:t xml:space="preserve">Algumas jurisdições permitem que assistentes odontológicos devidamente treinados realizem radiografias dentárias ou determinadas funções intraorais ou ampliadas.</w:t>
      </w:r>
      <w:r>
        <w:t xml:space="preserve"> </w:t>
      </w:r>
      <w:r>
        <w:rPr>
          <w:bCs/>
          <w:b/>
        </w:rPr>
        <w:t xml:space="preserve">Não presuma que um curso geral de assistência odontológica, uma credencial nacional, uma solicitação do empregador ou experiência anterior autorizem automaticamente uma tarefa.</w:t>
      </w:r>
      <w:r>
        <w:t xml:space="preserve"> </w:t>
      </w:r>
      <w:r>
        <w:t xml:space="preserve">Primeiro verifique os requisitos legais e do local de trabalho exatos.</w:t>
      </w:r>
    </w:p>
    <w:bookmarkEnd w:id="21"/>
    <w:bookmarkStart w:id="22" w:name="X224af1cd098dbfad4ebfb8eaaa45624c4ee0a8b"/>
    <w:p>
      <w:pPr>
        <w:pStyle w:val="Heading2"/>
      </w:pPr>
      <w:r>
        <w:t xml:space="preserve">O que este trabalho não autoriza por si só</w:t>
      </w:r>
    </w:p>
    <w:p>
      <w:pPr>
        <w:pStyle w:val="FirstParagraph"/>
      </w:pPr>
      <w:r>
        <w:t xml:space="preserve">O título, diploma, certificado, registro ou exame nacional de Assistente Odontológico não transforma, por si só, uma pessoa em dentista, higienista dental, terapeuta dental, tecnólogo odontológico, técnico de laboratório dental, médico, enfermeiro ou outro profissional clínico com licença independente.</w:t>
      </w:r>
    </w:p>
    <w:p>
      <w:pPr>
        <w:pStyle w:val="BodyText"/>
      </w:pPr>
      <w:r>
        <w:t xml:space="preserve">A menos que exista licença separada e autorização legal, não realize de forma independente:</w:t>
      </w:r>
    </w:p>
    <w:p>
      <w:pPr>
        <w:numPr>
          <w:ilvl w:val="0"/>
          <w:numId w:val="1002"/>
        </w:numPr>
        <w:pStyle w:val="Compact"/>
      </w:pPr>
      <w:r>
        <w:t xml:space="preserve">diagnóstico de doença dental ou bucal;</w:t>
      </w:r>
    </w:p>
    <w:p>
      <w:pPr>
        <w:numPr>
          <w:ilvl w:val="0"/>
          <w:numId w:val="1002"/>
        </w:numPr>
        <w:pStyle w:val="Compact"/>
      </w:pPr>
      <w:r>
        <w:t xml:space="preserve">interpretação de radiografias para diagnóstico ou decisões de tratamento;</w:t>
      </w:r>
    </w:p>
    <w:p>
      <w:pPr>
        <w:numPr>
          <w:ilvl w:val="0"/>
          <w:numId w:val="1002"/>
        </w:numPr>
        <w:pStyle w:val="Compact"/>
      </w:pPr>
      <w:r>
        <w:t xml:space="preserve">prescrição ou alteração de medicamentos;</w:t>
      </w:r>
    </w:p>
    <w:p>
      <w:pPr>
        <w:numPr>
          <w:ilvl w:val="0"/>
          <w:numId w:val="1002"/>
        </w:numPr>
        <w:pStyle w:val="Compact"/>
      </w:pPr>
      <w:r>
        <w:t xml:space="preserve">definição ou alteração de um plano de tratamento;</w:t>
      </w:r>
    </w:p>
    <w:p>
      <w:pPr>
        <w:numPr>
          <w:ilvl w:val="0"/>
          <w:numId w:val="1002"/>
        </w:numPr>
        <w:pStyle w:val="Compact"/>
      </w:pPr>
      <w:r>
        <w:t xml:space="preserve">procedimentos irreversíveis reservados a outro profissional;</w:t>
      </w:r>
    </w:p>
    <w:p>
      <w:pPr>
        <w:numPr>
          <w:ilvl w:val="0"/>
          <w:numId w:val="1002"/>
        </w:numPr>
        <w:pStyle w:val="Compact"/>
      </w:pPr>
      <w:r>
        <w:t xml:space="preserve">administração de anestesia ou outro tratamento restrito, salvo se a jurisdição autorizar expressamente e todos os requisitos de formação, credenciais, supervisão e empregador forem cumpridos;</w:t>
      </w:r>
    </w:p>
    <w:p>
      <w:pPr>
        <w:numPr>
          <w:ilvl w:val="0"/>
          <w:numId w:val="1002"/>
        </w:numPr>
        <w:pStyle w:val="Compact"/>
      </w:pPr>
      <w:r>
        <w:t xml:space="preserve">representação de que você possui uma licença ou título profissional que realmente não tem; nem</w:t>
      </w:r>
    </w:p>
    <w:p>
      <w:pPr>
        <w:numPr>
          <w:ilvl w:val="0"/>
          <w:numId w:val="1002"/>
        </w:numPr>
        <w:pStyle w:val="Compact"/>
      </w:pPr>
      <w:r>
        <w:t xml:space="preserve">substituição do julgamento ou da supervisão do dentista legalmente exigidos por resultados de IA, certificado de formação ou solicitação do empregador.</w:t>
      </w:r>
    </w:p>
    <w:p>
      <w:pPr>
        <w:pStyle w:val="FirstParagraph"/>
      </w:pPr>
      <w:r>
        <w:t xml:space="preserve">Se um paciente parecer clinicamente instável, apresentar reação inesperada ou relatar sintoma grave, siga o procedimento de emergência e escalonamento do consultório em vez de agir fora da sua função.</w:t>
      </w:r>
    </w:p>
    <w:bookmarkEnd w:id="22"/>
    <w:bookmarkStart w:id="24" w:name="X58395daf609b250a770dde183aa3bc135260389"/>
    <w:p>
      <w:pPr>
        <w:pStyle w:val="Heading2"/>
      </w:pPr>
      <w:r>
        <w:t xml:space="preserve">As regras estaduais e jurisdicionais vêm primeiro</w:t>
      </w:r>
    </w:p>
    <w:p>
      <w:pPr>
        <w:pStyle w:val="FirstParagraph"/>
      </w:pPr>
      <w:r>
        <w:t xml:space="preserve">A assistência odontológica depende fortemente da jurisdição. Nos Estados Unidos, o Bureau of Labor Statistics informa que</w:t>
      </w:r>
      <w:r>
        <w:t xml:space="preserve"> </w:t>
      </w:r>
      <w:r>
        <w:rPr>
          <w:bCs/>
          <w:b/>
        </w:rPr>
        <w:t xml:space="preserve">cada estado regulamenta o escopo de prática dos assistentes odontológicos</w:t>
      </w:r>
      <w:r>
        <w:t xml:space="preserve">. Os requisitos podem variar para trabalho inicial, radiografia, polimento coronário, selantes, moldagens, agentes tópicos, funções ampliadas, registro, certificação e supervisão.</w:t>
      </w:r>
    </w:p>
    <w:p>
      <w:pPr>
        <w:pStyle w:val="BodyText"/>
      </w:pPr>
      <w:r>
        <w:t xml:space="preserve">Use como fonte principal o conselho odontológico estadual com autoridade legal, a lei de prática odontológica e seus regulamentos administrativos. O DANB oferece um localizador útil de requisitos estaduais, mas uma credencial nacional ou publicação do DANB não substitui a lei estadual nem concede automaticamente o mesmo escopo em todos os estados.</w:t>
      </w:r>
    </w:p>
    <w:p>
      <w:pPr>
        <w:pStyle w:val="BodyText"/>
      </w:pPr>
      <w:r>
        <w:t xml:space="preserve">Localizador de requisitos estaduais:</w:t>
      </w:r>
      <w:r>
        <w:t xml:space="preserve"> </w:t>
      </w:r>
      <w:hyperlink r:id="rId23">
        <w:r>
          <w:rPr>
            <w:rStyle w:val="Hyperlink"/>
          </w:rPr>
          <w:t xml:space="preserve">https://www.danb.org/state-requirements/state-publications-and-services</w:t>
        </w:r>
      </w:hyperlink>
    </w:p>
    <w:bookmarkEnd w:id="24"/>
    <w:bookmarkStart w:id="25" w:name="X1a6814677bf385d3725589aa1dae5327311b787"/>
    <w:p>
      <w:pPr>
        <w:pStyle w:val="Heading2"/>
      </w:pPr>
      <w:r>
        <w:t xml:space="preserve">Radiografia odontológica exige verificação específica</w:t>
      </w:r>
    </w:p>
    <w:p>
      <w:pPr>
        <w:pStyle w:val="FirstParagraph"/>
      </w:pPr>
      <w:r>
        <w:t xml:space="preserve">O O*NET inclui a realização de radiografias dentárias diagnósticas entre exemplos de tarefas de assistentes odontológicos, mas isso não constitui autorização nacional. Antes de operar equipamentos radiográficos ou posicionar um paciente para exposição, verifique:</w:t>
      </w:r>
    </w:p>
    <w:p>
      <w:pPr>
        <w:numPr>
          <w:ilvl w:val="0"/>
          <w:numId w:val="1003"/>
        </w:numPr>
        <w:pStyle w:val="Compact"/>
      </w:pPr>
      <w:r>
        <w:t xml:space="preserve">se o estado, província ou país permite que um assistente odontológico realize radiografias;</w:t>
      </w:r>
    </w:p>
    <w:p>
      <w:pPr>
        <w:numPr>
          <w:ilvl w:val="0"/>
          <w:numId w:val="1003"/>
        </w:numPr>
        <w:pStyle w:val="Compact"/>
      </w:pPr>
      <w:r>
        <w:t xml:space="preserve">a formação, exame, registro, permissão ou credencial exigida;</w:t>
      </w:r>
    </w:p>
    <w:p>
      <w:pPr>
        <w:numPr>
          <w:ilvl w:val="0"/>
          <w:numId w:val="1003"/>
        </w:numPr>
        <w:pStyle w:val="Compact"/>
      </w:pPr>
      <w:r>
        <w:t xml:space="preserve">os requisitos de supervisão;</w:t>
      </w:r>
    </w:p>
    <w:p>
      <w:pPr>
        <w:numPr>
          <w:ilvl w:val="0"/>
          <w:numId w:val="1003"/>
        </w:numPr>
        <w:pStyle w:val="Compact"/>
      </w:pPr>
      <w:r>
        <w:t xml:space="preserve">a capacitação em equipamentos e segurança radiológica;</w:t>
      </w:r>
    </w:p>
    <w:p>
      <w:pPr>
        <w:numPr>
          <w:ilvl w:val="0"/>
          <w:numId w:val="1003"/>
        </w:numPr>
        <w:pStyle w:val="Compact"/>
      </w:pPr>
      <w:r>
        <w:t xml:space="preserve">a validação de competência pelo empregador; e</w:t>
      </w:r>
    </w:p>
    <w:p>
      <w:pPr>
        <w:numPr>
          <w:ilvl w:val="0"/>
          <w:numId w:val="1003"/>
        </w:numPr>
        <w:pStyle w:val="Compact"/>
      </w:pPr>
      <w:r>
        <w:t xml:space="preserve">as regras atuais de renovação ou educação continuada, quando existirem.</w:t>
      </w:r>
    </w:p>
    <w:p>
      <w:pPr>
        <w:pStyle w:val="FirstParagraph"/>
      </w:pPr>
      <w:r>
        <w:t xml:space="preserve">Não interprete radiografias de forma independente para diagnóstico. Siga o fluxo aprovado pelo dentista para aquisição das imagens, questões de qualidade, repetições, documentação e interpretação clínica.</w:t>
      </w:r>
    </w:p>
    <w:bookmarkEnd w:id="25"/>
    <w:bookmarkStart w:id="29" w:name="Xeed261a9c4f30d4fc4fac83f4c2a330a1c24289"/>
    <w:p>
      <w:pPr>
        <w:pStyle w:val="Heading2"/>
      </w:pPr>
      <w:r>
        <w:t xml:space="preserve">Prevenção de infecções e reprocessamento de instrumentos</w:t>
      </w:r>
    </w:p>
    <w:p>
      <w:pPr>
        <w:pStyle w:val="FirstParagraph"/>
      </w:pPr>
      <w:r>
        <w:t xml:space="preserve">Assistentes odontológicos podem ter responsabilidade importante na prevenção de infecções. As orientações do CDC para profissionais de saúde bucal incluem Precauções Padrão como higiene das mãos, EPI adequado, higiene respiratória, segurança com perfurocortantes, práticas seguras de injeção, instrumentos e dispositivos estéreis e limpeza e desinfecção ambiental.</w:t>
      </w:r>
    </w:p>
    <w:p>
      <w:pPr>
        <w:pStyle w:val="BodyText"/>
      </w:pPr>
      <w:r>
        <w:t xml:space="preserve">O reprocessamento de instrumentos é uma sequência controlada, não uma limpeza doméstica genérica. Siga as instruções do fabricante do dispositivo e o processo aprovado pelo empregador para transporte seguro, limpeza, inspeção, embalagem, esterilização ou processamento de alto nível conforme aplicável, armazenamento, monitoramento, documentação e resposta a ciclo com falha ou embalagem comprometida.</w:t>
      </w:r>
    </w:p>
    <w:p>
      <w:pPr>
        <w:pStyle w:val="BodyText"/>
      </w:pPr>
      <w:r>
        <w:t xml:space="preserve">Nunca pule limpeza, embalagem, monitoramento da esterilização, EPI ou controles de exposição porque o consultório está ocupado. Nunca improvise um parâmetro de esterilização nem uma concentração química.</w:t>
      </w:r>
    </w:p>
    <w:p>
      <w:pPr>
        <w:pStyle w:val="BodyText"/>
      </w:pPr>
      <w:r>
        <w:t xml:space="preserve">Resumo de prevenção de infecções do CDC:</w:t>
      </w:r>
      <w:r>
        <w:t xml:space="preserve"> </w:t>
      </w:r>
      <w:hyperlink r:id="rId26">
        <w:r>
          <w:rPr>
            <w:rStyle w:val="Hyperlink"/>
          </w:rPr>
          <w:t xml:space="preserve">https://www.cdc.gov/dental-infection-control/hcp/summary/</w:t>
        </w:r>
      </w:hyperlink>
      <w:r>
        <w:br/>
      </w:r>
      <w:r>
        <w:t xml:space="preserve">Precauções Padrão do CDC:</w:t>
      </w:r>
      <w:r>
        <w:t xml:space="preserve"> </w:t>
      </w:r>
      <w:hyperlink r:id="rId27">
        <w:r>
          <w:rPr>
            <w:rStyle w:val="Hyperlink"/>
          </w:rPr>
          <w:t xml:space="preserve">https://www.cdc.gov/dental-infection-control/hcp/summary/standard-precautions.html</w:t>
        </w:r>
      </w:hyperlink>
      <w:r>
        <w:br/>
      </w:r>
      <w:r>
        <w:t xml:space="preserve">FAQ do CDC sobre esterilização:</w:t>
      </w:r>
      <w:r>
        <w:t xml:space="preserve"> </w:t>
      </w:r>
      <w:hyperlink r:id="rId28">
        <w:r>
          <w:rPr>
            <w:rStyle w:val="Hyperlink"/>
          </w:rPr>
          <w:t xml:space="preserve">https://www.cdc.gov/dental-infection-control/hcp/dental-ipc-faqs/dental-sterilization.html</w:t>
        </w:r>
      </w:hyperlink>
    </w:p>
    <w:bookmarkEnd w:id="29"/>
    <w:bookmarkStart w:id="32" w:name="X683c56165cbb2d98c7f8aa04c3958146d1b63ea"/>
    <w:p>
      <w:pPr>
        <w:pStyle w:val="Heading2"/>
      </w:pPr>
      <w:r>
        <w:t xml:space="preserve">Patógenos transmitidos pelo sangue, perfurocortantes e exposição ocupacional</w:t>
      </w:r>
    </w:p>
    <w:p>
      <w:pPr>
        <w:pStyle w:val="FirstParagraph"/>
      </w:pPr>
      <w:r>
        <w:t xml:space="preserve">O trabalho odontológico pode envolver sangue, saliva, perfurocortantes, aerossóis, instrumentos contaminados, substâncias químicas e outros riscos. A OSHA identifica a odontologia como um ambiente com possível exposição ocupacional a patógenos transmitidos pelo sangue. A saliva em procedimentos odontológicos é tratada como material potencialmente infeccioso para os fins da norma de Bloodborne Pathogens.</w:t>
      </w:r>
    </w:p>
    <w:p>
      <w:pPr>
        <w:pStyle w:val="BodyText"/>
      </w:pPr>
      <w:r>
        <w:t xml:space="preserve">Siga o plano de controle de exposição do empregador, requisitos de EPI, controles de engenharia e práticas de trabalho, procedimentos com perfurocortantes, requisitos de vacinação e treinamento, notificação após exposição e processo de avaliação médica. Comunique rapidamente uma perfuração, corte, respingo ou outra exposição conforme a política, em vez de tentar administrá-la em particular.</w:t>
      </w:r>
    </w:p>
    <w:p>
      <w:pPr>
        <w:pStyle w:val="BodyText"/>
      </w:pPr>
      <w:r>
        <w:t xml:space="preserve">OSHA sobre odontologia:</w:t>
      </w:r>
      <w:r>
        <w:t xml:space="preserve"> </w:t>
      </w:r>
      <w:hyperlink r:id="rId30">
        <w:r>
          <w:rPr>
            <w:rStyle w:val="Hyperlink"/>
          </w:rPr>
          <w:t xml:space="preserve">https://www.osha.gov/dentistry</w:t>
        </w:r>
      </w:hyperlink>
      <w:r>
        <w:br/>
      </w:r>
      <w:r>
        <w:t xml:space="preserve">Proteções da OSHA para trabalhadores contra patógenos transmitidos pelo sangue:</w:t>
      </w:r>
      <w:r>
        <w:t xml:space="preserve"> </w:t>
      </w:r>
      <w:hyperlink r:id="rId31">
        <w:r>
          <w:rPr>
            <w:rStyle w:val="Hyperlink"/>
          </w:rPr>
          <w:t xml:space="preserve">https://www.osha.gov/bloodborne-pathogens/worker-protections</w:t>
        </w:r>
      </w:hyperlink>
    </w:p>
    <w:bookmarkEnd w:id="32"/>
    <w:bookmarkStart w:id="33" w:name="Xe910fcca8e617bb66b2fa01d48f99900a5d6cdf"/>
    <w:p>
      <w:pPr>
        <w:pStyle w:val="Heading2"/>
      </w:pPr>
      <w:r>
        <w:t xml:space="preserve">Ambiente de trabalho e exigências físicas</w:t>
      </w:r>
    </w:p>
    <w:p>
      <w:pPr>
        <w:pStyle w:val="FirstParagraph"/>
      </w:pPr>
      <w:r>
        <w:t xml:space="preserve">Assistentes odontológicos normalmente trabalham em consultórios odontológicos gerais ou especializados, clínicas, ambientes de saúde comunitária, clínicas educacionais, programas públicos e outros contextos de saúde bucal. Os horários podem incluir noites ou fins de semana conforme o empregador.</w:t>
      </w:r>
    </w:p>
    <w:p>
      <w:pPr>
        <w:pStyle w:val="BodyText"/>
      </w:pPr>
      <w:r>
        <w:t xml:space="preserve">O trabalho pode envolver períodos prolongados sentado ou em pé, movimentos repetitivos das mãos, trabalho visual próximo, uso de computador, manuseio de instrumentos, flexão e posicionamento ao redor da cadeira odontológica, movimentação de suprimentos, comunicação com pacientes ansiosos, uso de EPI e exposição a sangue, saliva, aerossóis, perfurocortantes, desinfetantes, equipamentos de esterilização e sistemas radiográficos.</w:t>
      </w:r>
    </w:p>
    <w:p>
      <w:pPr>
        <w:pStyle w:val="BodyText"/>
      </w:pPr>
      <w:r>
        <w:t xml:space="preserve">Use ergonomia segura, métodos aprovados de levantamento e manuseio, proteções de equipamentos e controles de exposição ocupacional. Solicite apoios razoáveis de acessibilidade quando aplicável, em vez de ocultar uma limitação que possa afetar o trabalho seguro.</w:t>
      </w:r>
    </w:p>
    <w:bookmarkEnd w:id="33"/>
    <w:bookmarkStart w:id="34" w:name="habilidades-importantes"/>
    <w:p>
      <w:pPr>
        <w:pStyle w:val="Heading2"/>
      </w:pPr>
      <w:r>
        <w:t xml:space="preserve">Habilidades importantes</w:t>
      </w:r>
    </w:p>
    <w:p>
      <w:pPr>
        <w:pStyle w:val="FirstParagraph"/>
      </w:pPr>
      <w:r>
        <w:t xml:space="preserve">Empregadores costumam valorizar:</w:t>
      </w:r>
    </w:p>
    <w:p>
      <w:pPr>
        <w:numPr>
          <w:ilvl w:val="0"/>
          <w:numId w:val="1004"/>
        </w:numPr>
        <w:pStyle w:val="Compact"/>
      </w:pPr>
      <w:r>
        <w:t xml:space="preserve">comunicação calma e respeitosa com pacientes;</w:t>
      </w:r>
    </w:p>
    <w:p>
      <w:pPr>
        <w:numPr>
          <w:ilvl w:val="0"/>
          <w:numId w:val="1004"/>
        </w:numPr>
        <w:pStyle w:val="Compact"/>
      </w:pPr>
      <w:r>
        <w:t xml:space="preserve">atenção aos detalhes;</w:t>
      </w:r>
    </w:p>
    <w:p>
      <w:pPr>
        <w:numPr>
          <w:ilvl w:val="0"/>
          <w:numId w:val="1004"/>
        </w:numPr>
        <w:pStyle w:val="Compact"/>
      </w:pPr>
      <w:r>
        <w:t xml:space="preserve">confidencialidade e discrição;</w:t>
      </w:r>
    </w:p>
    <w:p>
      <w:pPr>
        <w:numPr>
          <w:ilvl w:val="0"/>
          <w:numId w:val="1004"/>
        </w:numPr>
        <w:pStyle w:val="Compact"/>
      </w:pPr>
      <w:r>
        <w:t xml:space="preserve">registros e agendamento precisos;</w:t>
      </w:r>
    </w:p>
    <w:p>
      <w:pPr>
        <w:numPr>
          <w:ilvl w:val="0"/>
          <w:numId w:val="1004"/>
        </w:numPr>
        <w:pStyle w:val="Compact"/>
      </w:pPr>
      <w:r>
        <w:t xml:space="preserve">disciplina em prevenção de infecções;</w:t>
      </w:r>
    </w:p>
    <w:p>
      <w:pPr>
        <w:numPr>
          <w:ilvl w:val="0"/>
          <w:numId w:val="1004"/>
        </w:numPr>
        <w:pStyle w:val="Compact"/>
      </w:pPr>
      <w:r>
        <w:t xml:space="preserve">organização de instrumentos e materiais;</w:t>
      </w:r>
    </w:p>
    <w:p>
      <w:pPr>
        <w:numPr>
          <w:ilvl w:val="0"/>
          <w:numId w:val="1004"/>
        </w:numPr>
        <w:pStyle w:val="Compact"/>
      </w:pPr>
      <w:r>
        <w:t xml:space="preserve">capacidade de seguir instruções do dentista e procedimentos escritos;</w:t>
      </w:r>
    </w:p>
    <w:p>
      <w:pPr>
        <w:numPr>
          <w:ilvl w:val="0"/>
          <w:numId w:val="1004"/>
        </w:numPr>
        <w:pStyle w:val="Compact"/>
      </w:pPr>
      <w:r>
        <w:t xml:space="preserve">consciência situacional durante o trabalho à cadeira;</w:t>
      </w:r>
    </w:p>
    <w:p>
      <w:pPr>
        <w:numPr>
          <w:ilvl w:val="0"/>
          <w:numId w:val="1004"/>
        </w:numPr>
        <w:pStyle w:val="Compact"/>
      </w:pPr>
      <w:r>
        <w:t xml:space="preserve">trabalho em equipe com dentistas, higienistas, equipe administrativa, laboratórios e outros profissionais;</w:t>
      </w:r>
    </w:p>
    <w:p>
      <w:pPr>
        <w:numPr>
          <w:ilvl w:val="0"/>
          <w:numId w:val="1004"/>
        </w:numPr>
        <w:pStyle w:val="Compact"/>
      </w:pPr>
      <w:r>
        <w:t xml:space="preserve">escalonamento confiável quando uma situação ultrapassa a autoridade;</w:t>
      </w:r>
    </w:p>
    <w:p>
      <w:pPr>
        <w:numPr>
          <w:ilvl w:val="0"/>
          <w:numId w:val="1004"/>
        </w:numPr>
        <w:pStyle w:val="Compact"/>
      </w:pPr>
      <w:r>
        <w:t xml:space="preserve">aritmética básica e controle de estoque;</w:t>
      </w:r>
    </w:p>
    <w:p>
      <w:pPr>
        <w:numPr>
          <w:ilvl w:val="0"/>
          <w:numId w:val="1004"/>
        </w:numPr>
        <w:pStyle w:val="Compact"/>
      </w:pPr>
      <w:r>
        <w:t xml:space="preserve">familiaridade com fluxos de sistemas de gestão do consultório e imagens; e</w:t>
      </w:r>
    </w:p>
    <w:p>
      <w:pPr>
        <w:numPr>
          <w:ilvl w:val="0"/>
          <w:numId w:val="1004"/>
        </w:numPr>
        <w:pStyle w:val="Compact"/>
      </w:pPr>
      <w:r>
        <w:t xml:space="preserve">disposição para aprender sistemas específicos do empregador sem exagerar competências.</w:t>
      </w:r>
    </w:p>
    <w:p>
      <w:pPr>
        <w:pStyle w:val="FirstParagraph"/>
      </w:pPr>
      <w:r>
        <w:t xml:space="preserve">A habilidade bilíngue pode ser útil em muitos consultórios, mas não alegue qualificação profissional como intérprete de saúde se não tiver a preparação exigida. Use recursos de interpretação aprovados quando uma comunicação clínica precisa os exigir.</w:t>
      </w:r>
    </w:p>
    <w:bookmarkEnd w:id="34"/>
    <w:bookmarkStart w:id="36" w:name="X4386d3f3537692e1dba1ddc2b19ec0ffcf36650"/>
    <w:p>
      <w:pPr>
        <w:pStyle w:val="Heading2"/>
      </w:pPr>
      <w:r>
        <w:t xml:space="preserve">Estados Unidos — educação e caminhos de entrada</w:t>
      </w:r>
    </w:p>
    <w:p>
      <w:pPr>
        <w:pStyle w:val="FirstParagraph"/>
      </w:pPr>
      <w:r>
        <w:t xml:space="preserve">O O*NET identifica Dental Assistants como</w:t>
      </w:r>
      <w:r>
        <w:t xml:space="preserve"> </w:t>
      </w:r>
      <w:r>
        <w:rPr>
          <w:bCs/>
          <w:b/>
        </w:rPr>
        <w:t xml:space="preserve">31-9091.00</w:t>
      </w:r>
      <w:r>
        <w:t xml:space="preserve">. O BLS informa que os caminhos de entrada variam por estado. Alguns estados exigem conclusão de programa credenciado e exame; outros não têm requisito formal de educação para determinadas funções iniciais e permitem treinamento no trabalho. Muitos programas formais de assistência odontológica duram aproximadamente um ano e concedem certificado ou diploma, enquanto programas de associate degree de dois anos são menos comuns.</w:t>
      </w:r>
    </w:p>
    <w:p>
      <w:pPr>
        <w:pStyle w:val="BodyText"/>
      </w:pPr>
      <w:r>
        <w:t xml:space="preserve">Uma sequência prática de entrada é:</w:t>
      </w:r>
    </w:p>
    <w:p>
      <w:pPr>
        <w:numPr>
          <w:ilvl w:val="0"/>
          <w:numId w:val="1005"/>
        </w:numPr>
        <w:pStyle w:val="Compact"/>
      </w:pPr>
      <w:r>
        <w:t xml:space="preserve">Revisar 15–20 vagas locais atuais de assistente odontológico e anotar requisitos recorrentes.</w:t>
      </w:r>
    </w:p>
    <w:p>
      <w:pPr>
        <w:numPr>
          <w:ilvl w:val="0"/>
          <w:numId w:val="1005"/>
        </w:numPr>
        <w:pStyle w:val="Compact"/>
      </w:pPr>
      <w:r>
        <w:t xml:space="preserve">Consultar no conselho odontológico estadual os níveis atuais de assistência odontológica, funções permitidas, regras de radiografia, supervisão e credenciais.</w:t>
      </w:r>
    </w:p>
    <w:p>
      <w:pPr>
        <w:numPr>
          <w:ilvl w:val="0"/>
          <w:numId w:val="1005"/>
        </w:numPr>
        <w:pStyle w:val="Compact"/>
      </w:pPr>
      <w:r>
        <w:t xml:space="preserve">Comparar opções em community colleges públicos, escolas técnicas, Registered Apprenticeship, formação financiada pela força de trabalho, empregadores e programas privados.</w:t>
      </w:r>
    </w:p>
    <w:p>
      <w:pPr>
        <w:numPr>
          <w:ilvl w:val="0"/>
          <w:numId w:val="1005"/>
        </w:numPr>
        <w:pStyle w:val="Compact"/>
      </w:pPr>
      <w:r>
        <w:t xml:space="preserve">Verificar mensalidades, taxas, livros, uniformes, EPI, instrumentos, CPR, antecedentes, imunizações, prática clínica, formação radiográfica, taxas de exames, política de reembolso e elegibilidade para credenciais.</w:t>
      </w:r>
    </w:p>
    <w:p>
      <w:pPr>
        <w:numPr>
          <w:ilvl w:val="0"/>
          <w:numId w:val="1005"/>
        </w:numPr>
        <w:pStyle w:val="Compact"/>
      </w:pPr>
      <w:r>
        <w:t xml:space="preserve">Preferir programas com prática supervisionada e alinhamento legal/de credenciais claramente documentado.</w:t>
      </w:r>
    </w:p>
    <w:p>
      <w:pPr>
        <w:numPr>
          <w:ilvl w:val="0"/>
          <w:numId w:val="1005"/>
        </w:numPr>
        <w:pStyle w:val="Compact"/>
      </w:pPr>
      <w:r>
        <w:t xml:space="preserve">Candidatar-se apenas a funções compatíveis com sua formação e autorização atuais.</w:t>
      </w:r>
    </w:p>
    <w:p>
      <w:pPr>
        <w:pStyle w:val="FirstParagraph"/>
      </w:pPr>
      <w:r>
        <w:t xml:space="preserve">Fonte BLS:</w:t>
      </w:r>
      <w:r>
        <w:t xml:space="preserve"> </w:t>
      </w:r>
      <w:hyperlink r:id="rId35">
        <w:r>
          <w:rPr>
            <w:rStyle w:val="Hyperlink"/>
          </w:rPr>
          <w:t xml:space="preserve">https://www.bls.gov/ooh/healthcare/dental-assistants.htm</w:t>
        </w:r>
      </w:hyperlink>
    </w:p>
    <w:bookmarkEnd w:id="36"/>
    <w:bookmarkStart w:id="38" w:name="Xcdb502a3fb238bdbd61b583ac21f134b4ffb701"/>
    <w:p>
      <w:pPr>
        <w:pStyle w:val="Heading2"/>
      </w:pPr>
      <w:r>
        <w:t xml:space="preserve">Estados Unidos — Registered Apprenticeship</w:t>
      </w:r>
    </w:p>
    <w:p>
      <w:pPr>
        <w:pStyle w:val="FirstParagraph"/>
      </w:pPr>
      <w:r>
        <w:t xml:space="preserve">Apprenticeship.gov lista</w:t>
      </w:r>
      <w:r>
        <w:t xml:space="preserve"> </w:t>
      </w:r>
      <w:r>
        <w:rPr>
          <w:bCs/>
          <w:b/>
        </w:rPr>
        <w:t xml:space="preserve">Dental Assistant</w:t>
      </w:r>
      <w:r>
        <w:t xml:space="preserve"> </w:t>
      </w:r>
      <w:r>
        <w:t xml:space="preserve">entre as ocupações de Registered Apprenticeship de alta demanda em saúde. Registered Apprenticeship pode combinar emprego remunerado, aprendizagem estruturada no trabalho, instrução relacionada, mentoria e desenvolvimento progressivo de competências.</w:t>
      </w:r>
    </w:p>
    <w:p>
      <w:pPr>
        <w:pStyle w:val="BodyText"/>
      </w:pPr>
      <w:r>
        <w:t xml:space="preserve">A disponibilidade depende do patrocinador e da localização. O fato de a ocupação constar em uma lista nacional não significa que exista uma vaga de aprendizagem em todas as comunidades. Procure patrocinadores atuais e confirme a situação do programa antes de depender desse caminho de formação.</w:t>
      </w:r>
    </w:p>
    <w:p>
      <w:pPr>
        <w:pStyle w:val="BodyText"/>
      </w:pPr>
      <w:r>
        <w:t xml:space="preserve">Fonte:</w:t>
      </w:r>
      <w:r>
        <w:t xml:space="preserve"> </w:t>
      </w:r>
      <w:hyperlink r:id="rId37">
        <w:r>
          <w:rPr>
            <w:rStyle w:val="Hyperlink"/>
          </w:rPr>
          <w:t xml:space="preserve">https://www.apprenticeship.gov/apprenticeship-industries/healthcare</w:t>
        </w:r>
      </w:hyperlink>
    </w:p>
    <w:bookmarkEnd w:id="38"/>
    <w:bookmarkStart w:id="40" w:name="Xc83d5ea3be22d359f6fb2577b019351c1efe501"/>
    <w:p>
      <w:pPr>
        <w:pStyle w:val="Heading2"/>
      </w:pPr>
      <w:r>
        <w:t xml:space="preserve">Estados Unidos — WIOA e formação de menor custo</w:t>
      </w:r>
    </w:p>
    <w:p>
      <w:pPr>
        <w:pStyle w:val="FirstParagraph"/>
      </w:pPr>
      <w:r>
        <w:t xml:space="preserve">O localizador de programas elegíveis para WIOA do CareerOneStop direciona a diretórios estaduais de provedores aprovados. Se você puder se qualificar para serviços do Workforce Innovation and Opportunity Act, entre em contato com o American Job Center apropriado e confirme tanto sua elegibilidade quanto o programa específico de assistência odontológica antes de se matricular.</w:t>
      </w:r>
    </w:p>
    <w:p>
      <w:pPr>
        <w:pStyle w:val="BodyText"/>
      </w:pPr>
      <w:r>
        <w:t xml:space="preserve">O apoio WIOA não é automático e não deve ser descrito como uma bolsa garantida para educação em assistência odontológica.</w:t>
      </w:r>
    </w:p>
    <w:p>
      <w:pPr>
        <w:pStyle w:val="BodyText"/>
      </w:pPr>
      <w:r>
        <w:t xml:space="preserve">Fonte:</w:t>
      </w:r>
      <w:r>
        <w:t xml:space="preserve"> </w:t>
      </w:r>
      <w:hyperlink r:id="rId39">
        <w:r>
          <w:rPr>
            <w:rStyle w:val="Hyperlink"/>
          </w:rPr>
          <w:t xml:space="preserve">https://www.careeronestop.org/LocalHelp/EmploymentAndTraining/find-WIOA-training-programs.aspx</w:t>
        </w:r>
      </w:hyperlink>
    </w:p>
    <w:bookmarkEnd w:id="40"/>
    <w:bookmarkStart w:id="41" w:name="Xd2639ce75cf558d77532553a882a58d1c5bb586"/>
    <w:p>
      <w:pPr>
        <w:pStyle w:val="Heading2"/>
      </w:pPr>
      <w:r>
        <w:t xml:space="preserve">Formação paga pelo empregador e apoio ao avanço</w:t>
      </w:r>
    </w:p>
    <w:p>
      <w:pPr>
        <w:pStyle w:val="FirstParagraph"/>
      </w:pPr>
      <w:r>
        <w:t xml:space="preserve">Pergunte a empregadores odontológicos sobre:</w:t>
      </w:r>
    </w:p>
    <w:p>
      <w:pPr>
        <w:numPr>
          <w:ilvl w:val="0"/>
          <w:numId w:val="1006"/>
        </w:numPr>
        <w:pStyle w:val="Compact"/>
      </w:pPr>
      <w:r>
        <w:t xml:space="preserve">integração remunerada e treinamento supervisionado à cadeira;</w:t>
      </w:r>
    </w:p>
    <w:p>
      <w:pPr>
        <w:numPr>
          <w:ilvl w:val="0"/>
          <w:numId w:val="1006"/>
        </w:numPr>
        <w:pStyle w:val="Compact"/>
      </w:pPr>
      <w:r>
        <w:t xml:space="preserve">Registered Apprenticeship;</w:t>
      </w:r>
    </w:p>
    <w:p>
      <w:pPr>
        <w:numPr>
          <w:ilvl w:val="0"/>
          <w:numId w:val="1006"/>
        </w:numPr>
        <w:pStyle w:val="Compact"/>
      </w:pPr>
      <w:r>
        <w:t xml:space="preserve">auxílio de mensalidade;</w:t>
      </w:r>
    </w:p>
    <w:p>
      <w:pPr>
        <w:numPr>
          <w:ilvl w:val="0"/>
          <w:numId w:val="1006"/>
        </w:numPr>
        <w:pStyle w:val="Compact"/>
      </w:pPr>
      <w:r>
        <w:t xml:space="preserve">formação em radiografia ou funções ampliadas quando legalmente permitidas;</w:t>
      </w:r>
    </w:p>
    <w:p>
      <w:pPr>
        <w:numPr>
          <w:ilvl w:val="0"/>
          <w:numId w:val="1006"/>
        </w:numPr>
        <w:pStyle w:val="Compact"/>
      </w:pPr>
      <w:r>
        <w:t xml:space="preserve">reembolso de exame DANB ou outro exame quando relevante;</w:t>
      </w:r>
    </w:p>
    <w:p>
      <w:pPr>
        <w:numPr>
          <w:ilvl w:val="0"/>
          <w:numId w:val="1006"/>
        </w:numPr>
        <w:pStyle w:val="Compact"/>
      </w:pPr>
      <w:r>
        <w:t xml:space="preserve">apoio para CPR ou suporte básico de vida;</w:t>
      </w:r>
    </w:p>
    <w:p>
      <w:pPr>
        <w:numPr>
          <w:ilvl w:val="0"/>
          <w:numId w:val="1006"/>
        </w:numPr>
        <w:pStyle w:val="Compact"/>
      </w:pPr>
      <w:r>
        <w:t xml:space="preserve">EPI, uniformes ou equipamentos;</w:t>
      </w:r>
    </w:p>
    <w:p>
      <w:pPr>
        <w:numPr>
          <w:ilvl w:val="0"/>
          <w:numId w:val="1006"/>
        </w:numPr>
        <w:pStyle w:val="Compact"/>
      </w:pPr>
      <w:r>
        <w:t xml:space="preserve">educação continuada;</w:t>
      </w:r>
    </w:p>
    <w:p>
      <w:pPr>
        <w:numPr>
          <w:ilvl w:val="0"/>
          <w:numId w:val="1006"/>
        </w:numPr>
        <w:pStyle w:val="Compact"/>
      </w:pPr>
      <w:r>
        <w:t xml:space="preserve">treinamento cruzado em agendamento, coordenação de tratamento, seguros, esterilização ou estoque; e</w:t>
      </w:r>
    </w:p>
    <w:p>
      <w:pPr>
        <w:numPr>
          <w:ilvl w:val="0"/>
          <w:numId w:val="1006"/>
        </w:numPr>
        <w:pStyle w:val="Compact"/>
      </w:pPr>
      <w:r>
        <w:t xml:space="preserve">caminhos de avanço.</w:t>
      </w:r>
    </w:p>
    <w:p>
      <w:pPr>
        <w:pStyle w:val="FirstParagraph"/>
      </w:pPr>
      <w:r>
        <w:t xml:space="preserve">Se o empregador pagar pela formação mas exigir reembolso ou período mínimo de serviço, obtenha os termos por escrito antes de aceitar o financiamento.</w:t>
      </w:r>
    </w:p>
    <w:bookmarkEnd w:id="41"/>
    <w:bookmarkStart w:id="43" w:name="X471a116da4a16b76063be541357ce152683e557"/>
    <w:p>
      <w:pPr>
        <w:pStyle w:val="Heading2"/>
      </w:pPr>
      <w:r>
        <w:t xml:space="preserve">Estados Unidos — renda oficial e perspectiva de emprego</w:t>
      </w:r>
    </w:p>
    <w:p>
      <w:pPr>
        <w:pStyle w:val="FirstParagraph"/>
      </w:pPr>
      <w:r>
        <w:t xml:space="preserve">Os dados atuais de força de trabalho do O*NET reportam</w:t>
      </w:r>
      <w:r>
        <w:t xml:space="preserve"> </w:t>
      </w:r>
      <w:r>
        <w:rPr>
          <w:bCs/>
          <w:b/>
        </w:rPr>
        <w:t xml:space="preserve">dados salariais BLS de 2025</w:t>
      </w:r>
      <w:r>
        <w:t xml:space="preserve"> </w:t>
      </w:r>
      <w:r>
        <w:t xml:space="preserve">para Dental Assistants:</w:t>
      </w:r>
    </w:p>
    <w:p>
      <w:pPr>
        <w:numPr>
          <w:ilvl w:val="0"/>
          <w:numId w:val="1007"/>
        </w:numPr>
        <w:pStyle w:val="Compact"/>
      </w:pPr>
      <w:r>
        <w:rPr>
          <w:bCs/>
          <w:b/>
        </w:rPr>
        <w:t xml:space="preserve">salário mediano por hora: USD $23.11</w:t>
      </w:r>
      <w:r>
        <w:t xml:space="preserve">; e</w:t>
      </w:r>
    </w:p>
    <w:p>
      <w:pPr>
        <w:numPr>
          <w:ilvl w:val="0"/>
          <w:numId w:val="1007"/>
        </w:numPr>
        <w:pStyle w:val="Compact"/>
      </w:pPr>
      <w:r>
        <w:rPr>
          <w:bCs/>
          <w:b/>
        </w:rPr>
        <w:t xml:space="preserve">salário mediano anual: USD $48,070</w:t>
      </w:r>
      <w:r>
        <w:t xml:space="preserve">.</w:t>
      </w:r>
    </w:p>
    <w:p>
      <w:pPr>
        <w:pStyle w:val="FirstParagraph"/>
      </w:pPr>
      <w:r>
        <w:t xml:space="preserve">O Occupational Outlook Handbook do BLS informa para maio de 2024:</w:t>
      </w:r>
    </w:p>
    <w:p>
      <w:pPr>
        <w:numPr>
          <w:ilvl w:val="0"/>
          <w:numId w:val="1008"/>
        </w:numPr>
        <w:pStyle w:val="Compact"/>
      </w:pPr>
      <w:r>
        <w:t xml:space="preserve">salário mediano anual:</w:t>
      </w:r>
      <w:r>
        <w:t xml:space="preserve"> </w:t>
      </w:r>
      <w:r>
        <w:rPr>
          <w:bCs/>
          <w:b/>
        </w:rPr>
        <w:t xml:space="preserve">USD $47,300</w:t>
      </w:r>
      <w:r>
        <w:t xml:space="preserve">;</w:t>
      </w:r>
    </w:p>
    <w:p>
      <w:pPr>
        <w:numPr>
          <w:ilvl w:val="0"/>
          <w:numId w:val="1008"/>
        </w:numPr>
        <w:pStyle w:val="Compact"/>
      </w:pPr>
      <w:r>
        <w:t xml:space="preserve">salário mediano por hora:</w:t>
      </w:r>
      <w:r>
        <w:t xml:space="preserve"> </w:t>
      </w:r>
      <w:r>
        <w:rPr>
          <w:bCs/>
          <w:b/>
        </w:rPr>
        <w:t xml:space="preserve">USD $22.74</w:t>
      </w:r>
      <w:r>
        <w:t xml:space="preserve">;</w:t>
      </w:r>
    </w:p>
    <w:p>
      <w:pPr>
        <w:numPr>
          <w:ilvl w:val="0"/>
          <w:numId w:val="1008"/>
        </w:numPr>
        <w:pStyle w:val="Compact"/>
      </w:pPr>
      <w:r>
        <w:t xml:space="preserve">10 por cento inferiores: abaixo de</w:t>
      </w:r>
      <w:r>
        <w:t xml:space="preserve"> </w:t>
      </w:r>
      <w:r>
        <w:rPr>
          <w:bCs/>
          <w:b/>
        </w:rPr>
        <w:t xml:space="preserve">USD $36,190</w:t>
      </w:r>
      <w:r>
        <w:t xml:space="preserve">;</w:t>
      </w:r>
    </w:p>
    <w:p>
      <w:pPr>
        <w:numPr>
          <w:ilvl w:val="0"/>
          <w:numId w:val="1008"/>
        </w:numPr>
        <w:pStyle w:val="Compact"/>
      </w:pPr>
      <w:r>
        <w:t xml:space="preserve">10 por cento superiores: acima de</w:t>
      </w:r>
      <w:r>
        <w:t xml:space="preserve"> </w:t>
      </w:r>
      <w:r>
        <w:rPr>
          <w:bCs/>
          <w:b/>
        </w:rPr>
        <w:t xml:space="preserve">USD $61,780</w:t>
      </w:r>
      <w:r>
        <w:t xml:space="preserve">;</w:t>
      </w:r>
    </w:p>
    <w:p>
      <w:pPr>
        <w:numPr>
          <w:ilvl w:val="0"/>
          <w:numId w:val="1008"/>
        </w:numPr>
        <w:pStyle w:val="Compact"/>
      </w:pPr>
      <w:r>
        <w:t xml:space="preserve">emprego em 2024: aproximadamente</w:t>
      </w:r>
      <w:r>
        <w:t xml:space="preserve"> </w:t>
      </w:r>
      <w:r>
        <w:rPr>
          <w:bCs/>
          <w:b/>
        </w:rPr>
        <w:t xml:space="preserve">381,900</w:t>
      </w:r>
      <w:r>
        <w:t xml:space="preserve">;</w:t>
      </w:r>
    </w:p>
    <w:p>
      <w:pPr>
        <w:numPr>
          <w:ilvl w:val="0"/>
          <w:numId w:val="1008"/>
        </w:numPr>
        <w:pStyle w:val="Compact"/>
      </w:pPr>
      <w:r>
        <w:t xml:space="preserve">emprego projetado para 2034: aproximadamente</w:t>
      </w:r>
      <w:r>
        <w:t xml:space="preserve"> </w:t>
      </w:r>
      <w:r>
        <w:rPr>
          <w:bCs/>
          <w:b/>
        </w:rPr>
        <w:t xml:space="preserve">406,300</w:t>
      </w:r>
      <w:r>
        <w:t xml:space="preserve">;</w:t>
      </w:r>
    </w:p>
    <w:p>
      <w:pPr>
        <w:numPr>
          <w:ilvl w:val="0"/>
          <w:numId w:val="1008"/>
        </w:numPr>
        <w:pStyle w:val="Compact"/>
      </w:pPr>
      <w:r>
        <w:t xml:space="preserve">crescimento projetado 2024–2034:</w:t>
      </w:r>
      <w:r>
        <w:t xml:space="preserve"> </w:t>
      </w:r>
      <w:r>
        <w:rPr>
          <w:bCs/>
          <w:b/>
        </w:rPr>
        <w:t xml:space="preserve">6%</w:t>
      </w:r>
      <w:r>
        <w:t xml:space="preserve">;</w:t>
      </w:r>
    </w:p>
    <w:p>
      <w:pPr>
        <w:numPr>
          <w:ilvl w:val="0"/>
          <w:numId w:val="1008"/>
        </w:numPr>
        <w:pStyle w:val="Compact"/>
      </w:pPr>
      <w:r>
        <w:t xml:space="preserve">aumento numérico projetado: aproximadamente</w:t>
      </w:r>
      <w:r>
        <w:t xml:space="preserve"> </w:t>
      </w:r>
      <w:r>
        <w:rPr>
          <w:bCs/>
          <w:b/>
        </w:rPr>
        <w:t xml:space="preserve">24,400</w:t>
      </w:r>
      <w:r>
        <w:t xml:space="preserve">; e</w:t>
      </w:r>
    </w:p>
    <w:p>
      <w:pPr>
        <w:numPr>
          <w:ilvl w:val="0"/>
          <w:numId w:val="1008"/>
        </w:numPr>
        <w:pStyle w:val="Compact"/>
      </w:pPr>
      <w:r>
        <w:t xml:space="preserve">média anual projetada de vagas: aproximadamente</w:t>
      </w:r>
      <w:r>
        <w:t xml:space="preserve"> </w:t>
      </w:r>
      <w:r>
        <w:rPr>
          <w:bCs/>
          <w:b/>
        </w:rPr>
        <w:t xml:space="preserve">52,900</w:t>
      </w:r>
      <w:r>
        <w:t xml:space="preserve">.</w:t>
      </w:r>
    </w:p>
    <w:p>
      <w:pPr>
        <w:pStyle w:val="FirstParagraph"/>
      </w:pPr>
      <w:r>
        <w:t xml:space="preserve">A Versão 2 usa a série salarial BLS de 2025 mais recente apresentada pelo O*NET como referência nacional atual e mantém claramente datados os valores do BLS OOH de maio de 2024. Dados nacionais não são salário inicial garantido. A remuneração varia por local, funções, especialidade, empregador, horário, experiência, credencial e escopo permitido.</w:t>
      </w:r>
    </w:p>
    <w:p>
      <w:pPr>
        <w:pStyle w:val="BodyText"/>
      </w:pPr>
      <w:r>
        <w:t xml:space="preserve">O*NET:</w:t>
      </w:r>
      <w:r>
        <w:t xml:space="preserve"> </w:t>
      </w:r>
      <w:hyperlink r:id="rId42">
        <w:r>
          <w:rPr>
            <w:rStyle w:val="Hyperlink"/>
          </w:rPr>
          <w:t xml:space="preserve">https://www.onetonline.org/link/summary/31-9091.00</w:t>
        </w:r>
      </w:hyperlink>
      <w:r>
        <w:br/>
      </w:r>
      <w:r>
        <w:t xml:space="preserve">BLS:</w:t>
      </w:r>
      <w:r>
        <w:t xml:space="preserve"> </w:t>
      </w:r>
      <w:hyperlink r:id="rId35">
        <w:r>
          <w:rPr>
            <w:rStyle w:val="Hyperlink"/>
          </w:rPr>
          <w:t xml:space="preserve">https://www.bls.gov/ooh/healthcare/dental-assistants.htm</w:t>
        </w:r>
      </w:hyperlink>
    </w:p>
    <w:bookmarkEnd w:id="43"/>
    <w:bookmarkStart w:id="45" w:name="X9630077260e61cf74d588bd0a7abc0d2eb7bf34"/>
    <w:p>
      <w:pPr>
        <w:pStyle w:val="Heading2"/>
      </w:pPr>
      <w:r>
        <w:t xml:space="preserve">Estados Unidos — estimativa de mercado não governamental atual</w:t>
      </w:r>
    </w:p>
    <w:p>
      <w:pPr>
        <w:pStyle w:val="FirstParagraph"/>
      </w:pPr>
      <w:r>
        <w:t xml:space="preserve">Salary.com reportou uma estimativa de salário nos Estados Unidos para Dental Assistant de aproximadamente</w:t>
      </w:r>
      <w:r>
        <w:t xml:space="preserve"> </w:t>
      </w:r>
      <w:r>
        <w:rPr>
          <w:bCs/>
          <w:b/>
        </w:rPr>
        <w:t xml:space="preserve">USD $41,739 por ano / $20 por hora</w:t>
      </w:r>
      <w:r>
        <w:t xml:space="preserve"> </w:t>
      </w:r>
      <w:r>
        <w:t xml:space="preserve">em</w:t>
      </w:r>
      <w:r>
        <w:t xml:space="preserve"> </w:t>
      </w:r>
      <w:r>
        <w:rPr>
          <w:bCs/>
          <w:b/>
        </w:rPr>
        <w:t xml:space="preserve">1 de agosto de 2026</w:t>
      </w:r>
      <w:r>
        <w:t xml:space="preserve">, com faixa declarada do percentil 25–75 de aproximadamente</w:t>
      </w:r>
      <w:r>
        <w:t xml:space="preserve"> </w:t>
      </w:r>
      <w:r>
        <w:rPr>
          <w:bCs/>
          <w:b/>
        </w:rPr>
        <w:t xml:space="preserve">USD $37,596–$46,260</w:t>
      </w:r>
      <w:r>
        <w:t xml:space="preserve">, estimativa do percentil 10 de</w:t>
      </w:r>
      <w:r>
        <w:t xml:space="preserve"> </w:t>
      </w:r>
      <w:r>
        <w:rPr>
          <w:bCs/>
          <w:b/>
        </w:rPr>
        <w:t xml:space="preserve">USD $33,824</w:t>
      </w:r>
      <w:r>
        <w:t xml:space="preserve"> </w:t>
      </w:r>
      <w:r>
        <w:t xml:space="preserve">e estimativa do percentil 90 de</w:t>
      </w:r>
      <w:r>
        <w:t xml:space="preserve"> </w:t>
      </w:r>
      <w:r>
        <w:rPr>
          <w:bCs/>
          <w:b/>
        </w:rPr>
        <w:t xml:space="preserve">USD $50,376</w:t>
      </w:r>
      <w:r>
        <w:t xml:space="preserve">.</w:t>
      </w:r>
    </w:p>
    <w:p>
      <w:pPr>
        <w:pStyle w:val="BodyText"/>
      </w:pPr>
      <w:r>
        <w:t xml:space="preserve">Esta é uma</w:t>
      </w:r>
      <w:r>
        <w:t xml:space="preserve"> </w:t>
      </w:r>
      <w:r>
        <w:rPr>
          <w:bCs/>
          <w:b/>
        </w:rPr>
        <w:t xml:space="preserve">estimativa privada, não governamental</w:t>
      </w:r>
      <w:r>
        <w:t xml:space="preserve">. A metodologia difere de BLS/O*NET e deve permanecer separada em vez de ser combinada em uma média com estatísticas oficiais.</w:t>
      </w:r>
    </w:p>
    <w:p>
      <w:pPr>
        <w:pStyle w:val="BodyText"/>
      </w:pPr>
      <w:r>
        <w:t xml:space="preserve">Fonte:</w:t>
      </w:r>
      <w:r>
        <w:t xml:space="preserve"> </w:t>
      </w:r>
      <w:hyperlink r:id="rId44">
        <w:r>
          <w:rPr>
            <w:rStyle w:val="Hyperlink"/>
          </w:rPr>
          <w:t xml:space="preserve">https://www.salary.com/research/salary/benchmark/dental-assistant-salary</w:t>
        </w:r>
      </w:hyperlink>
    </w:p>
    <w:bookmarkEnd w:id="45"/>
    <w:bookmarkStart w:id="48" w:name="Xb0244f249ad31e3f01920ee1ebd358f941c2cd7"/>
    <w:p>
      <w:pPr>
        <w:pStyle w:val="Heading2"/>
      </w:pPr>
      <w:r>
        <w:t xml:space="preserve">Canadá — correspondência de Dental Assistant</w:t>
      </w:r>
    </w:p>
    <w:p>
      <w:pPr>
        <w:pStyle w:val="FirstParagraph"/>
      </w:pPr>
      <w:r>
        <w:t xml:space="preserve">O NOC do Canadá</w:t>
      </w:r>
      <w:r>
        <w:t xml:space="preserve"> </w:t>
      </w:r>
      <w:r>
        <w:rPr>
          <w:bCs/>
          <w:b/>
        </w:rPr>
        <w:t xml:space="preserve">33100</w:t>
      </w:r>
      <w:r>
        <w:t xml:space="preserve"> </w:t>
      </w:r>
      <w:r>
        <w:t xml:space="preserve">é denominado</w:t>
      </w:r>
      <w:r>
        <w:t xml:space="preserve"> </w:t>
      </w:r>
      <w:r>
        <w:rPr>
          <w:bCs/>
          <w:b/>
        </w:rPr>
        <w:t xml:space="preserve">Dental assistants and dental laboratory assistants</w:t>
      </w:r>
      <w:r>
        <w:t xml:space="preserve">. Como esse grupo unitário reúne trabalhos diferentes, pessoas que exploram assistência odontológica à cadeira devem se concentrar nas funções de assistente odontológico e no perfil OaSIS mais específico</w:t>
      </w:r>
      <w:r>
        <w:t xml:space="preserve"> </w:t>
      </w:r>
      <w:r>
        <w:rPr>
          <w:bCs/>
          <w:b/>
        </w:rPr>
        <w:t xml:space="preserve">33100.01 — Dental assistants</w:t>
      </w:r>
      <w:r>
        <w:t xml:space="preserve">, sem importar atribuições de assistente de laboratório para a função.</w:t>
      </w:r>
    </w:p>
    <w:p>
      <w:pPr>
        <w:pStyle w:val="BodyText"/>
      </w:pPr>
      <w:r>
        <w:t xml:space="preserve">O NOC distingue assistentes odontológicos de higienistas/terapeutas dentais e de tecnólogos/técnicos odontológicos. Um certificado norte-americano de Dental Assistant ou uma permissão estadual não transfere automaticamente autoridade de prática no Canadá.</w:t>
      </w:r>
    </w:p>
    <w:p>
      <w:pPr>
        <w:pStyle w:val="BodyText"/>
      </w:pPr>
      <w:r>
        <w:t xml:space="preserve">Perfil NOC:</w:t>
      </w:r>
      <w:r>
        <w:t xml:space="preserve"> </w:t>
      </w:r>
      <w:hyperlink r:id="rId46">
        <w:r>
          <w:rPr>
            <w:rStyle w:val="Hyperlink"/>
          </w:rPr>
          <w:t xml:space="preserve">https://noc.esdc.gc.ca/Structure/NOCProfile?GocTemplateCulture=en-CA&amp;code=33100&amp;version=2021.0</w:t>
        </w:r>
      </w:hyperlink>
      <w:r>
        <w:br/>
      </w:r>
      <w:r>
        <w:t xml:space="preserve">Hierarquia OaSIS:</w:t>
      </w:r>
      <w:r>
        <w:t xml:space="preserve"> </w:t>
      </w:r>
      <w:hyperlink r:id="rId47">
        <w:r>
          <w:rPr>
            <w:rStyle w:val="Hyperlink"/>
          </w:rPr>
          <w:t xml:space="preserve">https://noc.esdc.gc.ca/OaSIS/OaSISHierarchy</w:t>
        </w:r>
      </w:hyperlink>
    </w:p>
    <w:bookmarkEnd w:id="48"/>
    <w:bookmarkStart w:id="50" w:name="X36c79ca9a782fc13d1df3ae796a85fc7d3b9395"/>
    <w:p>
      <w:pPr>
        <w:pStyle w:val="Heading2"/>
      </w:pPr>
      <w:r>
        <w:t xml:space="preserve">Canadá — educação, registro e funções intraorais</w:t>
      </w:r>
    </w:p>
    <w:p>
      <w:pPr>
        <w:pStyle w:val="FirstParagraph"/>
      </w:pPr>
      <w:r>
        <w:t xml:space="preserve">O Job Bank do Governo do Canadá informa que assistentes odontológicos normalmente precisam concluir um programa de oito meses a um ano em college ou outro programa de assistência odontológica, ou ensino médio mais treinamento no trabalho.</w:t>
      </w:r>
    </w:p>
    <w:p>
      <w:pPr>
        <w:pStyle w:val="BodyText"/>
      </w:pPr>
      <w:r>
        <w:t xml:space="preserve">O Job Bank também informa que:</w:t>
      </w:r>
    </w:p>
    <w:p>
      <w:pPr>
        <w:numPr>
          <w:ilvl w:val="0"/>
          <w:numId w:val="1009"/>
        </w:numPr>
        <w:pStyle w:val="Compact"/>
      </w:pPr>
      <w:r>
        <w:t xml:space="preserve">é necessário registro em órgão regulador em todas as províncias, exceto Quebec e Ontario;</w:t>
      </w:r>
    </w:p>
    <w:p>
      <w:pPr>
        <w:numPr>
          <w:ilvl w:val="0"/>
          <w:numId w:val="1009"/>
        </w:numPr>
        <w:pStyle w:val="Compact"/>
      </w:pPr>
      <w:r>
        <w:t xml:space="preserve">a certificação do National Dental Assisting Examination Board é exigida para realizar funções intraorais em todas as províncias, exceto Quebec; e</w:t>
      </w:r>
    </w:p>
    <w:p>
      <w:pPr>
        <w:numPr>
          <w:ilvl w:val="0"/>
          <w:numId w:val="1009"/>
        </w:numPr>
        <w:pStyle w:val="Compact"/>
      </w:pPr>
      <w:r>
        <w:t xml:space="preserve">em Quebec, assistentes odontológicos não realizam funções intraorais segundo a descrição ocupacional nacional.</w:t>
      </w:r>
    </w:p>
    <w:p>
      <w:pPr>
        <w:pStyle w:val="FirstParagraph"/>
      </w:pPr>
      <w:r>
        <w:t xml:space="preserve">Essas afirmações constituem um resumo nacional. O regulador provincial aplicável e a lei atual controlam. Verifique aprovação do programa, registro, exame, radiografia, funções intraorais e requisitos de supervisão antes de se matricular ou aceitar funções.</w:t>
      </w:r>
    </w:p>
    <w:p>
      <w:pPr>
        <w:pStyle w:val="BodyText"/>
      </w:pPr>
      <w:r>
        <w:t xml:space="preserve">Fonte:</w:t>
      </w:r>
      <w:r>
        <w:t xml:space="preserve"> </w:t>
      </w:r>
      <w:hyperlink r:id="rId49">
        <w:r>
          <w:rPr>
            <w:rStyle w:val="Hyperlink"/>
          </w:rPr>
          <w:t xml:space="preserve">https://www.jobbank.gc.ca/marketreport/requirements/4475/ca</w:t>
        </w:r>
      </w:hyperlink>
    </w:p>
    <w:bookmarkEnd w:id="50"/>
    <w:bookmarkStart w:id="53" w:name="canadá--salários-e-ajuda-estudantil"/>
    <w:p>
      <w:pPr>
        <w:pStyle w:val="Heading2"/>
      </w:pPr>
      <w:r>
        <w:t xml:space="preserve">Canadá — salários e ajuda estudantil</w:t>
      </w:r>
    </w:p>
    <w:p>
      <w:pPr>
        <w:pStyle w:val="FirstParagraph"/>
      </w:pPr>
      <w:r>
        <w:t xml:space="preserve">A página nacional atual de salários do Job Bank para Dental Assistant, NOC 33100, informa:</w:t>
      </w:r>
    </w:p>
    <w:p>
      <w:pPr>
        <w:numPr>
          <w:ilvl w:val="0"/>
          <w:numId w:val="1010"/>
        </w:numPr>
        <w:pStyle w:val="Compact"/>
      </w:pPr>
      <w:r>
        <w:t xml:space="preserve">baixo:</w:t>
      </w:r>
      <w:r>
        <w:t xml:space="preserve"> </w:t>
      </w:r>
      <w:r>
        <w:rPr>
          <w:bCs/>
          <w:b/>
        </w:rPr>
        <w:t xml:space="preserve">CAD $21.00/hora</w:t>
      </w:r>
      <w:r>
        <w:t xml:space="preserve">;</w:t>
      </w:r>
    </w:p>
    <w:p>
      <w:pPr>
        <w:numPr>
          <w:ilvl w:val="0"/>
          <w:numId w:val="1010"/>
        </w:numPr>
        <w:pStyle w:val="Compact"/>
      </w:pPr>
      <w:r>
        <w:t xml:space="preserve">mediano:</w:t>
      </w:r>
      <w:r>
        <w:t xml:space="preserve"> </w:t>
      </w:r>
      <w:r>
        <w:rPr>
          <w:bCs/>
          <w:b/>
        </w:rPr>
        <w:t xml:space="preserve">CAD $27.00/hora</w:t>
      </w:r>
      <w:r>
        <w:t xml:space="preserve">;</w:t>
      </w:r>
    </w:p>
    <w:p>
      <w:pPr>
        <w:numPr>
          <w:ilvl w:val="0"/>
          <w:numId w:val="1010"/>
        </w:numPr>
        <w:pStyle w:val="Compact"/>
      </w:pPr>
      <w:r>
        <w:t xml:space="preserve">alto:</w:t>
      </w:r>
      <w:r>
        <w:t xml:space="preserve"> </w:t>
      </w:r>
      <w:r>
        <w:rPr>
          <w:bCs/>
          <w:b/>
        </w:rPr>
        <w:t xml:space="preserve">CAD $35.00/hora</w:t>
      </w:r>
      <w:r>
        <w:t xml:space="preserve">; e</w:t>
      </w:r>
    </w:p>
    <w:p>
      <w:pPr>
        <w:numPr>
          <w:ilvl w:val="0"/>
          <w:numId w:val="1010"/>
        </w:numPr>
        <w:pStyle w:val="Compact"/>
      </w:pPr>
      <w:r>
        <w:rPr>
          <w:bCs/>
          <w:b/>
        </w:rPr>
        <w:t xml:space="preserve">72.3%</w:t>
      </w:r>
      <w:r>
        <w:t xml:space="preserve"> </w:t>
      </w:r>
      <w:r>
        <w:t xml:space="preserve">dos trabalhadores em NOC 33100 recebem pelo menos um benefício não salarial.</w:t>
      </w:r>
    </w:p>
    <w:p>
      <w:pPr>
        <w:pStyle w:val="FirstParagraph"/>
      </w:pPr>
      <w:r>
        <w:t xml:space="preserve">A página salarial foi atualizada em 19 de novembro de 2025 e usa período de referência 2023–2024. Use filtros por província, território e área local antes de tomar decisão de mudança ou formação.</w:t>
      </w:r>
    </w:p>
    <w:p>
      <w:pPr>
        <w:pStyle w:val="BodyText"/>
      </w:pPr>
      <w:r>
        <w:t xml:space="preserve">Salários Job Bank:</w:t>
      </w:r>
      <w:r>
        <w:t xml:space="preserve"> </w:t>
      </w:r>
      <w:hyperlink r:id="rId51">
        <w:r>
          <w:rPr>
            <w:rStyle w:val="Hyperlink"/>
          </w:rPr>
          <w:t xml:space="preserve">https://www.jobbank.gc.ca/marketreport/wages-occupation/4475/ca</w:t>
        </w:r>
      </w:hyperlink>
    </w:p>
    <w:p>
      <w:pPr>
        <w:pStyle w:val="BodyText"/>
      </w:pPr>
      <w:r>
        <w:t xml:space="preserve">Estudantes elegíveis em programas qualificados de instituições designadas podem receber Canada Student Grants and Loans pelo sistema provincial ou territorial apropriado. Para o ano letivo</w:t>
      </w:r>
      <w:r>
        <w:t xml:space="preserve"> </w:t>
      </w:r>
      <w:r>
        <w:rPr>
          <w:bCs/>
          <w:b/>
        </w:rPr>
        <w:t xml:space="preserve">2026–27</w:t>
      </w:r>
      <w:r>
        <w:t xml:space="preserve">, Canada Student Grant for Full-Time Students pode fornecer até</w:t>
      </w:r>
      <w:r>
        <w:t xml:space="preserve"> </w:t>
      </w:r>
      <w:r>
        <w:rPr>
          <w:bCs/>
          <w:b/>
        </w:rPr>
        <w:t xml:space="preserve">CAD $4,200 por ano / CAD $525 por mês de estudo</w:t>
      </w:r>
      <w:r>
        <w:t xml:space="preserve">, sujeito a necessidade financeira e outras regras de elegibilidade. Quebec, Northwest Territories e Nunavut operam sistemas separados de ajuda estudantil.</w:t>
      </w:r>
    </w:p>
    <w:p>
      <w:pPr>
        <w:pStyle w:val="BodyText"/>
      </w:pPr>
      <w:r>
        <w:t xml:space="preserve">Não presuma que todo programa privado de assistência odontológica seja designado ou elegível para ajuda. Verifique a instituição e o programa atuais antes de comprometer dinheiro.</w:t>
      </w:r>
    </w:p>
    <w:p>
      <w:pPr>
        <w:pStyle w:val="BodyText"/>
      </w:pPr>
      <w:r>
        <w:t xml:space="preserve">Canada Student Grant:</w:t>
      </w:r>
      <w:r>
        <w:t xml:space="preserve"> </w:t>
      </w:r>
      <w:hyperlink r:id="rId52">
        <w:r>
          <w:rPr>
            <w:rStyle w:val="Hyperlink"/>
          </w:rPr>
          <w:t xml:space="preserve">https://www.canada.ca/en/services/benefits/education/student-aid/grants-loans/full-time.html</w:t>
        </w:r>
      </w:hyperlink>
    </w:p>
    <w:bookmarkEnd w:id="53"/>
    <w:bookmarkStart w:id="55" w:name="X53d65d4f7175bba03878465dfb76472c572a333"/>
    <w:p>
      <w:pPr>
        <w:pStyle w:val="Heading2"/>
      </w:pPr>
      <w:r>
        <w:t xml:space="preserve">Colômbia — Auxiliares de salud oral, CUOC 53292</w:t>
      </w:r>
    </w:p>
    <w:p>
      <w:pPr>
        <w:pStyle w:val="FirstParagraph"/>
      </w:pPr>
      <w:r>
        <w:t xml:space="preserve">O OCUPACOL do Ministério do Trabalho da Colômbia identifica</w:t>
      </w:r>
      <w:r>
        <w:t xml:space="preserve"> </w:t>
      </w:r>
      <w:r>
        <w:rPr>
          <w:bCs/>
          <w:b/>
        </w:rPr>
        <w:t xml:space="preserve">CUOC 53292 — Auxiliares de salud oral</w:t>
      </w:r>
      <w:r>
        <w:t xml:space="preserve">. As denominações ocupacionais incluem</w:t>
      </w:r>
      <w:r>
        <w:t xml:space="preserve"> </w:t>
      </w:r>
      <w:r>
        <w:rPr>
          <w:iCs/>
          <w:i/>
        </w:rPr>
        <w:t xml:space="preserve">auxiliar de consultorio dental</w:t>
      </w:r>
      <w:r>
        <w:t xml:space="preserve">,</w:t>
      </w:r>
      <w:r>
        <w:t xml:space="preserve"> </w:t>
      </w:r>
      <w:r>
        <w:rPr>
          <w:iCs/>
          <w:i/>
        </w:rPr>
        <w:t xml:space="preserve">auxiliar de consultorio odontológico</w:t>
      </w:r>
      <w:r>
        <w:t xml:space="preserve">,</w:t>
      </w:r>
      <w:r>
        <w:t xml:space="preserve"> </w:t>
      </w:r>
      <w:r>
        <w:rPr>
          <w:iCs/>
          <w:i/>
        </w:rPr>
        <w:t xml:space="preserve">auxiliar de odontología</w:t>
      </w:r>
      <w:r>
        <w:t xml:space="preserve">,</w:t>
      </w:r>
      <w:r>
        <w:t xml:space="preserve"> </w:t>
      </w:r>
      <w:r>
        <w:rPr>
          <w:iCs/>
          <w:i/>
        </w:rPr>
        <w:t xml:space="preserve">auxiliar de odontología e higiene oral</w:t>
      </w:r>
      <w:r>
        <w:t xml:space="preserve">,</w:t>
      </w:r>
      <w:r>
        <w:t xml:space="preserve"> </w:t>
      </w:r>
      <w:r>
        <w:rPr>
          <w:iCs/>
          <w:i/>
        </w:rPr>
        <w:t xml:space="preserve">auxiliar de salud oral</w:t>
      </w:r>
      <w:r>
        <w:t xml:space="preserve">,</w:t>
      </w:r>
      <w:r>
        <w:t xml:space="preserve"> </w:t>
      </w:r>
      <w:r>
        <w:rPr>
          <w:iCs/>
          <w:i/>
        </w:rPr>
        <w:t xml:space="preserve">auxiliar higiene oral</w:t>
      </w:r>
      <w:r>
        <w:t xml:space="preserve"> </w:t>
      </w:r>
      <w:r>
        <w:t xml:space="preserve">e</w:t>
      </w:r>
      <w:r>
        <w:t xml:space="preserve"> </w:t>
      </w:r>
      <w:r>
        <w:rPr>
          <w:iCs/>
          <w:i/>
        </w:rPr>
        <w:t xml:space="preserve">ayudante odontología</w:t>
      </w:r>
      <w:r>
        <w:t xml:space="preserve">.</w:t>
      </w:r>
    </w:p>
    <w:p>
      <w:pPr>
        <w:pStyle w:val="BodyText"/>
      </w:pPr>
      <w:r>
        <w:t xml:space="preserve">O perfil inclui preparar o ambiente odontológico e o paciente, auxiliar o odontólogo, esterilizar e organizar instrumentos, preparar materiais, registrar informações, administrar suprimentos, fornecer informações de higiene oral, auxiliar em moldagens e realizar radiografias conforme procedimento técnico e instruções do odontólogo.</w:t>
      </w:r>
    </w:p>
    <w:p>
      <w:pPr>
        <w:pStyle w:val="BodyText"/>
      </w:pPr>
      <w:r>
        <w:t xml:space="preserve">Essas funções são descrições ocupacionais, não permissão para prática odontológica independente. Continuam prevalecendo as normas de saúde aplicáveis, a formação, o registro no ReTHUS, a direção do odontólogo, os procedimentos do empregador e quaisquer requisitos de segurança radiológica.</w:t>
      </w:r>
    </w:p>
    <w:p>
      <w:pPr>
        <w:pStyle w:val="BodyText"/>
      </w:pPr>
      <w:r>
        <w:t xml:space="preserve">Fonte:</w:t>
      </w:r>
      <w:r>
        <w:t xml:space="preserve"> </w:t>
      </w:r>
      <w:hyperlink r:id="rId54">
        <w:r>
          <w:rPr>
            <w:rStyle w:val="Hyperlink"/>
          </w:rPr>
          <w:t xml:space="preserve">https://ocupacol.mintrabajo.gov.co/Profile/OccupationalProfile/53292</w:t>
        </w:r>
      </w:hyperlink>
    </w:p>
    <w:p>
      <w:pPr>
        <w:pStyle w:val="BodyText"/>
      </w:pPr>
      <w:r>
        <w:t xml:space="preserve">O OCUPACOL também contém um perfil separado de</w:t>
      </w:r>
      <w:r>
        <w:t xml:space="preserve"> </w:t>
      </w:r>
      <w:r>
        <w:rPr>
          <w:bCs/>
          <w:b/>
        </w:rPr>
        <w:t xml:space="preserve">Higienistas y asistentes odontológicos</w:t>
      </w:r>
      <w:r>
        <w:t xml:space="preserve"> </w:t>
      </w:r>
      <w:r>
        <w:t xml:space="preserve">com funções mais amplas.</w:t>
      </w:r>
      <w:r>
        <w:t xml:space="preserve"> </w:t>
      </w:r>
      <w:r>
        <w:rPr>
          <w:bCs/>
          <w:b/>
        </w:rPr>
        <w:t xml:space="preserve">Não transfira funções diagnósticas, preventivas, anestésicas, de extração ou outras funções de maior escopo desse perfil separado para CUOC 53292.</w:t>
      </w:r>
      <w:r>
        <w:t xml:space="preserve"> </w:t>
      </w:r>
      <w:r>
        <w:t xml:space="preserve">O caminho colombiano da Guia 49 está ancorado em</w:t>
      </w:r>
      <w:r>
        <w:t xml:space="preserve"> </w:t>
      </w:r>
      <w:r>
        <w:rPr>
          <w:iCs/>
          <w:i/>
        </w:rPr>
        <w:t xml:space="preserve">Auxiliares de salud oral — CUOC 53292</w:t>
      </w:r>
      <w:r>
        <w:t xml:space="preserve">, salvo se evidência atual da autoridade competente estabelecer outro escopo para a credencial e o ambiente exatos do estudante.</w:t>
      </w:r>
    </w:p>
    <w:bookmarkEnd w:id="55"/>
    <w:bookmarkStart w:id="60" w:name="colômbia--formação-rethus-e-caminho-sena"/>
    <w:p>
      <w:pPr>
        <w:pStyle w:val="Heading2"/>
      </w:pPr>
      <w:r>
        <w:t xml:space="preserve">Colômbia — formação, ReTHUS e caminho SENA</w:t>
      </w:r>
    </w:p>
    <w:p>
      <w:pPr>
        <w:pStyle w:val="FirstParagraph"/>
      </w:pPr>
      <w:r>
        <w:t xml:space="preserve">O Decreto 1409 de 2024 da Colômbia inclui expressamente</w:t>
      </w:r>
      <w:r>
        <w:t xml:space="preserve"> </w:t>
      </w:r>
      <w:r>
        <w:rPr>
          <w:bCs/>
          <w:b/>
        </w:rPr>
        <w:t xml:space="preserve">Auxiliar en Salud Oral</w:t>
      </w:r>
      <w:r>
        <w:t xml:space="preserve"> </w:t>
      </w:r>
      <w:r>
        <w:t xml:space="preserve">entre o pessoal auxiliar de saúde e estabelece disposições atuais de certificação/formação. O decreto distingue certificados emitidos no âmbito do SENA/Subsistema de Formación para el Trabajo de certificados ETDH de</w:t>
      </w:r>
      <w:r>
        <w:t xml:space="preserve"> </w:t>
      </w:r>
      <w:r>
        <w:rPr>
          <w:iCs/>
          <w:i/>
        </w:rPr>
        <w:t xml:space="preserve">Técnico Laboral por Competencias</w:t>
      </w:r>
      <w:r>
        <w:t xml:space="preserve"> </w:t>
      </w:r>
      <w:r>
        <w:t xml:space="preserve">e exige que os titulares solicitem o registro correspondente no</w:t>
      </w:r>
      <w:r>
        <w:t xml:space="preserve"> </w:t>
      </w:r>
      <w:r>
        <w:rPr>
          <w:bCs/>
          <w:b/>
        </w:rPr>
        <w:t xml:space="preserve">ReTHUS</w:t>
      </w:r>
      <w:r>
        <w:t xml:space="preserve"> </w:t>
      </w:r>
      <w:r>
        <w:t xml:space="preserve">perante o Ministério da Saúde ou entidade por ele designada.</w:t>
      </w:r>
    </w:p>
    <w:p>
      <w:pPr>
        <w:pStyle w:val="BodyText"/>
      </w:pPr>
      <w:r>
        <w:t xml:space="preserve">Fonte regulatória:</w:t>
      </w:r>
      <w:r>
        <w:t xml:space="preserve"> </w:t>
      </w:r>
      <w:hyperlink r:id="rId56">
        <w:r>
          <w:rPr>
            <w:rStyle w:val="Hyperlink"/>
          </w:rPr>
          <w:t xml:space="preserve">https://normograma.sena.edu.co/compilacion/docs/decreto_1409_2024.htm</w:t>
        </w:r>
      </w:hyperlink>
    </w:p>
    <w:p>
      <w:pPr>
        <w:pStyle w:val="BodyText"/>
      </w:pPr>
      <w:r>
        <w:t xml:space="preserve">A Resolução SENA 2057 de 4 de julho de 2025 registra uma atualização do programa</w:t>
      </w:r>
      <w:r>
        <w:t xml:space="preserve"> </w:t>
      </w:r>
      <w:r>
        <w:rPr>
          <w:bCs/>
          <w:b/>
        </w:rPr>
        <w:t xml:space="preserve">Técnico Laboral en Salud Oral</w:t>
      </w:r>
      <w:r>
        <w:t xml:space="preserve">. O caminho atualizado aborda funções administrativas e assistenciais de saúde bucal, promoção e prevenção, apoio ao odontólogo em consulta, agendamento, registro de atividades, gestão de riscos e segurança do paciente.</w:t>
      </w:r>
    </w:p>
    <w:p>
      <w:pPr>
        <w:pStyle w:val="BodyText"/>
      </w:pPr>
      <w:r>
        <w:t xml:space="preserve">Fonte da atualização do programa SENA:</w:t>
      </w:r>
      <w:r>
        <w:t xml:space="preserve"> </w:t>
      </w:r>
      <w:hyperlink r:id="rId57">
        <w:r>
          <w:rPr>
            <w:rStyle w:val="Hyperlink"/>
          </w:rPr>
          <w:t xml:space="preserve">https://normograma.sena.edu.co/compilacion/docs/resolucion_sena_2057_2025.htm</w:t>
        </w:r>
      </w:hyperlink>
    </w:p>
    <w:p>
      <w:pPr>
        <w:pStyle w:val="BodyText"/>
      </w:pPr>
      <w:r>
        <w:t xml:space="preserve">O catálogo Betowa do SENA atualmente apresenta</w:t>
      </w:r>
      <w:r>
        <w:t xml:space="preserve"> </w:t>
      </w:r>
      <w:r>
        <w:rPr>
          <w:bCs/>
          <w:b/>
        </w:rPr>
        <w:t xml:space="preserve">SALUD ORAL</w:t>
      </w:r>
      <w:r>
        <w:t xml:space="preserve"> </w:t>
      </w:r>
      <w:r>
        <w:t xml:space="preserve">como caminho técnico presencial, titulado, com ofertas específicas por turma. Datas de oferta, centros, detalhes da modalidade, condições de admissão e disponibilidade por turma mudam.</w:t>
      </w:r>
    </w:p>
    <w:p>
      <w:pPr>
        <w:pStyle w:val="BodyText"/>
      </w:pPr>
      <w:r>
        <w:t xml:space="preserve">Betowa:</w:t>
      </w:r>
      <w:r>
        <w:t xml:space="preserve"> </w:t>
      </w:r>
      <w:hyperlink r:id="rId58">
        <w:r>
          <w:rPr>
            <w:rStyle w:val="Hyperlink"/>
          </w:rPr>
          <w:t xml:space="preserve">https://betowa.sena.edu.co/oferta/salud-oral</w:t>
        </w:r>
      </w:hyperlink>
    </w:p>
    <w:bookmarkStart w:id="59" w:name="Xbe14bafd4c1426aca1d18dc5740b3325f0e64c2"/>
    <w:p>
      <w:pPr>
        <w:pStyle w:val="Heading3"/>
      </w:pPr>
      <w:r>
        <w:t xml:space="preserve">Controle importante de duração na Colômbia</w:t>
      </w:r>
    </w:p>
    <w:p>
      <w:pPr>
        <w:pStyle w:val="FirstParagraph"/>
      </w:pPr>
      <w:r>
        <w:t xml:space="preserve">As fontes públicas atuais do SENA/Colômbia revisadas para esta atualização não apresentam uma explicação simples e totalmente conciliada de todos os campos de duração do programa após a alteração regulatória de 2024 e a atualização do programa SENA de 2025. Metadados públicos do Betowa podem exibir uma duração associada a programa ou turma, enquanto o marco regulatório alterado contém linguagem geral sobre duração de certificados auxiliares de saúde.</w:t>
      </w:r>
    </w:p>
    <w:p>
      <w:pPr>
        <w:pStyle w:val="BodyText"/>
      </w:pPr>
      <w:r>
        <w:rPr>
          <w:bCs/>
          <w:b/>
        </w:rPr>
        <w:t xml:space="preserve">Não publique uma duração nacional única e definitiva do programa SENA Dental Assistant/Salud Oral a partir dessas fontes.</w:t>
      </w:r>
      <w:r>
        <w:t xml:space="preserve"> </w:t>
      </w:r>
      <w:r>
        <w:t xml:space="preserve">Antes da matrícula, verifique a turma vigente do Betowa, o centro de formação, o currículo aprovado, o certificado, o requisito de registro e qualquer requisito de ReTHUS. Se a duração for relevante para uma decisão, obtenha-a no registro oficial atual da turma/programa.</w:t>
      </w:r>
    </w:p>
    <w:bookmarkEnd w:id="59"/>
    <w:bookmarkEnd w:id="60"/>
    <w:bookmarkStart w:id="62" w:name="X2a21085ca62fb516b6ffca4ac6801705c20add3"/>
    <w:p>
      <w:pPr>
        <w:pStyle w:val="Heading2"/>
      </w:pPr>
      <w:r>
        <w:t xml:space="preserve">Colômbia — limites de esterilização e reprocessamento</w:t>
      </w:r>
    </w:p>
    <w:p>
      <w:pPr>
        <w:pStyle w:val="FirstParagraph"/>
      </w:pPr>
      <w:r>
        <w:t xml:space="preserve">A Resolução 914 de 2025 do Ministério da Saúde da Colômbia estabelece requisitos para reprocessamento de dispositivos e elementos médicos reutilizáveis. O marco regulamentado inclui</w:t>
      </w:r>
      <w:r>
        <w:t xml:space="preserve"> </w:t>
      </w:r>
      <w:r>
        <w:rPr>
          <w:iCs/>
          <w:i/>
        </w:rPr>
        <w:t xml:space="preserve">auxiliar de salud oral</w:t>
      </w:r>
      <w:r>
        <w:t xml:space="preserve">, conforme aplicável, entre o pessoal que pode executar atividades de reprocessamento.</w:t>
      </w:r>
    </w:p>
    <w:p>
      <w:pPr>
        <w:pStyle w:val="BodyText"/>
      </w:pPr>
      <w:r>
        <w:t xml:space="preserve">Isso apoia preparação sólida em processamento de instrumentos, mas não autoriza uma pessoa a improvisar parâmetros de esterilização nem praticar de forma independente fora das normas aplicáveis de saúde, local de trabalho, fabricante e profissão.</w:t>
      </w:r>
    </w:p>
    <w:p>
      <w:pPr>
        <w:pStyle w:val="BodyText"/>
      </w:pPr>
      <w:r>
        <w:t xml:space="preserve">Fonte:</w:t>
      </w:r>
      <w:r>
        <w:t xml:space="preserve"> </w:t>
      </w:r>
      <w:hyperlink r:id="rId61">
        <w:r>
          <w:rPr>
            <w:rStyle w:val="Hyperlink"/>
          </w:rPr>
          <w:t xml:space="preserve">https://normograma.sena.edu.co/compilacion/docs/resolucion_minsaludps_0914_2025.htm</w:t>
        </w:r>
      </w:hyperlink>
    </w:p>
    <w:bookmarkEnd w:id="62"/>
    <w:bookmarkStart w:id="65" w:name="américa-latina-e-caribe"/>
    <w:p>
      <w:pPr>
        <w:pStyle w:val="Heading2"/>
      </w:pPr>
      <w:r>
        <w:t xml:space="preserve">América Latina e Caribe</w:t>
      </w:r>
    </w:p>
    <w:p>
      <w:pPr>
        <w:pStyle w:val="FirstParagraph"/>
      </w:pPr>
      <w:r>
        <w:t xml:space="preserve">Os títulos de assistente odontológico, sistemas de formação profissional, leis de prática odontológica, regras radiográficas, funções delegadas, credenciais e escopos diferem na região. Um título como</w:t>
      </w:r>
      <w:r>
        <w:t xml:space="preserve"> </w:t>
      </w:r>
      <w:r>
        <w:rPr>
          <w:iCs/>
          <w:i/>
        </w:rPr>
        <w:t xml:space="preserve">asistente dental</w:t>
      </w:r>
      <w:r>
        <w:t xml:space="preserve">,</w:t>
      </w:r>
      <w:r>
        <w:t xml:space="preserve"> </w:t>
      </w:r>
      <w:r>
        <w:rPr>
          <w:iCs/>
          <w:i/>
        </w:rPr>
        <w:t xml:space="preserve">auxiliar de odontología</w:t>
      </w:r>
      <w:r>
        <w:t xml:space="preserve">,</w:t>
      </w:r>
      <w:r>
        <w:t xml:space="preserve"> </w:t>
      </w:r>
      <w:r>
        <w:rPr>
          <w:iCs/>
          <w:i/>
        </w:rPr>
        <w:t xml:space="preserve">auxiliar de salud oral</w:t>
      </w:r>
      <w:r>
        <w:t xml:space="preserve">,</w:t>
      </w:r>
      <w:r>
        <w:t xml:space="preserve"> </w:t>
      </w:r>
      <w:r>
        <w:rPr>
          <w:iCs/>
          <w:i/>
        </w:rPr>
        <w:t xml:space="preserve">asistente odontológico</w:t>
      </w:r>
      <w:r>
        <w:t xml:space="preserve"> </w:t>
      </w:r>
      <w:r>
        <w:t xml:space="preserve">ou denominação semelhante não estabelece o mesmo escopo legal de um país para outro.</w:t>
      </w:r>
    </w:p>
    <w:p>
      <w:pPr>
        <w:pStyle w:val="BodyText"/>
      </w:pPr>
      <w:r>
        <w:t xml:space="preserve">Use OIT/Cinterfor como localizador regional de instituições de formação profissional e depois verifique as autoridades nacionais atuais de saúde, educação, segurança radiológica e profissão odontológica antes de pagar por formação ou realizar funções regulamentadas.</w:t>
      </w:r>
    </w:p>
    <w:p>
      <w:pPr>
        <w:pStyle w:val="BodyText"/>
      </w:pPr>
      <w:r>
        <w:t xml:space="preserve">OIT/Cinterfor:</w:t>
      </w:r>
      <w:r>
        <w:t xml:space="preserve"> </w:t>
      </w:r>
      <w:hyperlink r:id="rId63">
        <w:r>
          <w:rPr>
            <w:rStyle w:val="Hyperlink"/>
          </w:rPr>
          <w:t xml:space="preserve">https://www.oitcinterfor.org/</w:t>
        </w:r>
      </w:hyperlink>
      <w:r>
        <w:br/>
      </w:r>
      <w:r>
        <w:t xml:space="preserve">Rede institucional:</w:t>
      </w:r>
      <w:r>
        <w:t xml:space="preserve"> </w:t>
      </w:r>
      <w:hyperlink r:id="rId64">
        <w:r>
          <w:rPr>
            <w:rStyle w:val="Hyperlink"/>
          </w:rPr>
          <w:t xml:space="preserve">https://www.oitcinterfor.org/red-institucional</w:t>
        </w:r>
      </w:hyperlink>
    </w:p>
    <w:p>
      <w:pPr>
        <w:pStyle w:val="BodyText"/>
      </w:pPr>
      <w:r>
        <w:t xml:space="preserve">Uma credencial dos Estados Unidos, Canadá, Colômbia ou outro país não transfere automaticamente escopo legal entre fronteiras.</w:t>
      </w:r>
    </w:p>
    <w:bookmarkEnd w:id="65"/>
    <w:bookmarkStart w:id="68" w:name="X11a3fe6c4997d2c37c4d473f0892b9b532002a8"/>
    <w:p>
      <w:pPr>
        <w:pStyle w:val="Heading2"/>
      </w:pPr>
      <w:r>
        <w:t xml:space="preserve">Privacidade do paciente e registros odontológicos</w:t>
      </w:r>
    </w:p>
    <w:p>
      <w:pPr>
        <w:pStyle w:val="FirstParagraph"/>
      </w:pPr>
      <w:r>
        <w:t xml:space="preserve">Consultórios odontológicos tratam informações sensíveis de saúde, seguro, faturamento, contato, imagens e radiografias. Em entidades cobertas nos Estados Unidos, a HIPAA Privacy Rule protege informações de saúde individualmente identificáveis e a HIPAA Security Rule estabelece salvaguardas administrativas, físicas e técnicas para informações eletrônicas de saúde protegidas.</w:t>
      </w:r>
    </w:p>
    <w:p>
      <w:pPr>
        <w:pStyle w:val="BodyText"/>
      </w:pPr>
      <w:r>
        <w:t xml:space="preserve">HHS Privacy Rule:</w:t>
      </w:r>
      <w:r>
        <w:t xml:space="preserve"> </w:t>
      </w:r>
      <w:hyperlink r:id="rId66">
        <w:r>
          <w:rPr>
            <w:rStyle w:val="Hyperlink"/>
          </w:rPr>
          <w:t xml:space="preserve">https://www.hhs.gov/hipaa/for-professionals/privacy/index.html</w:t>
        </w:r>
      </w:hyperlink>
      <w:r>
        <w:br/>
      </w:r>
      <w:r>
        <w:t xml:space="preserve">HHS Security Rule:</w:t>
      </w:r>
      <w:r>
        <w:t xml:space="preserve"> </w:t>
      </w:r>
      <w:hyperlink r:id="rId67">
        <w:r>
          <w:rPr>
            <w:rStyle w:val="Hyperlink"/>
          </w:rPr>
          <w:t xml:space="preserve">https://www.hhs.gov/hipaa/for-professionals/security/index.html</w:t>
        </w:r>
      </w:hyperlink>
    </w:p>
    <w:p>
      <w:pPr>
        <w:pStyle w:val="BodyText"/>
      </w:pPr>
      <w:r>
        <w:t xml:space="preserve">Siga a lei e a política do empregador aplicáveis ao local de trabalho. Acesse apenas registros necessários para trabalho autorizado. Não abra o prontuário de um paciente por curiosidade. Não fotografe telas ou radiografias com dispositivo pessoal, salvo autorização expressa dentro de fluxo conforme. Comunique prontamente registros enviados ao destinatário errado, acessos suspeitos, dispositivos perdidos, phishing ou outros eventos de privacidade/segurança.</w:t>
      </w:r>
    </w:p>
    <w:bookmarkEnd w:id="68"/>
    <w:bookmarkStart w:id="69" w:name="X613f3859ef7c0994334501a7f4e2b7edbc6143c"/>
    <w:p>
      <w:pPr>
        <w:pStyle w:val="Heading2"/>
      </w:pPr>
      <w:r>
        <w:t xml:space="preserve">Uso responsável de IA na assistência odontológica</w:t>
      </w:r>
    </w:p>
    <w:p>
      <w:pPr>
        <w:pStyle w:val="FirstParagraph"/>
      </w:pPr>
      <w:r>
        <w:t xml:space="preserve">A IA pode ajudar em atividades de baixo risco como:</w:t>
      </w:r>
    </w:p>
    <w:p>
      <w:pPr>
        <w:numPr>
          <w:ilvl w:val="0"/>
          <w:numId w:val="1011"/>
        </w:numPr>
        <w:pStyle w:val="Compact"/>
      </w:pPr>
      <w:r>
        <w:t xml:space="preserve">explicar terminologia odontológica geral para estudo;</w:t>
      </w:r>
    </w:p>
    <w:p>
      <w:pPr>
        <w:numPr>
          <w:ilvl w:val="0"/>
          <w:numId w:val="1011"/>
        </w:numPr>
        <w:pStyle w:val="Compact"/>
      </w:pPr>
      <w:r>
        <w:t xml:space="preserve">gerar exercícios fictícios de registro ou agendamento;</w:t>
      </w:r>
    </w:p>
    <w:p>
      <w:pPr>
        <w:numPr>
          <w:ilvl w:val="0"/>
          <w:numId w:val="1011"/>
        </w:numPr>
        <w:pStyle w:val="Compact"/>
      </w:pPr>
      <w:r>
        <w:t xml:space="preserve">criar perguntas de prática para entrevistas;</w:t>
      </w:r>
    </w:p>
    <w:p>
      <w:pPr>
        <w:numPr>
          <w:ilvl w:val="0"/>
          <w:numId w:val="1011"/>
        </w:numPr>
        <w:pStyle w:val="Compact"/>
      </w:pPr>
      <w:r>
        <w:t xml:space="preserve">organizar um plano de estudo sem informações sensíveis;</w:t>
      </w:r>
    </w:p>
    <w:p>
      <w:pPr>
        <w:numPr>
          <w:ilvl w:val="0"/>
          <w:numId w:val="1011"/>
        </w:numPr>
        <w:pStyle w:val="Compact"/>
      </w:pPr>
      <w:r>
        <w:t xml:space="preserve">redigir linguagem genérica de atendimento ao paciente para posterior revisão pelo empregador; ou</w:t>
      </w:r>
    </w:p>
    <w:p>
      <w:pPr>
        <w:numPr>
          <w:ilvl w:val="0"/>
          <w:numId w:val="1011"/>
        </w:numPr>
        <w:pStyle w:val="Compact"/>
      </w:pPr>
      <w:r>
        <w:t xml:space="preserve">ensaiar como escalar um cenário de trabalho fictício.</w:t>
      </w:r>
    </w:p>
    <w:p>
      <w:pPr>
        <w:pStyle w:val="FirstParagraph"/>
      </w:pPr>
      <w:r>
        <w:t xml:space="preserve">A IA</w:t>
      </w:r>
      <w:r>
        <w:t xml:space="preserve"> </w:t>
      </w:r>
      <w:r>
        <w:rPr>
          <w:bCs/>
          <w:b/>
        </w:rPr>
        <w:t xml:space="preserve">não deve</w:t>
      </w:r>
      <w:r>
        <w:t xml:space="preserve"> </w:t>
      </w:r>
      <w:r>
        <w:t xml:space="preserve">substituir julgamento do dentista, interpretação radiográfica, diagnóstico, planejamento de tratamento, decisões de emergência, instruções de medicamentos, procedimentos de controle de infecções, instruções do fabricante do esterilizador nem registros aprovados do paciente.</w:t>
      </w:r>
    </w:p>
    <w:p>
      <w:pPr>
        <w:pStyle w:val="BodyText"/>
      </w:pPr>
      <w:r>
        <w:t xml:space="preserve">Nunca insira nomes de pacientes, datas de nascimento, dados de contato, imagens dentárias, radiografias, históricos, diagnósticos, identificadores de seguros, detalhes de consultas, dados de pagamento ou outras informações protegidas/confidenciais em serviço público ou não autorizado de IA.</w:t>
      </w:r>
    </w:p>
    <w:p>
      <w:pPr>
        <w:pStyle w:val="BodyText"/>
      </w:pPr>
      <w:r>
        <w:t xml:space="preserve">Todo texto voltado ao paciente gerado por IA deve ser verificado com fontes clínicas e do empregador aprovadas antes do uso. Se uma resposta da IA entrar em conflito com uma ordem do dentista, procedimento atual, instrução do fabricante, regulador ou referência aprovada, pare e escale.</w:t>
      </w:r>
    </w:p>
    <w:bookmarkEnd w:id="69"/>
    <w:bookmarkStart w:id="70" w:name="Xf1abb6cee26c5113f2f458795082afdb61b3138"/>
    <w:p>
      <w:pPr>
        <w:pStyle w:val="Heading2"/>
      </w:pPr>
      <w:r>
        <w:t xml:space="preserve">Noções básicas de cibersegurança para um consultório odontológico</w:t>
      </w:r>
    </w:p>
    <w:p>
      <w:pPr>
        <w:pStyle w:val="FirstParagraph"/>
      </w:pPr>
      <w:r>
        <w:t xml:space="preserve">Siga as regras do empregador para:</w:t>
      </w:r>
    </w:p>
    <w:p>
      <w:pPr>
        <w:numPr>
          <w:ilvl w:val="0"/>
          <w:numId w:val="1012"/>
        </w:numPr>
        <w:pStyle w:val="Compact"/>
      </w:pPr>
      <w:r>
        <w:t xml:space="preserve">contas individuais e autenticação multifator;</w:t>
      </w:r>
    </w:p>
    <w:p>
      <w:pPr>
        <w:numPr>
          <w:ilvl w:val="0"/>
          <w:numId w:val="1012"/>
        </w:numPr>
        <w:pStyle w:val="Compact"/>
      </w:pPr>
      <w:r>
        <w:t xml:space="preserve">proteção de senhas e credenciais;</w:t>
      </w:r>
    </w:p>
    <w:p>
      <w:pPr>
        <w:numPr>
          <w:ilvl w:val="0"/>
          <w:numId w:val="1012"/>
        </w:numPr>
        <w:pStyle w:val="Compact"/>
      </w:pPr>
      <w:r>
        <w:t xml:space="preserve">bloqueio de tela;</w:t>
      </w:r>
    </w:p>
    <w:p>
      <w:pPr>
        <w:numPr>
          <w:ilvl w:val="0"/>
          <w:numId w:val="1012"/>
        </w:numPr>
        <w:pStyle w:val="Compact"/>
      </w:pPr>
      <w:r>
        <w:t xml:space="preserve">acesso aprovado a sistemas de gestão do consultório e imagens;</w:t>
      </w:r>
    </w:p>
    <w:p>
      <w:pPr>
        <w:numPr>
          <w:ilvl w:val="0"/>
          <w:numId w:val="1012"/>
        </w:numPr>
        <w:pStyle w:val="Compact"/>
      </w:pPr>
      <w:r>
        <w:t xml:space="preserve">acesso mínimo necessário aos dados dos pacientes;</w:t>
      </w:r>
    </w:p>
    <w:p>
      <w:pPr>
        <w:numPr>
          <w:ilvl w:val="0"/>
          <w:numId w:val="1012"/>
        </w:numPr>
        <w:pStyle w:val="Compact"/>
      </w:pPr>
      <w:r>
        <w:t xml:space="preserve">e-mail, mensagens e transferência de arquivos seguros;</w:t>
      </w:r>
    </w:p>
    <w:p>
      <w:pPr>
        <w:numPr>
          <w:ilvl w:val="0"/>
          <w:numId w:val="1012"/>
        </w:numPr>
        <w:pStyle w:val="Compact"/>
      </w:pPr>
      <w:r>
        <w:t xml:space="preserve">phishing e anexos suspeitos;</w:t>
      </w:r>
    </w:p>
    <w:p>
      <w:pPr>
        <w:numPr>
          <w:ilvl w:val="0"/>
          <w:numId w:val="1012"/>
        </w:numPr>
        <w:pStyle w:val="Compact"/>
      </w:pPr>
      <w:r>
        <w:t xml:space="preserve">verificação de solicitações incomuns de pagamento, banco, folha, seguro, portal ou alterações de conta;</w:t>
      </w:r>
    </w:p>
    <w:p>
      <w:pPr>
        <w:numPr>
          <w:ilvl w:val="0"/>
          <w:numId w:val="1012"/>
        </w:numPr>
        <w:pStyle w:val="Compact"/>
      </w:pPr>
      <w:r>
        <w:t xml:space="preserve">backups e armazenamento aprovado;</w:t>
      </w:r>
    </w:p>
    <w:p>
      <w:pPr>
        <w:numPr>
          <w:ilvl w:val="0"/>
          <w:numId w:val="1012"/>
        </w:numPr>
        <w:pStyle w:val="Compact"/>
      </w:pPr>
      <w:r>
        <w:t xml:space="preserve">impressão e descarte seguro;</w:t>
      </w:r>
    </w:p>
    <w:p>
      <w:pPr>
        <w:numPr>
          <w:ilvl w:val="0"/>
          <w:numId w:val="1012"/>
        </w:numPr>
        <w:pStyle w:val="Compact"/>
      </w:pPr>
      <w:r>
        <w:t xml:space="preserve">dispositivos portáteis e mídias removíveis;</w:t>
      </w:r>
    </w:p>
    <w:p>
      <w:pPr>
        <w:numPr>
          <w:ilvl w:val="0"/>
          <w:numId w:val="1012"/>
        </w:numPr>
        <w:pStyle w:val="Compact"/>
      </w:pPr>
      <w:r>
        <w:t xml:space="preserve">notificação de incidentes e eventos de privacidade; e</w:t>
      </w:r>
    </w:p>
    <w:p>
      <w:pPr>
        <w:numPr>
          <w:ilvl w:val="0"/>
          <w:numId w:val="1012"/>
        </w:numPr>
        <w:pStyle w:val="Compact"/>
      </w:pPr>
      <w:r>
        <w:t xml:space="preserve">dispositivos pessoais, armazenamento em nuvem, ferramentas de transcrição e serviços de IA.</w:t>
      </w:r>
    </w:p>
    <w:p>
      <w:pPr>
        <w:pStyle w:val="FirstParagraph"/>
      </w:pPr>
      <w:r>
        <w:t xml:space="preserve">Nunca desative uma proteção de segurança por conveniência nem compartilhe uma conta porque um colega está ocupado.</w:t>
      </w:r>
    </w:p>
    <w:bookmarkEnd w:id="70"/>
    <w:bookmarkStart w:id="71" w:name="X8c57f354636bc5ee5106ab75c53cd0ed704967b"/>
    <w:p>
      <w:pPr>
        <w:pStyle w:val="Heading2"/>
      </w:pPr>
      <w:r>
        <w:t xml:space="preserve">Estratégia de aprendizagem gratuita primeiro</w:t>
      </w:r>
    </w:p>
    <w:p>
      <w:pPr>
        <w:pStyle w:val="FirstParagraph"/>
      </w:pPr>
      <w:r>
        <w:t xml:space="preserve">Antes de pagar uma escola privada:</w:t>
      </w:r>
    </w:p>
    <w:p>
      <w:pPr>
        <w:numPr>
          <w:ilvl w:val="0"/>
          <w:numId w:val="1013"/>
        </w:numPr>
        <w:pStyle w:val="Compact"/>
      </w:pPr>
      <w:r>
        <w:t xml:space="preserve">Leia 15–20 vagas locais atuais de assistente odontológico.</w:t>
      </w:r>
    </w:p>
    <w:p>
      <w:pPr>
        <w:numPr>
          <w:ilvl w:val="0"/>
          <w:numId w:val="1013"/>
        </w:numPr>
        <w:pStyle w:val="Compact"/>
      </w:pPr>
      <w:r>
        <w:t xml:space="preserve">Verifique os níveis legais de assistência odontológica e requisitos de radiografia/funções ampliadas na jurisdição desejada.</w:t>
      </w:r>
    </w:p>
    <w:p>
      <w:pPr>
        <w:numPr>
          <w:ilvl w:val="0"/>
          <w:numId w:val="1013"/>
        </w:numPr>
        <w:pStyle w:val="Compact"/>
      </w:pPr>
      <w:r>
        <w:t xml:space="preserve">Aprenda terminologia odontológica básica, numeração dentária, conceitos de prevenção de infecções, comunicação profissional, privacidade e segurança do trabalho com fontes confiáveis.</w:t>
      </w:r>
    </w:p>
    <w:p>
      <w:pPr>
        <w:numPr>
          <w:ilvl w:val="0"/>
          <w:numId w:val="1013"/>
        </w:numPr>
        <w:pStyle w:val="Compact"/>
      </w:pPr>
      <w:r>
        <w:t xml:space="preserve">Pergunte a colleges públicos, escolas técnicas, centros de emprego, empregadores odontológicos, clínicas comunitárias e patrocinadores de aprendizagem sobre opções de menor custo ou financiadas.</w:t>
      </w:r>
    </w:p>
    <w:p>
      <w:pPr>
        <w:numPr>
          <w:ilvl w:val="0"/>
          <w:numId w:val="1013"/>
        </w:numPr>
        <w:pStyle w:val="Compact"/>
      </w:pPr>
      <w:r>
        <w:t xml:space="preserve">Compare pelo menos três programas pelo</w:t>
      </w:r>
      <w:r>
        <w:t xml:space="preserve"> </w:t>
      </w:r>
      <w:r>
        <w:rPr>
          <w:bCs/>
          <w:b/>
        </w:rPr>
        <w:t xml:space="preserve">custo total</w:t>
      </w:r>
      <w:r>
        <w:t xml:space="preserve">, não apenas pela mensalidade anunciada.</w:t>
      </w:r>
    </w:p>
    <w:p>
      <w:pPr>
        <w:numPr>
          <w:ilvl w:val="0"/>
          <w:numId w:val="1013"/>
        </w:numPr>
        <w:pStyle w:val="Compact"/>
      </w:pPr>
      <w:r>
        <w:t xml:space="preserve">Verifique prática clínica, preparação radiográfica, CPR, materiais, uniformes, antecedentes, imunizações, elegibilidade para exames, colocação, reembolsos e financiamento.</w:t>
      </w:r>
    </w:p>
    <w:p>
      <w:pPr>
        <w:numPr>
          <w:ilvl w:val="0"/>
          <w:numId w:val="1013"/>
        </w:numPr>
        <w:pStyle w:val="Compact"/>
      </w:pPr>
      <w:r>
        <w:t xml:space="preserve">Pague por uma credencial privada somente depois de confirmar alinhamento com a lei atual e empregadores-alvo.</w:t>
      </w:r>
    </w:p>
    <w:p>
      <w:pPr>
        <w:pStyle w:val="FirstParagraph"/>
      </w:pPr>
      <w:r>
        <w:t xml:space="preserve">Aprendizagem gratuita on-line pode fortalecer conhecimento, mas não substitui treinamento prático supervisionado para uma habilidade regulamentada ou clínica.</w:t>
      </w:r>
    </w:p>
    <w:bookmarkEnd w:id="71"/>
    <w:bookmarkStart w:id="72" w:name="X19cf0e49616025e360115339a1ad19780574430"/>
    <w:p>
      <w:pPr>
        <w:pStyle w:val="Heading2"/>
      </w:pPr>
      <w:r>
        <w:t xml:space="preserve">Um plano prático de 12 semanas para começar</w:t>
      </w:r>
    </w:p>
    <w:p>
      <w:pPr>
        <w:pStyle w:val="FirstParagraph"/>
      </w:pPr>
      <w:r>
        <w:rPr>
          <w:bCs/>
          <w:b/>
        </w:rPr>
        <w:t xml:space="preserve">Semanas 1–2:</w:t>
      </w:r>
      <w:r>
        <w:t xml:space="preserve"> </w:t>
      </w:r>
      <w:r>
        <w:t xml:space="preserve">Revise vagas locais e regras atuais do regulador/conselho odontológico. Liste requisitos recorrentes de educação, radiografia, CPR, controle de infecções, software, idioma e experiência.</w:t>
      </w:r>
    </w:p>
    <w:p>
      <w:pPr>
        <w:pStyle w:val="BodyText"/>
      </w:pPr>
      <w:r>
        <w:rPr>
          <w:bCs/>
          <w:b/>
        </w:rPr>
        <w:t xml:space="preserve">Semanas 3–4:</w:t>
      </w:r>
      <w:r>
        <w:t xml:space="preserve"> </w:t>
      </w:r>
      <w:r>
        <w:t xml:space="preserve">Estude terminologia odontológica, superfícies/numeração dentária, vocabulário básico de materiais, privacidade, comunicação profissional e conceitos de prevenção de infecções sem usar dados reais de pacientes.</w:t>
      </w:r>
    </w:p>
    <w:p>
      <w:pPr>
        <w:pStyle w:val="BodyText"/>
      </w:pPr>
      <w:r>
        <w:rPr>
          <w:bCs/>
          <w:b/>
        </w:rPr>
        <w:t xml:space="preserve">Semanas 5–6:</w:t>
      </w:r>
      <w:r>
        <w:t xml:space="preserve"> </w:t>
      </w:r>
      <w:r>
        <w:t xml:space="preserve">Compare caminhos públicos, de aprendizagem, financiados pela força de trabalho, patrocinados pelo empregador e privados. Verifique custo completo e alinhamento legal/de credenciais.</w:t>
      </w:r>
    </w:p>
    <w:p>
      <w:pPr>
        <w:pStyle w:val="BodyText"/>
      </w:pPr>
      <w:r>
        <w:rPr>
          <w:bCs/>
          <w:b/>
        </w:rPr>
        <w:t xml:space="preserve">Semanas 7–8:</w:t>
      </w:r>
      <w:r>
        <w:t xml:space="preserve"> </w:t>
      </w:r>
      <w:r>
        <w:t xml:space="preserve">Faça somente prática de habilidades supervisionada por meio de programa ou empregador autorizado. Concentre-se em fluxo à cadeira, manuseio de instrumentos, EPI, segurança com perfurocortantes, limpeza ambiental, esterilização/reprocessamento, documentação e escalonamento.</w:t>
      </w:r>
    </w:p>
    <w:p>
      <w:pPr>
        <w:pStyle w:val="BodyText"/>
      </w:pPr>
      <w:r>
        <w:rPr>
          <w:bCs/>
          <w:b/>
        </w:rPr>
        <w:t xml:space="preserve">Semanas 9–10:</w:t>
      </w:r>
      <w:r>
        <w:t xml:space="preserve"> </w:t>
      </w:r>
      <w:r>
        <w:t xml:space="preserve">Construa currículo e inventário de habilidades precisos. Separe prática de sala de aula, simulação, observação, experiência de estágio e trabalho remunerado independente, em vez de misturá-los.</w:t>
      </w:r>
    </w:p>
    <w:p>
      <w:pPr>
        <w:pStyle w:val="BodyText"/>
      </w:pPr>
      <w:r>
        <w:rPr>
          <w:bCs/>
          <w:b/>
        </w:rPr>
        <w:t xml:space="preserve">Semanas 11–12:</w:t>
      </w:r>
      <w:r>
        <w:t xml:space="preserve"> </w:t>
      </w:r>
      <w:r>
        <w:t xml:space="preserve">Candidate-se a funções compatíveis com sua preparação verificada. Prepare exemplos que demonstrem respeito ao paciente, precisão, disciplina de controle de infecções, confidencialidade, trabalho em equipe e escalonamento seguro.</w:t>
      </w:r>
    </w:p>
    <w:bookmarkEnd w:id="72"/>
    <w:bookmarkStart w:id="73" w:name="Xf7847335172b9b0de44cd91fa3d872b9af00006"/>
    <w:p>
      <w:pPr>
        <w:pStyle w:val="Heading2"/>
      </w:pPr>
      <w:r>
        <w:t xml:space="preserve">Construindo experiência sem exagerar o escopo</w:t>
      </w:r>
    </w:p>
    <w:p>
      <w:pPr>
        <w:pStyle w:val="FirstParagraph"/>
      </w:pPr>
      <w:r>
        <w:t xml:space="preserve">Experiência transferível relevante pode incluir:</w:t>
      </w:r>
    </w:p>
    <w:p>
      <w:pPr>
        <w:numPr>
          <w:ilvl w:val="0"/>
          <w:numId w:val="1014"/>
        </w:numPr>
        <w:pStyle w:val="Compact"/>
      </w:pPr>
      <w:r>
        <w:t xml:space="preserve">recepção em saúde ou odontologia;</w:t>
      </w:r>
    </w:p>
    <w:p>
      <w:pPr>
        <w:numPr>
          <w:ilvl w:val="0"/>
          <w:numId w:val="1014"/>
        </w:numPr>
        <w:pStyle w:val="Compact"/>
      </w:pPr>
      <w:r>
        <w:t xml:space="preserve">atendimento ao cliente em ambientes regulamentados;</w:t>
      </w:r>
    </w:p>
    <w:p>
      <w:pPr>
        <w:numPr>
          <w:ilvl w:val="0"/>
          <w:numId w:val="1014"/>
        </w:numPr>
        <w:pStyle w:val="Compact"/>
      </w:pPr>
      <w:r>
        <w:t xml:space="preserve">agendamento de consultas;</w:t>
      </w:r>
    </w:p>
    <w:p>
      <w:pPr>
        <w:numPr>
          <w:ilvl w:val="0"/>
          <w:numId w:val="1014"/>
        </w:numPr>
        <w:pStyle w:val="Compact"/>
      </w:pPr>
      <w:r>
        <w:t xml:space="preserve">apoio em seguros ou faturamento;</w:t>
      </w:r>
    </w:p>
    <w:p>
      <w:pPr>
        <w:numPr>
          <w:ilvl w:val="0"/>
          <w:numId w:val="1014"/>
        </w:numPr>
        <w:pStyle w:val="Compact"/>
      </w:pPr>
      <w:r>
        <w:t xml:space="preserve">estoque e suprimentos;</w:t>
      </w:r>
    </w:p>
    <w:p>
      <w:pPr>
        <w:numPr>
          <w:ilvl w:val="0"/>
          <w:numId w:val="1014"/>
        </w:numPr>
        <w:pStyle w:val="Compact"/>
      </w:pPr>
      <w:r>
        <w:t xml:space="preserve">treinamento supervisionado em esterilização/reprocessamento;</w:t>
      </w:r>
    </w:p>
    <w:p>
      <w:pPr>
        <w:numPr>
          <w:ilvl w:val="0"/>
          <w:numId w:val="1014"/>
        </w:numPr>
        <w:pStyle w:val="Compact"/>
      </w:pPr>
      <w:r>
        <w:t xml:space="preserve">ações comunitárias de saúde bucal;</w:t>
      </w:r>
    </w:p>
    <w:p>
      <w:pPr>
        <w:numPr>
          <w:ilvl w:val="0"/>
          <w:numId w:val="1014"/>
        </w:numPr>
        <w:pStyle w:val="Compact"/>
      </w:pPr>
      <w:r>
        <w:t xml:space="preserve">estágios supervisionados;</w:t>
      </w:r>
    </w:p>
    <w:p>
      <w:pPr>
        <w:numPr>
          <w:ilvl w:val="0"/>
          <w:numId w:val="1014"/>
        </w:numPr>
        <w:pStyle w:val="Compact"/>
      </w:pPr>
      <w:r>
        <w:t xml:space="preserve">Registered Apprenticeship; e</w:t>
      </w:r>
    </w:p>
    <w:p>
      <w:pPr>
        <w:numPr>
          <w:ilvl w:val="0"/>
          <w:numId w:val="1014"/>
        </w:numPr>
        <w:pStyle w:val="Compact"/>
      </w:pPr>
      <w:r>
        <w:t xml:space="preserve">treinamento documentado pelo empregador.</w:t>
      </w:r>
    </w:p>
    <w:p>
      <w:pPr>
        <w:pStyle w:val="FirstParagraph"/>
      </w:pPr>
      <w:r>
        <w:t xml:space="preserve">Descreva exatamente o que você fez. Não apresente um procedimento como competência independente porque o observou, praticou uma vez em laboratório ou auxiliou enquanto outro profissional o realizava.</w:t>
      </w:r>
    </w:p>
    <w:bookmarkEnd w:id="73"/>
    <w:bookmarkStart w:id="74" w:name="progressão-de-carreira"/>
    <w:p>
      <w:pPr>
        <w:pStyle w:val="Heading2"/>
      </w:pPr>
      <w:r>
        <w:t xml:space="preserve">Progressão de carreira</w:t>
      </w:r>
    </w:p>
    <w:p>
      <w:pPr>
        <w:pStyle w:val="FirstParagraph"/>
      </w:pPr>
      <w:r>
        <w:t xml:space="preserve">Com formação, credenciais, experiência e autorização jurisdicional adicionais, possíveis caminhos incluem assistente odontológico sênior, líder de assistência odontológica, assistente odontológico de funções ampliadas onde reconhecido, assistência em ortodontia ou cirurgia oral, coordenação de tratamento, administração de consultório odontológico, apoio comunitário em saúde bucal, coordenação de esterilização/prevenção de infecções ou outras funções de apoio odontológico.</w:t>
      </w:r>
    </w:p>
    <w:p>
      <w:pPr>
        <w:pStyle w:val="BodyText"/>
      </w:pPr>
      <w:r>
        <w:t xml:space="preserve">Higienista dental, terapeuta dental, tecnólogo odontológico, técnico de laboratório e dentista são ocupações separadas, com seus próprios requisitos educacionais e regulatórios. Não apresente experiência comum de Dental Assistant como qualificação automática para esses escopos.</w:t>
      </w:r>
    </w:p>
    <w:bookmarkEnd w:id="74"/>
    <w:bookmarkStart w:id="75" w:name="acessibilidade-e-adaptações"/>
    <w:p>
      <w:pPr>
        <w:pStyle w:val="Heading2"/>
      </w:pPr>
      <w:r>
        <w:t xml:space="preserve">Acessibilidade e adaptações</w:t>
      </w:r>
    </w:p>
    <w:p>
      <w:pPr>
        <w:pStyle w:val="FirstParagraph"/>
      </w:pPr>
      <w:r>
        <w:t xml:space="preserve">A assistência odontológica pode exigir coordenação motora fina, trabalho visual próximo, audição e comunicação, postura prolongada, mobilidade ao redor de equipamentos de tratamento, uso de EPI e resposta rápida a instruções clínicas. Uma deficiência não exclui automaticamente a ocupação, mas a execução segura das funções essenciais importa.</w:t>
      </w:r>
    </w:p>
    <w:p>
      <w:pPr>
        <w:pStyle w:val="BodyText"/>
      </w:pPr>
      <w:r>
        <w:t xml:space="preserve">Quando pertinente, pergunte a provedores de formação e empregadores sobre salas e espaços clínicos acessíveis, tecnologia adaptativa, apoio de comunicação, equipamentos ergonômicos, horários modificados ou outras adaptações razoáveis disponíveis conforme a lei aplicável. Não dependa de uma afirmação de marketing da escola como garantia de que todo estágio clínico ou empregador poderá oferecer qualquer adaptação.</w:t>
      </w:r>
    </w:p>
    <w:bookmarkEnd w:id="75"/>
    <w:bookmarkStart w:id="76" w:name="X30d1517dcf6c16a3bb39d2209a9f65c022072ca"/>
    <w:p>
      <w:pPr>
        <w:pStyle w:val="Heading2"/>
      </w:pPr>
      <w:r>
        <w:t xml:space="preserve">Evitar golpes e programas de formação fracos</w:t>
      </w:r>
    </w:p>
    <w:p>
      <w:pPr>
        <w:pStyle w:val="FirstParagraph"/>
      </w:pPr>
      <w:r>
        <w:t xml:space="preserve">Tenha cautela quando uma escola, recrutador, vendedor de credenciais ou empregador:</w:t>
      </w:r>
    </w:p>
    <w:p>
      <w:pPr>
        <w:numPr>
          <w:ilvl w:val="0"/>
          <w:numId w:val="1015"/>
        </w:numPr>
        <w:pStyle w:val="Compact"/>
      </w:pPr>
      <w:r>
        <w:t xml:space="preserve">garante emprego ou salário específico;</w:t>
      </w:r>
    </w:p>
    <w:p>
      <w:pPr>
        <w:numPr>
          <w:ilvl w:val="0"/>
          <w:numId w:val="1015"/>
        </w:numPr>
        <w:pStyle w:val="Compact"/>
      </w:pPr>
      <w:r>
        <w:t xml:space="preserve">afirma que um certificado autoriza todas as tarefas odontológicas em qualquer lugar;</w:t>
      </w:r>
    </w:p>
    <w:p>
      <w:pPr>
        <w:numPr>
          <w:ilvl w:val="0"/>
          <w:numId w:val="1015"/>
        </w:numPr>
        <w:pStyle w:val="Compact"/>
      </w:pPr>
      <w:r>
        <w:t xml:space="preserve">promete autoridade radiográfica ou de funções ampliadas sem explicar requisitos jurisdicionais atuais;</w:t>
      </w:r>
    </w:p>
    <w:p>
      <w:pPr>
        <w:numPr>
          <w:ilvl w:val="0"/>
          <w:numId w:val="1015"/>
        </w:numPr>
        <w:pStyle w:val="Compact"/>
      </w:pPr>
      <w:r>
        <w:t xml:space="preserve">diz que um curso on-line genérico e curto substitui prática supervisionada de habilidades clínicas;</w:t>
      </w:r>
    </w:p>
    <w:p>
      <w:pPr>
        <w:numPr>
          <w:ilvl w:val="0"/>
          <w:numId w:val="1015"/>
        </w:numPr>
        <w:pStyle w:val="Compact"/>
      </w:pPr>
      <w:r>
        <w:t xml:space="preserve">oculta mensalidade, financiamento, reembolso ou termos de prática clínica;</w:t>
      </w:r>
    </w:p>
    <w:p>
      <w:pPr>
        <w:numPr>
          <w:ilvl w:val="0"/>
          <w:numId w:val="1015"/>
        </w:numPr>
        <w:pStyle w:val="Compact"/>
      </w:pPr>
      <w:r>
        <w:t xml:space="preserve">não consegue explicar elegibilidade de exames ou alinhamento regulatório;</w:t>
      </w:r>
    </w:p>
    <w:p>
      <w:pPr>
        <w:numPr>
          <w:ilvl w:val="0"/>
          <w:numId w:val="1015"/>
        </w:numPr>
        <w:pStyle w:val="Compact"/>
      </w:pPr>
      <w:r>
        <w:t xml:space="preserve">pressiona por matrícula imediata;</w:t>
      </w:r>
    </w:p>
    <w:p>
      <w:pPr>
        <w:numPr>
          <w:ilvl w:val="0"/>
          <w:numId w:val="1015"/>
        </w:numPr>
        <w:pStyle w:val="Compact"/>
      </w:pPr>
      <w:r>
        <w:t xml:space="preserve">promete uma licença governamental inexistente para o programa;</w:t>
      </w:r>
    </w:p>
    <w:p>
      <w:pPr>
        <w:numPr>
          <w:ilvl w:val="0"/>
          <w:numId w:val="1015"/>
        </w:numPr>
        <w:pStyle w:val="Compact"/>
      </w:pPr>
      <w:r>
        <w:t xml:space="preserve">pede pagamento por oferta de emprego com cartões-presente, criptomoedas ou transferências incomuns; ou</w:t>
      </w:r>
    </w:p>
    <w:p>
      <w:pPr>
        <w:numPr>
          <w:ilvl w:val="0"/>
          <w:numId w:val="1015"/>
        </w:numPr>
        <w:pStyle w:val="Compact"/>
      </w:pPr>
      <w:r>
        <w:t xml:space="preserve">solicita informações sensíveis de identidade, banco ou pacientes antes de você verificar a organização.</w:t>
      </w:r>
    </w:p>
    <w:p>
      <w:pPr>
        <w:pStyle w:val="FirstParagraph"/>
      </w:pPr>
      <w:r>
        <w:t xml:space="preserve">Verifique de forma independente a escola, credencial, regulador, empregador e vaga antes de pagar ou compartilhar informações sensíveis.</w:t>
      </w:r>
    </w:p>
    <w:bookmarkEnd w:id="76"/>
    <w:bookmarkStart w:id="77" w:name="quando-parar-antes-de-gastar-dinheiro"/>
    <w:p>
      <w:pPr>
        <w:pStyle w:val="Heading2"/>
      </w:pPr>
      <w:r>
        <w:t xml:space="preserve">Quando parar antes de gastar dinheiro</w:t>
      </w:r>
    </w:p>
    <w:p>
      <w:pPr>
        <w:pStyle w:val="FirstParagraph"/>
      </w:pPr>
      <w:r>
        <w:t xml:space="preserve">Pause a matrícula quando:</w:t>
      </w:r>
    </w:p>
    <w:p>
      <w:pPr>
        <w:numPr>
          <w:ilvl w:val="0"/>
          <w:numId w:val="1016"/>
        </w:numPr>
        <w:pStyle w:val="Compact"/>
      </w:pPr>
      <w:r>
        <w:t xml:space="preserve">você ainda não verificou o escopo legal e as regras de radiografia atuais onde pretende trabalhar;</w:t>
      </w:r>
    </w:p>
    <w:p>
      <w:pPr>
        <w:numPr>
          <w:ilvl w:val="0"/>
          <w:numId w:val="1016"/>
        </w:numPr>
        <w:pStyle w:val="Compact"/>
      </w:pPr>
      <w:r>
        <w:t xml:space="preserve">empregadores-alvo não solicitam a credencial vendida;</w:t>
      </w:r>
    </w:p>
    <w:p>
      <w:pPr>
        <w:numPr>
          <w:ilvl w:val="0"/>
          <w:numId w:val="1016"/>
        </w:numPr>
        <w:pStyle w:val="Compact"/>
      </w:pPr>
      <w:r>
        <w:t xml:space="preserve">o programa não explica a prática clínica supervisionada;</w:t>
      </w:r>
    </w:p>
    <w:p>
      <w:pPr>
        <w:numPr>
          <w:ilvl w:val="0"/>
          <w:numId w:val="1016"/>
        </w:numPr>
        <w:pStyle w:val="Compact"/>
      </w:pPr>
      <w:r>
        <w:t xml:space="preserve">a elegibilidade para exame ou registro não está clara;</w:t>
      </w:r>
    </w:p>
    <w:p>
      <w:pPr>
        <w:numPr>
          <w:ilvl w:val="0"/>
          <w:numId w:val="1016"/>
        </w:numPr>
        <w:pStyle w:val="Compact"/>
      </w:pPr>
      <w:r>
        <w:t xml:space="preserve">custo total e termos de reembolso não são divulgados;</w:t>
      </w:r>
    </w:p>
    <w:p>
      <w:pPr>
        <w:numPr>
          <w:ilvl w:val="0"/>
          <w:numId w:val="1016"/>
        </w:numPr>
        <w:pStyle w:val="Compact"/>
      </w:pPr>
      <w:r>
        <w:t xml:space="preserve">uma opção pública, de aprendizagem, financiada pela força de trabalho, apoiada por ajuda estudantil ou paga pelo empregador pode cobrir a mesma preparação;</w:t>
      </w:r>
    </w:p>
    <w:p>
      <w:pPr>
        <w:numPr>
          <w:ilvl w:val="0"/>
          <w:numId w:val="1016"/>
        </w:numPr>
        <w:pStyle w:val="Compact"/>
      </w:pPr>
      <w:r>
        <w:t xml:space="preserve">a escola faz promessas de transferência internacional de credenciais sem evidência do regulador; ou</w:t>
      </w:r>
    </w:p>
    <w:p>
      <w:pPr>
        <w:numPr>
          <w:ilvl w:val="0"/>
          <w:numId w:val="1016"/>
        </w:numPr>
        <w:pStyle w:val="Compact"/>
      </w:pPr>
      <w:r>
        <w:t xml:space="preserve">o financiamento criaria dívida que você não consegue pagar confortavelmente.</w:t>
      </w:r>
    </w:p>
    <w:bookmarkEnd w:id="77"/>
    <w:bookmarkStart w:id="79" w:name="fontes-atuais"/>
    <w:p>
      <w:pPr>
        <w:pStyle w:val="Heading2"/>
      </w:pPr>
      <w:r>
        <w:t xml:space="preserve">Fontes atuais</w:t>
      </w:r>
    </w:p>
    <w:p>
      <w:pPr>
        <w:pStyle w:val="FirstParagraph"/>
      </w:pPr>
      <w:r>
        <w:t xml:space="preserve">Fontes oficiais/públicas:</w:t>
      </w:r>
    </w:p>
    <w:p>
      <w:pPr>
        <w:numPr>
          <w:ilvl w:val="0"/>
          <w:numId w:val="1017"/>
        </w:numPr>
        <w:pStyle w:val="Compact"/>
      </w:pPr>
      <w:r>
        <w:t xml:space="preserve">U.S. Department of Labor O*NET OnLine — Dental Assistants, 31-9091.00:</w:t>
      </w:r>
      <w:r>
        <w:t xml:space="preserve"> </w:t>
      </w:r>
      <w:hyperlink r:id="rId78">
        <w:r>
          <w:rPr>
            <w:rStyle w:val="Hyperlink"/>
          </w:rPr>
          <w:t xml:space="preserve">https://www.onetonline.org/link/details/31-9091.00</w:t>
        </w:r>
      </w:hyperlink>
    </w:p>
    <w:p>
      <w:pPr>
        <w:numPr>
          <w:ilvl w:val="0"/>
          <w:numId w:val="1017"/>
        </w:numPr>
        <w:pStyle w:val="Compact"/>
      </w:pPr>
      <w:r>
        <w:t xml:space="preserve">O*NET summary / 2025 BLS national wage data — Dental Assistants:</w:t>
      </w:r>
      <w:r>
        <w:t xml:space="preserve"> </w:t>
      </w:r>
      <w:hyperlink r:id="rId42">
        <w:r>
          <w:rPr>
            <w:rStyle w:val="Hyperlink"/>
          </w:rPr>
          <w:t xml:space="preserve">https://www.onetonline.org/link/summary/31-9091.00</w:t>
        </w:r>
      </w:hyperlink>
    </w:p>
    <w:p>
      <w:pPr>
        <w:numPr>
          <w:ilvl w:val="0"/>
          <w:numId w:val="1017"/>
        </w:numPr>
        <w:pStyle w:val="Compact"/>
      </w:pPr>
      <w:r>
        <w:t xml:space="preserve">U.S. Bureau of Labor Statistics — Occupational Outlook Handbook, Dental Assistants:</w:t>
      </w:r>
      <w:r>
        <w:t xml:space="preserve"> </w:t>
      </w:r>
      <w:hyperlink r:id="rId35">
        <w:r>
          <w:rPr>
            <w:rStyle w:val="Hyperlink"/>
          </w:rPr>
          <w:t xml:space="preserve">https://www.bls.gov/ooh/healthcare/dental-assistants.htm</w:t>
        </w:r>
      </w:hyperlink>
    </w:p>
    <w:p>
      <w:pPr>
        <w:numPr>
          <w:ilvl w:val="0"/>
          <w:numId w:val="1017"/>
        </w:numPr>
        <w:pStyle w:val="Compact"/>
      </w:pPr>
      <w:r>
        <w:t xml:space="preserve">Apprenticeship.gov — Healthcare Registered Apprenticeship:</w:t>
      </w:r>
      <w:r>
        <w:t xml:space="preserve"> </w:t>
      </w:r>
      <w:hyperlink r:id="rId37">
        <w:r>
          <w:rPr>
            <w:rStyle w:val="Hyperlink"/>
          </w:rPr>
          <w:t xml:space="preserve">https://www.apprenticeship.gov/apprenticeship-industries/healthcare</w:t>
        </w:r>
      </w:hyperlink>
    </w:p>
    <w:p>
      <w:pPr>
        <w:numPr>
          <w:ilvl w:val="0"/>
          <w:numId w:val="1017"/>
        </w:numPr>
        <w:pStyle w:val="Compact"/>
      </w:pPr>
      <w:r>
        <w:t xml:space="preserve">CareerOneStop — WIOA-Eligible Training Program Finder:</w:t>
      </w:r>
      <w:r>
        <w:t xml:space="preserve"> </w:t>
      </w:r>
      <w:hyperlink r:id="rId39">
        <w:r>
          <w:rPr>
            <w:rStyle w:val="Hyperlink"/>
          </w:rPr>
          <w:t xml:space="preserve">https://www.careeronestop.org/LocalHelp/EmploymentAndTraining/find-WIOA-training-programs.aspx</w:t>
        </w:r>
      </w:hyperlink>
    </w:p>
    <w:p>
      <w:pPr>
        <w:numPr>
          <w:ilvl w:val="0"/>
          <w:numId w:val="1017"/>
        </w:numPr>
        <w:pStyle w:val="Compact"/>
      </w:pPr>
      <w:r>
        <w:t xml:space="preserve">CDC — Summary of Infection Prevention Practices in Dental Settings:</w:t>
      </w:r>
      <w:r>
        <w:t xml:space="preserve"> </w:t>
      </w:r>
      <w:hyperlink r:id="rId26">
        <w:r>
          <w:rPr>
            <w:rStyle w:val="Hyperlink"/>
          </w:rPr>
          <w:t xml:space="preserve">https://www.cdc.gov/dental-infection-control/hcp/summary/</w:t>
        </w:r>
      </w:hyperlink>
    </w:p>
    <w:p>
      <w:pPr>
        <w:numPr>
          <w:ilvl w:val="0"/>
          <w:numId w:val="1017"/>
        </w:numPr>
        <w:pStyle w:val="Compact"/>
      </w:pPr>
      <w:r>
        <w:t xml:space="preserve">CDC — Standard Precautions in Dental Settings:</w:t>
      </w:r>
      <w:r>
        <w:t xml:space="preserve"> </w:t>
      </w:r>
      <w:hyperlink r:id="rId27">
        <w:r>
          <w:rPr>
            <w:rStyle w:val="Hyperlink"/>
          </w:rPr>
          <w:t xml:space="preserve">https://www.cdc.gov/dental-infection-control/hcp/summary/standard-precautions.html</w:t>
        </w:r>
      </w:hyperlink>
    </w:p>
    <w:p>
      <w:pPr>
        <w:numPr>
          <w:ilvl w:val="0"/>
          <w:numId w:val="1017"/>
        </w:numPr>
        <w:pStyle w:val="Compact"/>
      </w:pPr>
      <w:r>
        <w:t xml:space="preserve">CDC — Dental sterilization and monitoring FAQ:</w:t>
      </w:r>
      <w:r>
        <w:t xml:space="preserve"> </w:t>
      </w:r>
      <w:hyperlink r:id="rId28">
        <w:r>
          <w:rPr>
            <w:rStyle w:val="Hyperlink"/>
          </w:rPr>
          <w:t xml:space="preserve">https://www.cdc.gov/dental-infection-control/hcp/dental-ipc-faqs/dental-sterilization.html</w:t>
        </w:r>
      </w:hyperlink>
    </w:p>
    <w:p>
      <w:pPr>
        <w:numPr>
          <w:ilvl w:val="0"/>
          <w:numId w:val="1017"/>
        </w:numPr>
        <w:pStyle w:val="Compact"/>
      </w:pPr>
      <w:r>
        <w:t xml:space="preserve">OSHA — Dentistry:</w:t>
      </w:r>
      <w:r>
        <w:t xml:space="preserve"> </w:t>
      </w:r>
      <w:hyperlink r:id="rId30">
        <w:r>
          <w:rPr>
            <w:rStyle w:val="Hyperlink"/>
          </w:rPr>
          <w:t xml:space="preserve">https://www.osha.gov/dentistry</w:t>
        </w:r>
      </w:hyperlink>
    </w:p>
    <w:p>
      <w:pPr>
        <w:numPr>
          <w:ilvl w:val="0"/>
          <w:numId w:val="1017"/>
        </w:numPr>
        <w:pStyle w:val="Compact"/>
      </w:pPr>
      <w:r>
        <w:t xml:space="preserve">OSHA — Bloodborne Pathogens worker protections:</w:t>
      </w:r>
      <w:r>
        <w:t xml:space="preserve"> </w:t>
      </w:r>
      <w:hyperlink r:id="rId31">
        <w:r>
          <w:rPr>
            <w:rStyle w:val="Hyperlink"/>
          </w:rPr>
          <w:t xml:space="preserve">https://www.osha.gov/bloodborne-pathogens/worker-protections</w:t>
        </w:r>
      </w:hyperlink>
    </w:p>
    <w:p>
      <w:pPr>
        <w:numPr>
          <w:ilvl w:val="0"/>
          <w:numId w:val="1017"/>
        </w:numPr>
        <w:pStyle w:val="Compact"/>
      </w:pPr>
      <w:r>
        <w:t xml:space="preserve">HHS — HIPAA Privacy Rule:</w:t>
      </w:r>
      <w:r>
        <w:t xml:space="preserve"> </w:t>
      </w:r>
      <w:hyperlink r:id="rId66">
        <w:r>
          <w:rPr>
            <w:rStyle w:val="Hyperlink"/>
          </w:rPr>
          <w:t xml:space="preserve">https://www.hhs.gov/hipaa/for-professionals/privacy/index.html</w:t>
        </w:r>
      </w:hyperlink>
    </w:p>
    <w:p>
      <w:pPr>
        <w:numPr>
          <w:ilvl w:val="0"/>
          <w:numId w:val="1017"/>
        </w:numPr>
        <w:pStyle w:val="Compact"/>
      </w:pPr>
      <w:r>
        <w:t xml:space="preserve">HHS — HIPAA Security Rule:</w:t>
      </w:r>
      <w:r>
        <w:t xml:space="preserve"> </w:t>
      </w:r>
      <w:hyperlink r:id="rId67">
        <w:r>
          <w:rPr>
            <w:rStyle w:val="Hyperlink"/>
          </w:rPr>
          <w:t xml:space="preserve">https://www.hhs.gov/hipaa/for-professionals/security/index.html</w:t>
        </w:r>
      </w:hyperlink>
    </w:p>
    <w:p>
      <w:pPr>
        <w:numPr>
          <w:ilvl w:val="0"/>
          <w:numId w:val="1017"/>
        </w:numPr>
        <w:pStyle w:val="Compact"/>
      </w:pPr>
      <w:r>
        <w:t xml:space="preserve">Government of Canada NOC 33100 — Dental assistants and dental laboratory assistants:</w:t>
      </w:r>
      <w:r>
        <w:t xml:space="preserve"> </w:t>
      </w:r>
      <w:hyperlink r:id="rId46">
        <w:r>
          <w:rPr>
            <w:rStyle w:val="Hyperlink"/>
          </w:rPr>
          <w:t xml:space="preserve">https://noc.esdc.gc.ca/Structure/NOCProfile?GocTemplateCulture=en-CA&amp;code=33100&amp;version=2021.0</w:t>
        </w:r>
      </w:hyperlink>
    </w:p>
    <w:p>
      <w:pPr>
        <w:numPr>
          <w:ilvl w:val="0"/>
          <w:numId w:val="1017"/>
        </w:numPr>
        <w:pStyle w:val="Compact"/>
      </w:pPr>
      <w:r>
        <w:t xml:space="preserve">Government of Canada OaSIS hierarchy:</w:t>
      </w:r>
      <w:r>
        <w:t xml:space="preserve"> </w:t>
      </w:r>
      <w:hyperlink r:id="rId47">
        <w:r>
          <w:rPr>
            <w:rStyle w:val="Hyperlink"/>
          </w:rPr>
          <w:t xml:space="preserve">https://noc.esdc.gc.ca/OaSIS/OaSISHierarchy</w:t>
        </w:r>
      </w:hyperlink>
    </w:p>
    <w:p>
      <w:pPr>
        <w:numPr>
          <w:ilvl w:val="0"/>
          <w:numId w:val="1017"/>
        </w:numPr>
        <w:pStyle w:val="Compact"/>
      </w:pPr>
      <w:r>
        <w:t xml:space="preserve">Government of Canada Job Bank — Dental Assistant requirements:</w:t>
      </w:r>
      <w:r>
        <w:t xml:space="preserve"> </w:t>
      </w:r>
      <w:hyperlink r:id="rId49">
        <w:r>
          <w:rPr>
            <w:rStyle w:val="Hyperlink"/>
          </w:rPr>
          <w:t xml:space="preserve">https://www.jobbank.gc.ca/marketreport/requirements/4475/ca</w:t>
        </w:r>
      </w:hyperlink>
    </w:p>
    <w:p>
      <w:pPr>
        <w:numPr>
          <w:ilvl w:val="0"/>
          <w:numId w:val="1017"/>
        </w:numPr>
        <w:pStyle w:val="Compact"/>
      </w:pPr>
      <w:r>
        <w:t xml:space="preserve">Government of Canada Job Bank — Dental Assistant wages:</w:t>
      </w:r>
      <w:r>
        <w:t xml:space="preserve"> </w:t>
      </w:r>
      <w:hyperlink r:id="rId51">
        <w:r>
          <w:rPr>
            <w:rStyle w:val="Hyperlink"/>
          </w:rPr>
          <w:t xml:space="preserve">https://www.jobbank.gc.ca/marketreport/wages-occupation/4475/ca</w:t>
        </w:r>
      </w:hyperlink>
    </w:p>
    <w:p>
      <w:pPr>
        <w:numPr>
          <w:ilvl w:val="0"/>
          <w:numId w:val="1017"/>
        </w:numPr>
        <w:pStyle w:val="Compact"/>
      </w:pPr>
      <w:r>
        <w:t xml:space="preserve">Government of Canada — Canada Student Grant for Full-Time Students:</w:t>
      </w:r>
      <w:r>
        <w:t xml:space="preserve"> </w:t>
      </w:r>
      <w:hyperlink r:id="rId52">
        <w:r>
          <w:rPr>
            <w:rStyle w:val="Hyperlink"/>
          </w:rPr>
          <w:t xml:space="preserve">https://www.canada.ca/en/services/benefits/education/student-aid/grants-loans/full-time.html</w:t>
        </w:r>
      </w:hyperlink>
    </w:p>
    <w:p>
      <w:pPr>
        <w:numPr>
          <w:ilvl w:val="0"/>
          <w:numId w:val="1017"/>
        </w:numPr>
        <w:pStyle w:val="Compact"/>
      </w:pPr>
      <w:r>
        <w:t xml:space="preserve">Colombia Ministerio del Trabajo OCUPACOL — CUOC 53292 Auxiliares de salud oral:</w:t>
      </w:r>
      <w:r>
        <w:t xml:space="preserve"> </w:t>
      </w:r>
      <w:hyperlink r:id="rId54">
        <w:r>
          <w:rPr>
            <w:rStyle w:val="Hyperlink"/>
          </w:rPr>
          <w:t xml:space="preserve">https://ocupacol.mintrabajo.gov.co/Profile/OccupationalProfile/53292</w:t>
        </w:r>
      </w:hyperlink>
    </w:p>
    <w:p>
      <w:pPr>
        <w:numPr>
          <w:ilvl w:val="0"/>
          <w:numId w:val="1017"/>
        </w:numPr>
        <w:pStyle w:val="Compact"/>
      </w:pPr>
      <w:r>
        <w:t xml:space="preserve">SENA Normograma — Decreto 1409 de 2024:</w:t>
      </w:r>
      <w:r>
        <w:t xml:space="preserve"> </w:t>
      </w:r>
      <w:hyperlink r:id="rId56">
        <w:r>
          <w:rPr>
            <w:rStyle w:val="Hyperlink"/>
          </w:rPr>
          <w:t xml:space="preserve">https://normograma.sena.edu.co/compilacion/docs/decreto_1409_2024.htm</w:t>
        </w:r>
      </w:hyperlink>
    </w:p>
    <w:p>
      <w:pPr>
        <w:numPr>
          <w:ilvl w:val="0"/>
          <w:numId w:val="1017"/>
        </w:numPr>
        <w:pStyle w:val="Compact"/>
      </w:pPr>
      <w:r>
        <w:t xml:space="preserve">SENA Normograma — Resolución SENA 2057 de 2025, actualización del programa Técnico Laboral en Salud Oral:</w:t>
      </w:r>
      <w:r>
        <w:t xml:space="preserve"> </w:t>
      </w:r>
      <w:hyperlink r:id="rId57">
        <w:r>
          <w:rPr>
            <w:rStyle w:val="Hyperlink"/>
          </w:rPr>
          <w:t xml:space="preserve">https://normograma.sena.edu.co/compilacion/docs/resolucion_sena_2057_2025.htm</w:t>
        </w:r>
      </w:hyperlink>
    </w:p>
    <w:p>
      <w:pPr>
        <w:numPr>
          <w:ilvl w:val="0"/>
          <w:numId w:val="1017"/>
        </w:numPr>
        <w:pStyle w:val="Compact"/>
      </w:pPr>
      <w:r>
        <w:t xml:space="preserve">SENA Betowa — Salud Oral:</w:t>
      </w:r>
      <w:r>
        <w:t xml:space="preserve"> </w:t>
      </w:r>
      <w:hyperlink r:id="rId58">
        <w:r>
          <w:rPr>
            <w:rStyle w:val="Hyperlink"/>
          </w:rPr>
          <w:t xml:space="preserve">https://betowa.sena.edu.co/oferta/salud-oral</w:t>
        </w:r>
      </w:hyperlink>
    </w:p>
    <w:p>
      <w:pPr>
        <w:numPr>
          <w:ilvl w:val="0"/>
          <w:numId w:val="1017"/>
        </w:numPr>
        <w:pStyle w:val="Compact"/>
      </w:pPr>
      <w:r>
        <w:t xml:space="preserve">SENA Normograma — Resolución Minsalud 914 de 2025, reprocesamiento de dispositivos médicos reutilizables:</w:t>
      </w:r>
      <w:r>
        <w:t xml:space="preserve"> </w:t>
      </w:r>
      <w:hyperlink r:id="rId61">
        <w:r>
          <w:rPr>
            <w:rStyle w:val="Hyperlink"/>
          </w:rPr>
          <w:t xml:space="preserve">https://normograma.sena.edu.co/compilacion/docs/resolucion_minsaludps_0914_2025.htm</w:t>
        </w:r>
      </w:hyperlink>
    </w:p>
    <w:p>
      <w:pPr>
        <w:numPr>
          <w:ilvl w:val="0"/>
          <w:numId w:val="1017"/>
        </w:numPr>
        <w:pStyle w:val="Compact"/>
      </w:pPr>
      <w:r>
        <w:t xml:space="preserve">OIT/Cinterfor regional vocational-training locator:</w:t>
      </w:r>
      <w:r>
        <w:t xml:space="preserve"> </w:t>
      </w:r>
      <w:hyperlink r:id="rId63">
        <w:r>
          <w:rPr>
            <w:rStyle w:val="Hyperlink"/>
          </w:rPr>
          <w:t xml:space="preserve">https://www.oitcinterfor.org/</w:t>
        </w:r>
      </w:hyperlink>
    </w:p>
    <w:p>
      <w:pPr>
        <w:numPr>
          <w:ilvl w:val="0"/>
          <w:numId w:val="1017"/>
        </w:numPr>
        <w:pStyle w:val="Compact"/>
      </w:pPr>
      <w:r>
        <w:t xml:space="preserve">OIT/Cinterfor institutional network:</w:t>
      </w:r>
      <w:r>
        <w:t xml:space="preserve"> </w:t>
      </w:r>
      <w:hyperlink r:id="rId64">
        <w:r>
          <w:rPr>
            <w:rStyle w:val="Hyperlink"/>
          </w:rPr>
          <w:t xml:space="preserve">https://www.oitcinterfor.org/red-institucional</w:t>
        </w:r>
      </w:hyperlink>
    </w:p>
    <w:p>
      <w:pPr>
        <w:pStyle w:val="FirstParagraph"/>
      </w:pPr>
      <w:r>
        <w:t xml:space="preserve">Localizador especializado de requisitos estaduais:</w:t>
      </w:r>
    </w:p>
    <w:p>
      <w:pPr>
        <w:numPr>
          <w:ilvl w:val="0"/>
          <w:numId w:val="1018"/>
        </w:numPr>
        <w:pStyle w:val="Compact"/>
      </w:pPr>
      <w:r>
        <w:t xml:space="preserve">Dental Assisting National Board — state publications and services:</w:t>
      </w:r>
      <w:r>
        <w:t xml:space="preserve"> </w:t>
      </w:r>
      <w:hyperlink r:id="rId23">
        <w:r>
          <w:rPr>
            <w:rStyle w:val="Hyperlink"/>
          </w:rPr>
          <w:t xml:space="preserve">https://www.danb.org/state-requirements/state-publications-and-services</w:t>
        </w:r>
      </w:hyperlink>
    </w:p>
    <w:p>
      <w:pPr>
        <w:pStyle w:val="FirstParagraph"/>
      </w:pPr>
      <w:r>
        <w:t xml:space="preserve">Fonte salarial suplementar não governamental:</w:t>
      </w:r>
    </w:p>
    <w:p>
      <w:pPr>
        <w:numPr>
          <w:ilvl w:val="0"/>
          <w:numId w:val="1019"/>
        </w:numPr>
        <w:pStyle w:val="Compact"/>
      </w:pPr>
      <w:r>
        <w:t xml:space="preserve">Salary.com — Dental Assistant salary, August 1, 2026:</w:t>
      </w:r>
      <w:r>
        <w:t xml:space="preserve"> </w:t>
      </w:r>
      <w:hyperlink r:id="rId44">
        <w:r>
          <w:rPr>
            <w:rStyle w:val="Hyperlink"/>
          </w:rPr>
          <w:t xml:space="preserve">https://www.salary.com/research/salary/benchmark/dental-assistant-salary</w:t>
        </w:r>
      </w:hyperlink>
    </w:p>
    <w:bookmarkEnd w:id="79"/>
    <w:bookmarkStart w:id="80" w:name="nota-sobre-fontes-e-revisão"/>
    <w:p>
      <w:pPr>
        <w:pStyle w:val="Heading2"/>
      </w:pPr>
      <w:r>
        <w:t xml:space="preserve">Nota sobre fontes e revisão</w:t>
      </w:r>
    </w:p>
    <w:p>
      <w:pPr>
        <w:pStyle w:val="FirstParagraph"/>
      </w:pPr>
      <w:r>
        <w:t xml:space="preserve">Este guia usa pesquisa de fontes atuais registrada em 19 de agosto de 2026. Títulos ocupacionais, regras estaduais/provinciais/nacionais de escopo, permissões radiográficas, credenciais, requisitos de formação, processos ReTHUS, disponibilidade de programas, salários, financiamento e expectativas de empregadores podem mudar. Verifique novamente fontes oficiais atuais e vagas locais antes de tomar uma decisão de educação ou emprego.</w:t>
      </w:r>
    </w:p>
    <w:p>
      <w:pPr>
        <w:pStyle w:val="BodyText"/>
      </w:pPr>
      <w:r>
        <w:t xml:space="preserve">Esta revisão controlada foi produzida com assistência de IA e revisão auditável de fontes.</w:t>
      </w:r>
      <w:r>
        <w:t xml:space="preserve"> </w:t>
      </w:r>
      <w:r>
        <w:rPr>
          <w:bCs/>
          <w:b/>
        </w:rPr>
        <w:t xml:space="preserve">Não afirma certificação humana independente, certificação profissional de tradução, certificação de acessibilidade, acreditação, revisão odontológica ou jurídica, aconselhamento financeiro, autorização de prática clínica, aprovação de organismo certificador, transferência de credenciais nem resultados garantidos de admissão, emprego, salário ou promoção.</w:t>
      </w:r>
    </w:p>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8" Target="https://betowa.sena.edu.co/oferta/salud-oral" TargetMode="External" /><Relationship Type="http://schemas.openxmlformats.org/officeDocument/2006/relationships/hyperlink" Id="rId47" Target="https://noc.esdc.gc.ca/OaSIS/OaSISHierarchy" TargetMode="External" /><Relationship Type="http://schemas.openxmlformats.org/officeDocument/2006/relationships/hyperlink" Id="rId46" Target="https://noc.esdc.gc.ca/Structure/NOCProfile?GocTemplateCulture=en-CA&amp;code=33100&amp;version=2021.0" TargetMode="External" /><Relationship Type="http://schemas.openxmlformats.org/officeDocument/2006/relationships/hyperlink" Id="rId56" Target="https://normograma.sena.edu.co/compilacion/docs/decreto_1409_2024.htm" TargetMode="External" /><Relationship Type="http://schemas.openxmlformats.org/officeDocument/2006/relationships/hyperlink" Id="rId61" Target="https://normograma.sena.edu.co/compilacion/docs/resolucion_minsaludps_0914_2025.htm" TargetMode="External" /><Relationship Type="http://schemas.openxmlformats.org/officeDocument/2006/relationships/hyperlink" Id="rId57" Target="https://normograma.sena.edu.co/compilacion/docs/resolucion_sena_2057_2025.htm" TargetMode="External" /><Relationship Type="http://schemas.openxmlformats.org/officeDocument/2006/relationships/hyperlink" Id="rId54" Target="https://ocupacol.mintrabajo.gov.co/Profile/OccupationalProfile/53292" TargetMode="External" /><Relationship Type="http://schemas.openxmlformats.org/officeDocument/2006/relationships/hyperlink" Id="rId37" Target="https://www.apprenticeship.gov/apprenticeship-industries/healthcare" TargetMode="External" /><Relationship Type="http://schemas.openxmlformats.org/officeDocument/2006/relationships/hyperlink" Id="rId35" Target="https://www.bls.gov/ooh/healthcare/dental-assistants.htm" TargetMode="External" /><Relationship Type="http://schemas.openxmlformats.org/officeDocument/2006/relationships/hyperlink" Id="rId52" Target="https://www.canada.ca/en/services/benefits/education/student-aid/grants-loans/full-time.html" TargetMode="External" /><Relationship Type="http://schemas.openxmlformats.org/officeDocument/2006/relationships/hyperlink" Id="rId39" Target="https://www.careeronestop.org/LocalHelp/EmploymentAndTraining/find-WIOA-training-programs.aspx" TargetMode="External" /><Relationship Type="http://schemas.openxmlformats.org/officeDocument/2006/relationships/hyperlink" Id="rId28" Target="https://www.cdc.gov/dental-infection-control/hcp/dental-ipc-faqs/dental-sterilization.html" TargetMode="External" /><Relationship Type="http://schemas.openxmlformats.org/officeDocument/2006/relationships/hyperlink" Id="rId26" Target="https://www.cdc.gov/dental-infection-control/hcp/summary/" TargetMode="External" /><Relationship Type="http://schemas.openxmlformats.org/officeDocument/2006/relationships/hyperlink" Id="rId27" Target="https://www.cdc.gov/dental-infection-control/hcp/summary/standard-precautions.html" TargetMode="External" /><Relationship Type="http://schemas.openxmlformats.org/officeDocument/2006/relationships/hyperlink" Id="rId23" Target="https://www.danb.org/state-requirements/state-publications-and-services" TargetMode="External" /><Relationship Type="http://schemas.openxmlformats.org/officeDocument/2006/relationships/hyperlink" Id="rId66" Target="https://www.hhs.gov/hipaa/for-professionals/privacy/index.html" TargetMode="External" /><Relationship Type="http://schemas.openxmlformats.org/officeDocument/2006/relationships/hyperlink" Id="rId67" Target="https://www.hhs.gov/hipaa/for-professionals/security/index.html" TargetMode="External" /><Relationship Type="http://schemas.openxmlformats.org/officeDocument/2006/relationships/hyperlink" Id="rId49" Target="https://www.jobbank.gc.ca/marketreport/requirements/4475/ca" TargetMode="External" /><Relationship Type="http://schemas.openxmlformats.org/officeDocument/2006/relationships/hyperlink" Id="rId51" Target="https://www.jobbank.gc.ca/marketreport/wages-occupation/4475/ca" TargetMode="External" /><Relationship Type="http://schemas.openxmlformats.org/officeDocument/2006/relationships/hyperlink" Id="rId63" Target="https://www.oitcinterfor.org/" TargetMode="External" /><Relationship Type="http://schemas.openxmlformats.org/officeDocument/2006/relationships/hyperlink" Id="rId64" Target="https://www.oitcinterfor.org/red-institucional" TargetMode="External" /><Relationship Type="http://schemas.openxmlformats.org/officeDocument/2006/relationships/hyperlink" Id="rId78" Target="https://www.onetonline.org/link/details/31-9091.00" TargetMode="External" /><Relationship Type="http://schemas.openxmlformats.org/officeDocument/2006/relationships/hyperlink" Id="rId42" Target="https://www.onetonline.org/link/summary/31-9091.00" TargetMode="External" /><Relationship Type="http://schemas.openxmlformats.org/officeDocument/2006/relationships/hyperlink" Id="rId31" Target="https://www.osha.gov/bloodborne-pathogens/worker-protections" TargetMode="External" /><Relationship Type="http://schemas.openxmlformats.org/officeDocument/2006/relationships/hyperlink" Id="rId30" Target="https://www.osha.gov/dentistry" TargetMode="External" /><Relationship Type="http://schemas.openxmlformats.org/officeDocument/2006/relationships/hyperlink" Id="rId44" Target="https://www.salary.com/research/salary/benchmark/dental-assistant-salary" TargetMode="External" /></Relationships>
</file>

<file path=word/_rels/footnotes.xml.rels><?xml version="1.0" encoding="UTF-8"?><Relationships xmlns="http://schemas.openxmlformats.org/package/2006/relationships"><Relationship Type="http://schemas.openxmlformats.org/officeDocument/2006/relationships/hyperlink" Id="rId58" Target="https://betowa.sena.edu.co/oferta/salud-oral" TargetMode="External" /><Relationship Type="http://schemas.openxmlformats.org/officeDocument/2006/relationships/hyperlink" Id="rId47" Target="https://noc.esdc.gc.ca/OaSIS/OaSISHierarchy" TargetMode="External" /><Relationship Type="http://schemas.openxmlformats.org/officeDocument/2006/relationships/hyperlink" Id="rId46" Target="https://noc.esdc.gc.ca/Structure/NOCProfile?GocTemplateCulture=en-CA&amp;code=33100&amp;version=2021.0" TargetMode="External" /><Relationship Type="http://schemas.openxmlformats.org/officeDocument/2006/relationships/hyperlink" Id="rId56" Target="https://normograma.sena.edu.co/compilacion/docs/decreto_1409_2024.htm" TargetMode="External" /><Relationship Type="http://schemas.openxmlformats.org/officeDocument/2006/relationships/hyperlink" Id="rId61" Target="https://normograma.sena.edu.co/compilacion/docs/resolucion_minsaludps_0914_2025.htm" TargetMode="External" /><Relationship Type="http://schemas.openxmlformats.org/officeDocument/2006/relationships/hyperlink" Id="rId57" Target="https://normograma.sena.edu.co/compilacion/docs/resolucion_sena_2057_2025.htm" TargetMode="External" /><Relationship Type="http://schemas.openxmlformats.org/officeDocument/2006/relationships/hyperlink" Id="rId54" Target="https://ocupacol.mintrabajo.gov.co/Profile/OccupationalProfile/53292" TargetMode="External" /><Relationship Type="http://schemas.openxmlformats.org/officeDocument/2006/relationships/hyperlink" Id="rId37" Target="https://www.apprenticeship.gov/apprenticeship-industries/healthcare" TargetMode="External" /><Relationship Type="http://schemas.openxmlformats.org/officeDocument/2006/relationships/hyperlink" Id="rId35" Target="https://www.bls.gov/ooh/healthcare/dental-assistants.htm" TargetMode="External" /><Relationship Type="http://schemas.openxmlformats.org/officeDocument/2006/relationships/hyperlink" Id="rId52" Target="https://www.canada.ca/en/services/benefits/education/student-aid/grants-loans/full-time.html" TargetMode="External" /><Relationship Type="http://schemas.openxmlformats.org/officeDocument/2006/relationships/hyperlink" Id="rId39" Target="https://www.careeronestop.org/LocalHelp/EmploymentAndTraining/find-WIOA-training-programs.aspx" TargetMode="External" /><Relationship Type="http://schemas.openxmlformats.org/officeDocument/2006/relationships/hyperlink" Id="rId28" Target="https://www.cdc.gov/dental-infection-control/hcp/dental-ipc-faqs/dental-sterilization.html" TargetMode="External" /><Relationship Type="http://schemas.openxmlformats.org/officeDocument/2006/relationships/hyperlink" Id="rId26" Target="https://www.cdc.gov/dental-infection-control/hcp/summary/" TargetMode="External" /><Relationship Type="http://schemas.openxmlformats.org/officeDocument/2006/relationships/hyperlink" Id="rId27" Target="https://www.cdc.gov/dental-infection-control/hcp/summary/standard-precautions.html" TargetMode="External" /><Relationship Type="http://schemas.openxmlformats.org/officeDocument/2006/relationships/hyperlink" Id="rId23" Target="https://www.danb.org/state-requirements/state-publications-and-services" TargetMode="External" /><Relationship Type="http://schemas.openxmlformats.org/officeDocument/2006/relationships/hyperlink" Id="rId66" Target="https://www.hhs.gov/hipaa/for-professionals/privacy/index.html" TargetMode="External" /><Relationship Type="http://schemas.openxmlformats.org/officeDocument/2006/relationships/hyperlink" Id="rId67" Target="https://www.hhs.gov/hipaa/for-professionals/security/index.html" TargetMode="External" /><Relationship Type="http://schemas.openxmlformats.org/officeDocument/2006/relationships/hyperlink" Id="rId49" Target="https://www.jobbank.gc.ca/marketreport/requirements/4475/ca" TargetMode="External" /><Relationship Type="http://schemas.openxmlformats.org/officeDocument/2006/relationships/hyperlink" Id="rId51" Target="https://www.jobbank.gc.ca/marketreport/wages-occupation/4475/ca" TargetMode="External" /><Relationship Type="http://schemas.openxmlformats.org/officeDocument/2006/relationships/hyperlink" Id="rId63" Target="https://www.oitcinterfor.org/" TargetMode="External" /><Relationship Type="http://schemas.openxmlformats.org/officeDocument/2006/relationships/hyperlink" Id="rId64" Target="https://www.oitcinterfor.org/red-institucional" TargetMode="External" /><Relationship Type="http://schemas.openxmlformats.org/officeDocument/2006/relationships/hyperlink" Id="rId78" Target="https://www.onetonline.org/link/details/31-9091.00" TargetMode="External" /><Relationship Type="http://schemas.openxmlformats.org/officeDocument/2006/relationships/hyperlink" Id="rId42" Target="https://www.onetonline.org/link/summary/31-9091.00" TargetMode="External" /><Relationship Type="http://schemas.openxmlformats.org/officeDocument/2006/relationships/hyperlink" Id="rId31" Target="https://www.osha.gov/bloodborne-pathogens/worker-protections" TargetMode="External" /><Relationship Type="http://schemas.openxmlformats.org/officeDocument/2006/relationships/hyperlink" Id="rId30" Target="https://www.osha.gov/dentistry" TargetMode="External" /><Relationship Type="http://schemas.openxmlformats.org/officeDocument/2006/relationships/hyperlink" Id="rId44" Target="https://www.salary.com/research/salary/benchmark/dental-assistant-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2026-08-19T12:38:27Z</dcterms:created>
  <dcterms:modified xsi:type="dcterms:W3CDTF">2026-08-19T12:38:27Z</dcterms:modified>
</cp:coreProperties>
</file>

<file path=docProps/custom.xml><?xml version="1.0" encoding="utf-8"?>
<Properties xmlns="http://schemas.openxmlformats.org/officeDocument/2006/custom-properties" xmlns:vt="http://schemas.openxmlformats.org/officeDocument/2006/docPropsVTypes"/>
</file>