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a1a8fdddc066fea10d01be3259941536a3075f2"/>
    <w:p>
      <w:pPr>
        <w:pStyle w:val="Heading1"/>
      </w:pPr>
      <w:r>
        <w:t xml:space="preserve">Guía de Oportunidades para Toda la Vida 67 — Cocinero/a y especialista culinario/a</w:t>
      </w:r>
    </w:p>
    <w:p>
      <w:pPr>
        <w:pStyle w:val="FirstParagraph"/>
      </w:pPr>
      <w:r>
        <w:rPr>
          <w:bCs/>
          <w:b/>
        </w:rPr>
        <w:t xml:space="preserve">Versión:</w:t>
      </w:r>
      <w:r>
        <w:t xml:space="preserve"> </w:t>
      </w:r>
      <w:r>
        <w:t xml:space="preserve">2.0, borrador maestro controlado</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Referencia ocupacional:</w:t>
      </w:r>
      <w:r>
        <w:t xml:space="preserve"> </w:t>
      </w:r>
      <w:r>
        <w:t xml:space="preserve">O*NET-SOC 35-2014.00 — Cooks, Restaurant</w:t>
      </w:r>
      <w:r>
        <w:br/>
      </w:r>
      <w:r>
        <w:rPr>
          <w:bCs/>
          <w:b/>
        </w:rPr>
        <w:t xml:space="preserve">Comparación con Canadá:</w:t>
      </w:r>
      <w:r>
        <w:t xml:space="preserve"> </w:t>
      </w:r>
      <w:r>
        <w:t xml:space="preserve">NOC 63200 — Cooks</w:t>
      </w:r>
      <w:r>
        <w:br/>
      </w:r>
      <w:r>
        <w:rPr>
          <w:bCs/>
          <w:b/>
        </w:rPr>
        <w:t xml:space="preserve">Fecha de revisión:</w:t>
      </w:r>
      <w:r>
        <w:t xml:space="preserve"> </w:t>
      </w:r>
      <w:r>
        <w:t xml:space="preserve">2026-08-20</w:t>
      </w:r>
    </w:p>
    <w:bookmarkStart w:id="20" w:name="en-qué-consiste-esta-carrera"/>
    <w:p>
      <w:pPr>
        <w:pStyle w:val="Heading2"/>
      </w:pPr>
      <w:r>
        <w:t xml:space="preserve">En qué consiste esta carrera</w:t>
      </w:r>
    </w:p>
    <w:p>
      <w:pPr>
        <w:pStyle w:val="FirstParagraph"/>
      </w:pPr>
      <w:r>
        <w:t xml:space="preserve">Un/a cocinero/a o especialista culinario/a prepara, sazona, cocina, porciona y presenta alimentos en restaurantes, hoteles, cafeterías, hospitales, escuelas, operaciones de catering, campamentos, comisariatos y entornos similares. El trabajo puede incluir mise en place, seguimiento de recetas, verificación de frescura, rotación de existencias, control de temperaturas, limpieza y saneamiento de áreas de trabajo, uso de equipos de cocina comercial, recepción de suministros dentro de la autoridad delegada y coordinación de tareas rutinarias de cocina.</w:t>
      </w:r>
    </w:p>
    <w:p>
      <w:pPr>
        <w:pStyle w:val="BodyText"/>
      </w:pPr>
      <w:r>
        <w:t xml:space="preserve">El título</w:t>
      </w:r>
      <w:r>
        <w:t xml:space="preserve"> </w:t>
      </w:r>
      <w:r>
        <w:rPr>
          <w:bCs/>
          <w:b/>
        </w:rPr>
        <w:t xml:space="preserve">especialista culinario/a</w:t>
      </w:r>
      <w:r>
        <w:t xml:space="preserve"> </w:t>
      </w:r>
      <w:r>
        <w:t xml:space="preserve">no está estandarizado. Puede describir a un/a cocinero/a de línea, de preparación, de banquetes, de producción, institucional u otra función de preparación de alimentos. No significa automáticamente chef, jefe/a de cocina, gerente de cocina, gerente de servicios de alimentos, dietista, nutricionista u otra función de mayor autoridad o regulada.</w:t>
      </w:r>
    </w:p>
    <w:p>
      <w:pPr>
        <w:pStyle w:val="BodyText"/>
      </w:pPr>
      <w:r>
        <w:t xml:space="preserve">Esta guía utiliza</w:t>
      </w:r>
      <w:r>
        <w:t xml:space="preserve"> </w:t>
      </w:r>
      <w:r>
        <w:rPr>
          <w:bCs/>
          <w:b/>
        </w:rPr>
        <w:t xml:space="preserve">O*NET-SOC 35-2014.00 — Cooks, Restaurant</w:t>
      </w:r>
      <w:r>
        <w:t xml:space="preserve"> </w:t>
      </w:r>
      <w:r>
        <w:t xml:space="preserve">como referencia ocupacional principal de Estados Unidos, manteniendo claramente diferenciadas las vías más amplias de cocina y los títulos específicos de cada empleador.</w:t>
      </w:r>
    </w:p>
    <w:bookmarkEnd w:id="20"/>
    <w:bookmarkStart w:id="21" w:name="X3a3cab30941c2ad5eeb9511d280b51b45a20256"/>
    <w:p>
      <w:pPr>
        <w:pStyle w:val="Heading2"/>
      </w:pPr>
      <w:r>
        <w:t xml:space="preserve">Por qué este puesto puede representar una oportunidad</w:t>
      </w:r>
    </w:p>
    <w:p>
      <w:pPr>
        <w:pStyle w:val="FirstParagraph"/>
      </w:pPr>
      <w:r>
        <w:t xml:space="preserve">La cocina puede ofrecer una vía accesible de entrada a la hotelería y los servicios de alimentos porque muchos empleadores valoran tanto las habilidades prácticas, la confiabilidad, la disciplina en inocuidad de alimentos, la rapidez, el trabajo en equipo y la consistencia como la educación formal. Muchas personas comienzan en preparación de alimentos, lavado de platos, servicio de mostrador o puestos iniciales de cocina y progresan mediante capacitación cruzada y competencia demostrada.</w:t>
      </w:r>
    </w:p>
    <w:p>
      <w:pPr>
        <w:pStyle w:val="BodyText"/>
      </w:pPr>
      <w:r>
        <w:t xml:space="preserve">El campo puede ser adecuado para quienes disfrutan el trabajo práctico, los resultados visibles, la repetición con espacio para el oficio, el trabajo en equipo y el aprendizaje mediante la práctica. La experiencia puede transferirse a catering, cocinas institucionales, hoteles, cocinas de producción, operaciones de restaurante, formación culinaria o puestos de supervisión.</w:t>
      </w:r>
    </w:p>
    <w:p>
      <w:pPr>
        <w:pStyle w:val="BodyText"/>
      </w:pPr>
      <w:r>
        <w:t xml:space="preserve">El trabajo también puede ser exigente. Los cocineros pueden pasar largos periodos de pie y trabajar alrededor de calor, vapor, herramientas afiladas, aceite caliente, recipientes pesados, pisos resbalosos, ruido, presión de tiempo, noches, fines de semana, días festivos y horarios cambiantes.</w:t>
      </w:r>
    </w:p>
    <w:bookmarkEnd w:id="21"/>
    <w:bookmarkStart w:id="22" w:name="responsabilidades-típicas"/>
    <w:p>
      <w:pPr>
        <w:pStyle w:val="Heading2"/>
      </w:pPr>
      <w:r>
        <w:t xml:space="preserve">Responsabilidades típicas</w:t>
      </w:r>
    </w:p>
    <w:p>
      <w:pPr>
        <w:pStyle w:val="FirstParagraph"/>
      </w:pPr>
      <w:r>
        <w:t xml:space="preserve">Un/a cocinero/a o especialista culinario/a puede:</w:t>
      </w:r>
    </w:p>
    <w:p>
      <w:pPr>
        <w:numPr>
          <w:ilvl w:val="0"/>
          <w:numId w:val="1001"/>
        </w:numPr>
        <w:pStyle w:val="Compact"/>
      </w:pPr>
      <w:r>
        <w:t xml:space="preserve">revisar listas de preparación, recetas y necesidades de producción;</w:t>
      </w:r>
    </w:p>
    <w:p>
      <w:pPr>
        <w:numPr>
          <w:ilvl w:val="0"/>
          <w:numId w:val="1001"/>
        </w:numPr>
        <w:pStyle w:val="Compact"/>
      </w:pPr>
      <w:r>
        <w:t xml:space="preserve">reunir y medir ingredientes;</w:t>
      </w:r>
    </w:p>
    <w:p>
      <w:pPr>
        <w:numPr>
          <w:ilvl w:val="0"/>
          <w:numId w:val="1001"/>
        </w:numPr>
        <w:pStyle w:val="Compact"/>
      </w:pPr>
      <w:r>
        <w:t xml:space="preserve">lavar, cortar, recortar, porcionar, sazonar y preparar alimentos;</w:t>
      </w:r>
    </w:p>
    <w:p>
      <w:pPr>
        <w:numPr>
          <w:ilvl w:val="0"/>
          <w:numId w:val="1001"/>
        </w:numPr>
        <w:pStyle w:val="Compact"/>
      </w:pPr>
      <w:r>
        <w:t xml:space="preserve">operar hornos, parrillas, salamandras, freidoras, equipos de vapor, mezcladoras, rebanadoras y otras herramientas aprobadas después de recibir capacitación;</w:t>
      </w:r>
    </w:p>
    <w:p>
      <w:pPr>
        <w:numPr>
          <w:ilvl w:val="0"/>
          <w:numId w:val="1001"/>
        </w:numPr>
        <w:pStyle w:val="Compact"/>
      </w:pPr>
      <w:r>
        <w:t xml:space="preserve">cocinar los alimentos según los estándares requeridos y controlar tiempos y temperaturas;</w:t>
      </w:r>
    </w:p>
    <w:p>
      <w:pPr>
        <w:numPr>
          <w:ilvl w:val="0"/>
          <w:numId w:val="1001"/>
        </w:numPr>
        <w:pStyle w:val="Compact"/>
      </w:pPr>
      <w:r>
        <w:t xml:space="preserve">porcionar y emplatar de manera consistente;</w:t>
      </w:r>
    </w:p>
    <w:p>
      <w:pPr>
        <w:numPr>
          <w:ilvl w:val="0"/>
          <w:numId w:val="1001"/>
        </w:numPr>
        <w:pStyle w:val="Compact"/>
      </w:pPr>
      <w:r>
        <w:t xml:space="preserve">verificar frescura, etiquetas de fecha y rotación de existencias;</w:t>
      </w:r>
    </w:p>
    <w:p>
      <w:pPr>
        <w:numPr>
          <w:ilvl w:val="0"/>
          <w:numId w:val="1001"/>
        </w:numPr>
        <w:pStyle w:val="Compact"/>
      </w:pPr>
      <w:r>
        <w:t xml:space="preserve">recibir o almacenar suministros dentro de la autoridad delegada;</w:t>
      </w:r>
    </w:p>
    <w:p>
      <w:pPr>
        <w:numPr>
          <w:ilvl w:val="0"/>
          <w:numId w:val="1001"/>
        </w:numPr>
        <w:pStyle w:val="Compact"/>
      </w:pPr>
      <w:r>
        <w:t xml:space="preserve">mantener limpias y sanitizadas las áreas de trabajo;</w:t>
      </w:r>
    </w:p>
    <w:p>
      <w:pPr>
        <w:numPr>
          <w:ilvl w:val="0"/>
          <w:numId w:val="1001"/>
        </w:numPr>
        <w:pStyle w:val="Compact"/>
      </w:pPr>
      <w:r>
        <w:t xml:space="preserve">seguir procedimientos de comunicación de alérgenos y prevención de contacto cruzado;</w:t>
      </w:r>
    </w:p>
    <w:p>
      <w:pPr>
        <w:numPr>
          <w:ilvl w:val="0"/>
          <w:numId w:val="1001"/>
        </w:numPr>
        <w:pStyle w:val="Compact"/>
      </w:pPr>
      <w:r>
        <w:t xml:space="preserve">documentar temperaturas, desperdicios, faltantes o incidentes cuando se requiera;</w:t>
      </w:r>
    </w:p>
    <w:p>
      <w:pPr>
        <w:numPr>
          <w:ilvl w:val="0"/>
          <w:numId w:val="1001"/>
        </w:numPr>
        <w:pStyle w:val="Compact"/>
      </w:pPr>
      <w:r>
        <w:t xml:space="preserve">coordinar el trabajo rutinario con otros integrantes de cocina y servicio;</w:t>
      </w:r>
    </w:p>
    <w:p>
      <w:pPr>
        <w:numPr>
          <w:ilvl w:val="0"/>
          <w:numId w:val="1001"/>
        </w:numPr>
        <w:pStyle w:val="Compact"/>
      </w:pPr>
      <w:r>
        <w:t xml:space="preserve">reportar problemas de equipos, inocuidad de alimentos, personal o mantenimiento al supervisor designado.</w:t>
      </w:r>
    </w:p>
    <w:bookmarkEnd w:id="22"/>
    <w:bookmarkStart w:id="23" w:name="límites-de-autoridad"/>
    <w:p>
      <w:pPr>
        <w:pStyle w:val="Heading2"/>
      </w:pPr>
      <w:r>
        <w:t xml:space="preserve">Límites de autoridad</w:t>
      </w:r>
    </w:p>
    <w:p>
      <w:pPr>
        <w:pStyle w:val="FirstParagraph"/>
      </w:pPr>
      <w:r>
        <w:t xml:space="preserve">No supongas que un/a cocinero/a o especialista culinario/a puede de forma independiente:</w:t>
      </w:r>
    </w:p>
    <w:p>
      <w:pPr>
        <w:numPr>
          <w:ilvl w:val="0"/>
          <w:numId w:val="1002"/>
        </w:numPr>
        <w:pStyle w:val="Compact"/>
      </w:pPr>
      <w:r>
        <w:t xml:space="preserve">diagnosticar alergias o condiciones médicas;</w:t>
      </w:r>
    </w:p>
    <w:p>
      <w:pPr>
        <w:numPr>
          <w:ilvl w:val="0"/>
          <w:numId w:val="1002"/>
        </w:numPr>
        <w:pStyle w:val="Compact"/>
      </w:pPr>
      <w:r>
        <w:t xml:space="preserve">diseñar dietas terapéuticas sin autoridad clínica calificada;</w:t>
      </w:r>
    </w:p>
    <w:p>
      <w:pPr>
        <w:numPr>
          <w:ilvl w:val="0"/>
          <w:numId w:val="1002"/>
        </w:numPr>
        <w:pStyle w:val="Compact"/>
      </w:pPr>
      <w:r>
        <w:t xml:space="preserve">declarar que un alimento es seguro cuando no se han cumplido los controles requeridos;</w:t>
      </w:r>
    </w:p>
    <w:p>
      <w:pPr>
        <w:numPr>
          <w:ilvl w:val="0"/>
          <w:numId w:val="1002"/>
        </w:numPr>
        <w:pStyle w:val="Compact"/>
      </w:pPr>
      <w:r>
        <w:t xml:space="preserve">ignorar requisitos de inocuidad de alimentos del empleador o de la autoridad sanitaria;</w:t>
      </w:r>
    </w:p>
    <w:p>
      <w:pPr>
        <w:numPr>
          <w:ilvl w:val="0"/>
          <w:numId w:val="1002"/>
        </w:numPr>
        <w:pStyle w:val="Compact"/>
      </w:pPr>
      <w:r>
        <w:t xml:space="preserve">contratar, despedir, suspender o disciplinar formalmente a empleados;</w:t>
      </w:r>
    </w:p>
    <w:p>
      <w:pPr>
        <w:numPr>
          <w:ilvl w:val="0"/>
          <w:numId w:val="1002"/>
        </w:numPr>
        <w:pStyle w:val="Compact"/>
      </w:pPr>
      <w:r>
        <w:t xml:space="preserve">firmar contratos con proveedores o de servicios;</w:t>
      </w:r>
    </w:p>
    <w:p>
      <w:pPr>
        <w:numPr>
          <w:ilvl w:val="0"/>
          <w:numId w:val="1002"/>
        </w:numPr>
        <w:pStyle w:val="Compact"/>
      </w:pPr>
      <w:r>
        <w:t xml:space="preserve">aprobar compras importantes o gastos de capital;</w:t>
      </w:r>
    </w:p>
    <w:p>
      <w:pPr>
        <w:numPr>
          <w:ilvl w:val="0"/>
          <w:numId w:val="1002"/>
        </w:numPr>
        <w:pStyle w:val="Compact"/>
      </w:pPr>
      <w:r>
        <w:t xml:space="preserve">modificar registros de nómina o tiempo fuera de procedimientos autorizados;</w:t>
      </w:r>
    </w:p>
    <w:p>
      <w:pPr>
        <w:numPr>
          <w:ilvl w:val="0"/>
          <w:numId w:val="1002"/>
        </w:numPr>
        <w:pStyle w:val="Compact"/>
      </w:pPr>
      <w:r>
        <w:t xml:space="preserve">acceder sin restricciones a información de empleados, clientes, pagos o negocios;</w:t>
      </w:r>
    </w:p>
    <w:p>
      <w:pPr>
        <w:numPr>
          <w:ilvl w:val="0"/>
          <w:numId w:val="1002"/>
        </w:numPr>
        <w:pStyle w:val="Compact"/>
      </w:pPr>
      <w:r>
        <w:t xml:space="preserve">representar al empleador ante autoridades regulatorias salvo designación formal;</w:t>
      </w:r>
    </w:p>
    <w:p>
      <w:pPr>
        <w:numPr>
          <w:ilvl w:val="0"/>
          <w:numId w:val="1002"/>
        </w:numPr>
        <w:pStyle w:val="Compact"/>
      </w:pPr>
      <w:r>
        <w:t xml:space="preserve">ocultar lesiones, incidentes de inocuidad de alimentos, acoso, robo u otros eventos que deban reportarse.</w:t>
      </w:r>
    </w:p>
    <w:p>
      <w:pPr>
        <w:pStyle w:val="FirstParagraph"/>
      </w:pPr>
      <w:r>
        <w:t xml:space="preserve">Cuando la autoridad no esté clara, escala el asunto al supervisor o gerente designado.</w:t>
      </w:r>
    </w:p>
    <w:bookmarkEnd w:id="23"/>
    <w:bookmarkStart w:id="24" w:name="entorno-de-trabajo-y-seguridad"/>
    <w:p>
      <w:pPr>
        <w:pStyle w:val="Heading2"/>
      </w:pPr>
      <w:r>
        <w:t xml:space="preserve">Entorno de trabajo y seguridad</w:t>
      </w:r>
    </w:p>
    <w:p>
      <w:pPr>
        <w:pStyle w:val="FirstParagraph"/>
      </w:pPr>
      <w:r>
        <w:t xml:space="preserve">El trabajo de cocina suele implicar superficies calientes, vapor, aceite caliente, cuchillos, rebanadoras, mezcladoras, hornos, levantamiento de cargas, movimientos repetitivos, pisos resbalosos, áreas congestionadas y exigencias urgentes de servicio.</w:t>
      </w:r>
    </w:p>
    <w:p>
      <w:pPr>
        <w:pStyle w:val="BodyText"/>
      </w:pPr>
      <w:r>
        <w:t xml:space="preserve">Sigue la capacitación y los procedimientos del empleador para:</w:t>
      </w:r>
    </w:p>
    <w:p>
      <w:pPr>
        <w:numPr>
          <w:ilvl w:val="0"/>
          <w:numId w:val="1003"/>
        </w:numPr>
        <w:pStyle w:val="Compact"/>
      </w:pPr>
      <w:r>
        <w:t xml:space="preserve">prevención de quemaduras y escaldaduras;</w:t>
      </w:r>
    </w:p>
    <w:p>
      <w:pPr>
        <w:numPr>
          <w:ilvl w:val="0"/>
          <w:numId w:val="1003"/>
        </w:numPr>
        <w:pStyle w:val="Compact"/>
      </w:pPr>
      <w:r>
        <w:t xml:space="preserve">seguridad con cuchillos y rebanadoras;</w:t>
      </w:r>
    </w:p>
    <w:p>
      <w:pPr>
        <w:numPr>
          <w:ilvl w:val="0"/>
          <w:numId w:val="1003"/>
        </w:numPr>
        <w:pStyle w:val="Compact"/>
      </w:pPr>
      <w:r>
        <w:t xml:space="preserve">resguardos de máquinas y procedimientos de bloqueo cuando corresponda;</w:t>
      </w:r>
    </w:p>
    <w:p>
      <w:pPr>
        <w:numPr>
          <w:ilvl w:val="0"/>
          <w:numId w:val="1003"/>
        </w:numPr>
        <w:pStyle w:val="Compact"/>
      </w:pPr>
      <w:r>
        <w:t xml:space="preserve">levantamiento y transporte seguro;</w:t>
      </w:r>
    </w:p>
    <w:p>
      <w:pPr>
        <w:numPr>
          <w:ilvl w:val="0"/>
          <w:numId w:val="1003"/>
        </w:numPr>
        <w:pStyle w:val="Compact"/>
      </w:pPr>
      <w:r>
        <w:t xml:space="preserve">respuesta a derrames y uso de calzado antideslizante;</w:t>
      </w:r>
    </w:p>
    <w:p>
      <w:pPr>
        <w:numPr>
          <w:ilvl w:val="0"/>
          <w:numId w:val="1003"/>
        </w:numPr>
        <w:pStyle w:val="Compact"/>
      </w:pPr>
      <w:r>
        <w:t xml:space="preserve">prevención de incendios y respuesta a emergencias;</w:t>
      </w:r>
    </w:p>
    <w:p>
      <w:pPr>
        <w:numPr>
          <w:ilvl w:val="0"/>
          <w:numId w:val="1003"/>
        </w:numPr>
        <w:pStyle w:val="Compact"/>
      </w:pPr>
      <w:r>
        <w:t xml:space="preserve">equipo de protección personal;</w:t>
      </w:r>
    </w:p>
    <w:p>
      <w:pPr>
        <w:numPr>
          <w:ilvl w:val="0"/>
          <w:numId w:val="1003"/>
        </w:numPr>
        <w:pStyle w:val="Compact"/>
      </w:pPr>
      <w:r>
        <w:t xml:space="preserve">manejo de productos químicos y de saneamiento;</w:t>
      </w:r>
    </w:p>
    <w:p>
      <w:pPr>
        <w:numPr>
          <w:ilvl w:val="0"/>
          <w:numId w:val="1003"/>
        </w:numPr>
        <w:pStyle w:val="Compact"/>
      </w:pPr>
      <w:r>
        <w:t xml:space="preserve">reporte de lesiones, casi accidentes, defectos de equipos y condiciones inseguras.</w:t>
      </w:r>
    </w:p>
    <w:p>
      <w:pPr>
        <w:pStyle w:val="FirstParagraph"/>
      </w:pPr>
      <w:r>
        <w:t xml:space="preserve">Nunca omitas un control de inocuidad de alimentos o seguridad laboral para aumentar la velocidad o la producción.</w:t>
      </w:r>
    </w:p>
    <w:bookmarkEnd w:id="24"/>
    <w:bookmarkStart w:id="28" w:name="habilidades-que-valoran-los-empleadores"/>
    <w:p>
      <w:pPr>
        <w:pStyle w:val="Heading2"/>
      </w:pPr>
      <w:r>
        <w:t xml:space="preserve">Habilidades que valoran los empleadores</w:t>
      </w:r>
    </w:p>
    <w:bookmarkStart w:id="25" w:name="habilidades-de-cocina"/>
    <w:p>
      <w:pPr>
        <w:pStyle w:val="Heading3"/>
      </w:pPr>
      <w:r>
        <w:t xml:space="preserve">Habilidades de cocina</w:t>
      </w:r>
    </w:p>
    <w:p>
      <w:pPr>
        <w:numPr>
          <w:ilvl w:val="0"/>
          <w:numId w:val="1004"/>
        </w:numPr>
        <w:pStyle w:val="Compact"/>
      </w:pPr>
      <w:r>
        <w:t xml:space="preserve">manejo de cuchillos después de capacitación;</w:t>
      </w:r>
    </w:p>
    <w:p>
      <w:pPr>
        <w:numPr>
          <w:ilvl w:val="0"/>
          <w:numId w:val="1004"/>
        </w:numPr>
        <w:pStyle w:val="Compact"/>
      </w:pPr>
      <w:r>
        <w:t xml:space="preserve">mise en place;</w:t>
      </w:r>
    </w:p>
    <w:p>
      <w:pPr>
        <w:numPr>
          <w:ilvl w:val="0"/>
          <w:numId w:val="1004"/>
        </w:numPr>
        <w:pStyle w:val="Compact"/>
      </w:pPr>
      <w:r>
        <w:t xml:space="preserve">lectura de recetas;</w:t>
      </w:r>
    </w:p>
    <w:p>
      <w:pPr>
        <w:numPr>
          <w:ilvl w:val="0"/>
          <w:numId w:val="1004"/>
        </w:numPr>
        <w:pStyle w:val="Compact"/>
      </w:pPr>
      <w:r>
        <w:t xml:space="preserve">medición y pesaje;</w:t>
      </w:r>
    </w:p>
    <w:p>
      <w:pPr>
        <w:numPr>
          <w:ilvl w:val="0"/>
          <w:numId w:val="1004"/>
        </w:numPr>
        <w:pStyle w:val="Compact"/>
      </w:pPr>
      <w:r>
        <w:t xml:space="preserve">parrilla, asado, horneado, fritura, cocción al vapor, salteado y otros métodos aplicables;</w:t>
      </w:r>
    </w:p>
    <w:p>
      <w:pPr>
        <w:numPr>
          <w:ilvl w:val="0"/>
          <w:numId w:val="1004"/>
        </w:numPr>
        <w:pStyle w:val="Compact"/>
      </w:pPr>
      <w:r>
        <w:t xml:space="preserve">control de porciones;</w:t>
      </w:r>
    </w:p>
    <w:p>
      <w:pPr>
        <w:numPr>
          <w:ilvl w:val="0"/>
          <w:numId w:val="1004"/>
        </w:numPr>
        <w:pStyle w:val="Compact"/>
      </w:pPr>
      <w:r>
        <w:t xml:space="preserve">presentación de alimentos;</w:t>
      </w:r>
    </w:p>
    <w:p>
      <w:pPr>
        <w:numPr>
          <w:ilvl w:val="0"/>
          <w:numId w:val="1004"/>
        </w:numPr>
        <w:pStyle w:val="Compact"/>
      </w:pPr>
      <w:r>
        <w:t xml:space="preserve">monitoreo de temperaturas;</w:t>
      </w:r>
    </w:p>
    <w:p>
      <w:pPr>
        <w:numPr>
          <w:ilvl w:val="0"/>
          <w:numId w:val="1004"/>
        </w:numPr>
        <w:pStyle w:val="Compact"/>
      </w:pPr>
      <w:r>
        <w:t xml:space="preserve">rotación de existencias;</w:t>
      </w:r>
    </w:p>
    <w:p>
      <w:pPr>
        <w:numPr>
          <w:ilvl w:val="0"/>
          <w:numId w:val="1004"/>
        </w:numPr>
        <w:pStyle w:val="Compact"/>
      </w:pPr>
      <w:r>
        <w:t xml:space="preserve">limpieza y saneamiento.</w:t>
      </w:r>
    </w:p>
    <w:bookmarkEnd w:id="25"/>
    <w:bookmarkStart w:id="26" w:name="hábitos-de-trabajo"/>
    <w:p>
      <w:pPr>
        <w:pStyle w:val="Heading3"/>
      </w:pPr>
      <w:r>
        <w:t xml:space="preserve">Hábitos de trabajo</w:t>
      </w:r>
    </w:p>
    <w:p>
      <w:pPr>
        <w:numPr>
          <w:ilvl w:val="0"/>
          <w:numId w:val="1005"/>
        </w:numPr>
        <w:pStyle w:val="Compact"/>
      </w:pPr>
      <w:r>
        <w:t xml:space="preserve">confiabilidad y puntualidad;</w:t>
      </w:r>
    </w:p>
    <w:p>
      <w:pPr>
        <w:numPr>
          <w:ilvl w:val="0"/>
          <w:numId w:val="1005"/>
        </w:numPr>
        <w:pStyle w:val="Compact"/>
      </w:pPr>
      <w:r>
        <w:t xml:space="preserve">atención al detalle;</w:t>
      </w:r>
    </w:p>
    <w:p>
      <w:pPr>
        <w:numPr>
          <w:ilvl w:val="0"/>
          <w:numId w:val="1005"/>
        </w:numPr>
        <w:pStyle w:val="Compact"/>
      </w:pPr>
      <w:r>
        <w:t xml:space="preserve">capacidad para trabajar bajo presión;</w:t>
      </w:r>
    </w:p>
    <w:p>
      <w:pPr>
        <w:numPr>
          <w:ilvl w:val="0"/>
          <w:numId w:val="1005"/>
        </w:numPr>
        <w:pStyle w:val="Compact"/>
      </w:pPr>
      <w:r>
        <w:t xml:space="preserve">trabajo en equipo;</w:t>
      </w:r>
    </w:p>
    <w:p>
      <w:pPr>
        <w:numPr>
          <w:ilvl w:val="0"/>
          <w:numId w:val="1005"/>
        </w:numPr>
        <w:pStyle w:val="Compact"/>
      </w:pPr>
      <w:r>
        <w:t xml:space="preserve">hábitos de trabajo limpios;</w:t>
      </w:r>
    </w:p>
    <w:p>
      <w:pPr>
        <w:numPr>
          <w:ilvl w:val="0"/>
          <w:numId w:val="1005"/>
        </w:numPr>
        <w:pStyle w:val="Compact"/>
      </w:pPr>
      <w:r>
        <w:t xml:space="preserve">capacidad para seguir procedimientos estandarizados;</w:t>
      </w:r>
    </w:p>
    <w:p>
      <w:pPr>
        <w:numPr>
          <w:ilvl w:val="0"/>
          <w:numId w:val="1005"/>
        </w:numPr>
        <w:pStyle w:val="Compact"/>
      </w:pPr>
      <w:r>
        <w:t xml:space="preserve">disposición para aprender varias estaciones;</w:t>
      </w:r>
    </w:p>
    <w:p>
      <w:pPr>
        <w:numPr>
          <w:ilvl w:val="0"/>
          <w:numId w:val="1005"/>
        </w:numPr>
        <w:pStyle w:val="Compact"/>
      </w:pPr>
      <w:r>
        <w:t xml:space="preserve">comunicación calmada durante periodos de alta demanda.</w:t>
      </w:r>
    </w:p>
    <w:bookmarkEnd w:id="26"/>
    <w:bookmarkStart w:id="27" w:name="conocimiento-del-negocio"/>
    <w:p>
      <w:pPr>
        <w:pStyle w:val="Heading3"/>
      </w:pPr>
      <w:r>
        <w:t xml:space="preserve">Conocimiento del negocio</w:t>
      </w:r>
    </w:p>
    <w:p>
      <w:pPr>
        <w:numPr>
          <w:ilvl w:val="0"/>
          <w:numId w:val="1006"/>
        </w:numPr>
        <w:pStyle w:val="Compact"/>
      </w:pPr>
      <w:r>
        <w:t xml:space="preserve">reducción de desperdicios;</w:t>
      </w:r>
    </w:p>
    <w:p>
      <w:pPr>
        <w:numPr>
          <w:ilvl w:val="0"/>
          <w:numId w:val="1006"/>
        </w:numPr>
        <w:pStyle w:val="Compact"/>
      </w:pPr>
      <w:r>
        <w:t xml:space="preserve">conciencia de inventario;</w:t>
      </w:r>
    </w:p>
    <w:p>
      <w:pPr>
        <w:numPr>
          <w:ilvl w:val="0"/>
          <w:numId w:val="1006"/>
        </w:numPr>
        <w:pStyle w:val="Compact"/>
      </w:pPr>
      <w:r>
        <w:t xml:space="preserve">consistencia de rendimiento y porciones;</w:t>
      </w:r>
    </w:p>
    <w:p>
      <w:pPr>
        <w:numPr>
          <w:ilvl w:val="0"/>
          <w:numId w:val="1006"/>
        </w:numPr>
        <w:pStyle w:val="Compact"/>
      </w:pPr>
      <w:r>
        <w:t xml:space="preserve">conocimiento básico de costos;</w:t>
      </w:r>
    </w:p>
    <w:p>
      <w:pPr>
        <w:numPr>
          <w:ilvl w:val="0"/>
          <w:numId w:val="1006"/>
        </w:numPr>
        <w:pStyle w:val="Compact"/>
      </w:pPr>
      <w:r>
        <w:t xml:space="preserve">planificación de producción;</w:t>
      </w:r>
    </w:p>
    <w:p>
      <w:pPr>
        <w:numPr>
          <w:ilvl w:val="0"/>
          <w:numId w:val="1006"/>
        </w:numPr>
        <w:pStyle w:val="Compact"/>
      </w:pPr>
      <w:r>
        <w:t xml:space="preserve">comprensión de cómo la calidad de los alimentos y la velocidad del servicio afectan la experiencia del cliente.</w:t>
      </w:r>
    </w:p>
    <w:bookmarkEnd w:id="27"/>
    <w:bookmarkEnd w:id="28"/>
    <w:bookmarkStart w:id="29" w:name="Xb4972cc4f5477c5c173c4f9b150ed42f568bb2c"/>
    <w:p>
      <w:pPr>
        <w:pStyle w:val="Heading2"/>
      </w:pPr>
      <w:r>
        <w:t xml:space="preserve">Educación y vías de entrada — Estados Unidos</w:t>
      </w:r>
    </w:p>
    <w:p>
      <w:pPr>
        <w:pStyle w:val="FirstParagraph"/>
      </w:pPr>
      <w:r>
        <w:t xml:space="preserve">Muchos puestos de cocina pueden iniciarse con educación secundaria o menos, según el empleador, seguidos de capacitación en el trabajo. La escuela culinaria formal no es un requisito universal.</w:t>
      </w:r>
    </w:p>
    <w:p>
      <w:pPr>
        <w:pStyle w:val="BodyText"/>
      </w:pPr>
      <w:r>
        <w:t xml:space="preserve">Una progresión práctica y de bajo costo puede ser:</w:t>
      </w:r>
    </w:p>
    <w:p>
      <w:pPr>
        <w:numPr>
          <w:ilvl w:val="0"/>
          <w:numId w:val="1007"/>
        </w:numPr>
        <w:pStyle w:val="Compact"/>
      </w:pPr>
      <w:r>
        <w:t xml:space="preserve">adquirir experiencia inicial en servicios de alimentos;</w:t>
      </w:r>
    </w:p>
    <w:p>
      <w:pPr>
        <w:numPr>
          <w:ilvl w:val="0"/>
          <w:numId w:val="1007"/>
        </w:numPr>
        <w:pStyle w:val="Compact"/>
      </w:pPr>
      <w:r>
        <w:t xml:space="preserve">aprender higiene, saneamiento, manipulación de alimentos y uso seguro de equipos;</w:t>
      </w:r>
    </w:p>
    <w:p>
      <w:pPr>
        <w:numPr>
          <w:ilvl w:val="0"/>
          <w:numId w:val="1007"/>
        </w:numPr>
        <w:pStyle w:val="Compact"/>
      </w:pPr>
      <w:r>
        <w:t xml:space="preserve">volverse confiable en una estación;</w:t>
      </w:r>
    </w:p>
    <w:p>
      <w:pPr>
        <w:numPr>
          <w:ilvl w:val="0"/>
          <w:numId w:val="1007"/>
        </w:numPr>
        <w:pStyle w:val="Compact"/>
      </w:pPr>
      <w:r>
        <w:t xml:space="preserve">capacitarse de forma cruzada en estaciones adicionales;</w:t>
      </w:r>
    </w:p>
    <w:p>
      <w:pPr>
        <w:numPr>
          <w:ilvl w:val="0"/>
          <w:numId w:val="1007"/>
        </w:numPr>
        <w:pStyle w:val="Compact"/>
      </w:pPr>
      <w:r>
        <w:t xml:space="preserve">aprender inventario, planificación de preparación y control de porciones;</w:t>
      </w:r>
    </w:p>
    <w:p>
      <w:pPr>
        <w:numPr>
          <w:ilvl w:val="0"/>
          <w:numId w:val="1007"/>
        </w:numPr>
        <w:pStyle w:val="Compact"/>
      </w:pPr>
      <w:r>
        <w:t xml:space="preserve">completar la capacitación de inocuidad de alimentos requerida por el empleador;</w:t>
      </w:r>
    </w:p>
    <w:p>
      <w:pPr>
        <w:numPr>
          <w:ilvl w:val="0"/>
          <w:numId w:val="1007"/>
        </w:numPr>
        <w:pStyle w:val="Compact"/>
      </w:pPr>
      <w:r>
        <w:t xml:space="preserve">buscar aprendizaje registrado, colegio comunitario, formación técnica o capacitación culinaria apoyada por el empleador solo cuando mejore el acceso al siguiente puesto.</w:t>
      </w:r>
    </w:p>
    <w:p>
      <w:pPr>
        <w:pStyle w:val="FirstParagraph"/>
      </w:pPr>
      <w:r>
        <w:t xml:space="preserve">O*NET enumera títulos de ejemplo de Registered Apprenticeship, entre ellos</w:t>
      </w:r>
      <w:r>
        <w:t xml:space="preserve"> </w:t>
      </w:r>
      <w:r>
        <w:rPr>
          <w:bCs/>
          <w:b/>
        </w:rPr>
        <w:t xml:space="preserve">Chef de Partie (Cook Hotel &amp; Restaurant)</w:t>
      </w:r>
      <w:r>
        <w:t xml:space="preserve">,</w:t>
      </w:r>
      <w:r>
        <w:t xml:space="preserve"> </w:t>
      </w:r>
      <w:r>
        <w:rPr>
          <w:bCs/>
          <w:b/>
        </w:rPr>
        <w:t xml:space="preserve">Cook</w:t>
      </w:r>
      <w:r>
        <w:t xml:space="preserve">,</w:t>
      </w:r>
      <w:r>
        <w:t xml:space="preserve"> </w:t>
      </w:r>
      <w:r>
        <w:rPr>
          <w:bCs/>
          <w:b/>
        </w:rPr>
        <w:t xml:space="preserve">Cook (Hotel &amp; Restaurant)</w:t>
      </w:r>
      <w:r>
        <w:t xml:space="preserve"> </w:t>
      </w:r>
      <w:r>
        <w:t xml:space="preserve">y</w:t>
      </w:r>
      <w:r>
        <w:t xml:space="preserve"> </w:t>
      </w:r>
      <w:r>
        <w:rPr>
          <w:bCs/>
          <w:b/>
        </w:rPr>
        <w:t xml:space="preserve">Production Cook</w:t>
      </w:r>
      <w:r>
        <w:t xml:space="preserve">. La disponibilidad depende de la localidad y del empleador; el aprendizaje registrado no es un requisito universal.</w:t>
      </w:r>
    </w:p>
    <w:bookmarkEnd w:id="29"/>
    <w:bookmarkStart w:id="30" w:name="Xd94ca6192e4ae7cb6eef7bd6dd5a42938d3377a"/>
    <w:p>
      <w:pPr>
        <w:pStyle w:val="Heading2"/>
      </w:pPr>
      <w:r>
        <w:t xml:space="preserve">Certificación de inocuidad de alimentos y verificación de jurisdicción</w:t>
      </w:r>
    </w:p>
    <w:p>
      <w:pPr>
        <w:pStyle w:val="FirstParagraph"/>
      </w:pPr>
      <w:r>
        <w:t xml:space="preserve">La FDA publica el</w:t>
      </w:r>
      <w:r>
        <w:t xml:space="preserve"> </w:t>
      </w:r>
      <w:r>
        <w:rPr>
          <w:bCs/>
          <w:b/>
        </w:rPr>
        <w:t xml:space="preserve">Food Code 2022</w:t>
      </w:r>
      <w:r>
        <w:t xml:space="preserve">, con un suplemento de 2024, como modelo para la inocuidad en comercios minoristas y servicios de alimentos. No es una sola ley nacional aplicable a todos los restaurantes. Las autoridades estatales, locales, tribales, territoriales y otras deciden cómo adoptar y hacer cumplir sus disposiciones.</w:t>
      </w:r>
    </w:p>
    <w:p>
      <w:pPr>
        <w:pStyle w:val="BodyText"/>
      </w:pPr>
      <w:r>
        <w:t xml:space="preserve">Antes de pagar por un curso o examen de manipulador de alimentos, gerente de protección de alimentos, alérgenos u otro tema, verifica:</w:t>
      </w:r>
    </w:p>
    <w:p>
      <w:pPr>
        <w:numPr>
          <w:ilvl w:val="0"/>
          <w:numId w:val="1008"/>
        </w:numPr>
        <w:pStyle w:val="Compact"/>
      </w:pPr>
      <w:r>
        <w:t xml:space="preserve">el requisito real de la autoridad sanitaria competente;</w:t>
      </w:r>
    </w:p>
    <w:p>
      <w:pPr>
        <w:numPr>
          <w:ilvl w:val="0"/>
          <w:numId w:val="1008"/>
        </w:numPr>
        <w:pStyle w:val="Compact"/>
      </w:pPr>
      <w:r>
        <w:t xml:space="preserve">qué credenciales acepta el empleador;</w:t>
      </w:r>
    </w:p>
    <w:p>
      <w:pPr>
        <w:numPr>
          <w:ilvl w:val="0"/>
          <w:numId w:val="1008"/>
        </w:numPr>
        <w:pStyle w:val="Compact"/>
      </w:pPr>
      <w:r>
        <w:t xml:space="preserve">si el puesto exige personalmente esa credencial;</w:t>
      </w:r>
    </w:p>
    <w:p>
      <w:pPr>
        <w:numPr>
          <w:ilvl w:val="0"/>
          <w:numId w:val="1008"/>
        </w:numPr>
        <w:pStyle w:val="Compact"/>
      </w:pPr>
      <w:r>
        <w:t xml:space="preserve">si el empleador paga la capacitación o las tarifas de examen;</w:t>
      </w:r>
    </w:p>
    <w:p>
      <w:pPr>
        <w:numPr>
          <w:ilvl w:val="0"/>
          <w:numId w:val="1008"/>
        </w:numPr>
        <w:pStyle w:val="Compact"/>
      </w:pPr>
      <w:r>
        <w:t xml:space="preserve">requisitos de renovación;</w:t>
      </w:r>
    </w:p>
    <w:p>
      <w:pPr>
        <w:numPr>
          <w:ilvl w:val="0"/>
          <w:numId w:val="1008"/>
        </w:numPr>
        <w:pStyle w:val="Compact"/>
      </w:pPr>
      <w:r>
        <w:t xml:space="preserve">si un curso específico del empleador es suficiente para las funciones asignadas.</w:t>
      </w:r>
    </w:p>
    <w:bookmarkEnd w:id="30"/>
    <w:bookmarkStart w:id="31" w:name="Xb75736471ff860c3b6a8a60d2e9bcdbfe00f8f1"/>
    <w:p>
      <w:pPr>
        <w:pStyle w:val="Heading2"/>
      </w:pPr>
      <w:r>
        <w:t xml:space="preserve">Inocuidad de alimentos y conciencia sobre alérgenos</w:t>
      </w:r>
    </w:p>
    <w:p>
      <w:pPr>
        <w:pStyle w:val="FirstParagraph"/>
      </w:pPr>
      <w:r>
        <w:t xml:space="preserve">Sigue las reglas aplicables y los procedimientos del empleador para:</w:t>
      </w:r>
    </w:p>
    <w:p>
      <w:pPr>
        <w:numPr>
          <w:ilvl w:val="0"/>
          <w:numId w:val="1009"/>
        </w:numPr>
        <w:pStyle w:val="Compact"/>
      </w:pPr>
      <w:r>
        <w:t xml:space="preserve">lavado de manos e higiene;</w:t>
      </w:r>
    </w:p>
    <w:p>
      <w:pPr>
        <w:numPr>
          <w:ilvl w:val="0"/>
          <w:numId w:val="1009"/>
        </w:numPr>
        <w:pStyle w:val="Compact"/>
      </w:pPr>
      <w:r>
        <w:t xml:space="preserve">reporte de enfermedades de empleados;</w:t>
      </w:r>
    </w:p>
    <w:p>
      <w:pPr>
        <w:numPr>
          <w:ilvl w:val="0"/>
          <w:numId w:val="1009"/>
        </w:numPr>
        <w:pStyle w:val="Compact"/>
      </w:pPr>
      <w:r>
        <w:t xml:space="preserve">recepción y almacenamiento;</w:t>
      </w:r>
    </w:p>
    <w:p>
      <w:pPr>
        <w:numPr>
          <w:ilvl w:val="0"/>
          <w:numId w:val="1009"/>
        </w:numPr>
        <w:pStyle w:val="Compact"/>
      </w:pPr>
      <w:r>
        <w:t xml:space="preserve">control de tiempo y temperatura;</w:t>
      </w:r>
    </w:p>
    <w:p>
      <w:pPr>
        <w:numPr>
          <w:ilvl w:val="0"/>
          <w:numId w:val="1009"/>
        </w:numPr>
        <w:pStyle w:val="Compact"/>
      </w:pPr>
      <w:r>
        <w:t xml:space="preserve">prevención de contaminación cruzada;</w:t>
      </w:r>
    </w:p>
    <w:p>
      <w:pPr>
        <w:numPr>
          <w:ilvl w:val="0"/>
          <w:numId w:val="1009"/>
        </w:numPr>
        <w:pStyle w:val="Compact"/>
      </w:pPr>
      <w:r>
        <w:t xml:space="preserve">limpieza y saneamiento;</w:t>
      </w:r>
    </w:p>
    <w:p>
      <w:pPr>
        <w:numPr>
          <w:ilvl w:val="0"/>
          <w:numId w:val="1009"/>
        </w:numPr>
        <w:pStyle w:val="Compact"/>
      </w:pPr>
      <w:r>
        <w:t xml:space="preserve">etiquetado y rotación de existencias;</w:t>
      </w:r>
    </w:p>
    <w:p>
      <w:pPr>
        <w:numPr>
          <w:ilvl w:val="0"/>
          <w:numId w:val="1009"/>
        </w:numPr>
        <w:pStyle w:val="Compact"/>
      </w:pPr>
      <w:r>
        <w:t xml:space="preserve">comunicación de alérgenos y controles de contacto cruzado;</w:t>
      </w:r>
    </w:p>
    <w:p>
      <w:pPr>
        <w:numPr>
          <w:ilvl w:val="0"/>
          <w:numId w:val="1009"/>
        </w:numPr>
        <w:pStyle w:val="Compact"/>
      </w:pPr>
      <w:r>
        <w:t xml:space="preserve">control de plagas;</w:t>
      </w:r>
    </w:p>
    <w:p>
      <w:pPr>
        <w:numPr>
          <w:ilvl w:val="0"/>
          <w:numId w:val="1009"/>
        </w:numPr>
        <w:pStyle w:val="Compact"/>
      </w:pPr>
      <w:r>
        <w:t xml:space="preserve">manejo de residuos;</w:t>
      </w:r>
    </w:p>
    <w:p>
      <w:pPr>
        <w:numPr>
          <w:ilvl w:val="0"/>
          <w:numId w:val="1009"/>
        </w:numPr>
        <w:pStyle w:val="Compact"/>
      </w:pPr>
      <w:r>
        <w:t xml:space="preserve">escalamiento de incidentes.</w:t>
      </w:r>
    </w:p>
    <w:p>
      <w:pPr>
        <w:pStyle w:val="FirstParagraph"/>
      </w:pPr>
      <w:r>
        <w:t xml:space="preserve">No diagnostiques alergias ni hagas afirmaciones médicas. Utiliza información aprobada sobre ingredientes, recetas y preparación, y escala cualquier incertidumbre en lugar de adivinar.</w:t>
      </w:r>
    </w:p>
    <w:bookmarkEnd w:id="31"/>
    <w:bookmarkStart w:id="32" w:name="vía-en-canadá"/>
    <w:p>
      <w:pPr>
        <w:pStyle w:val="Heading2"/>
      </w:pPr>
      <w:r>
        <w:t xml:space="preserve">Vía en Canadá</w:t>
      </w:r>
    </w:p>
    <w:p>
      <w:pPr>
        <w:pStyle w:val="FirstParagraph"/>
      </w:pPr>
      <w:r>
        <w:t xml:space="preserve">La referencia canadiense más cercana es</w:t>
      </w:r>
      <w:r>
        <w:t xml:space="preserve"> </w:t>
      </w:r>
      <w:r>
        <w:rPr>
          <w:bCs/>
          <w:b/>
        </w:rPr>
        <w:t xml:space="preserve">NOC 63200 — Cooks</w:t>
      </w:r>
      <w:r>
        <w:t xml:space="preserve">. Job Bank describe a los cocineros como trabajadores que preparan y cocinan una amplia variedad de alimentos en restaurantes, hoteles, hospitales, instituciones de salud, comisariatos centrales, instituciones educativas, barcos, campamentos y entornos similares. Los aprendices están incluidos en el grupo ocupacional.</w:t>
      </w:r>
    </w:p>
    <w:p>
      <w:pPr>
        <w:pStyle w:val="BodyText"/>
      </w:pPr>
      <w:r>
        <w:t xml:space="preserve">Job Bank indica que normalmente se requiere educación secundaria y que puede requerirse un aprendizaje de cocinero de tres años, un programa universitario de ciclo corto u otro programa de cocina/inocuidad de alimentos, o varios años de experiencia en cocina comercial. La certificación del oficio está disponible pero es voluntaria en las provincias y territorios, y los cocineros calificados pueden buscar el sello Red Seal después del examen interprovincial.</w:t>
      </w:r>
    </w:p>
    <w:p>
      <w:pPr>
        <w:pStyle w:val="BodyText"/>
      </w:pPr>
      <w:r>
        <w:t xml:space="preserve">Los requisitos varían según provincia, territorio, empleador y tipo de establecimiento. Verifica la vía local real antes de pagar por capacitación.</w:t>
      </w:r>
    </w:p>
    <w:bookmarkEnd w:id="32"/>
    <w:bookmarkStart w:id="35" w:name="vía-en-colombia"/>
    <w:p>
      <w:pPr>
        <w:pStyle w:val="Heading2"/>
      </w:pPr>
      <w:r>
        <w:t xml:space="preserve">Vía en Colombia</w:t>
      </w:r>
    </w:p>
    <w:p>
      <w:pPr>
        <w:pStyle w:val="FirstParagraph"/>
      </w:pPr>
      <w:r>
        <w:t xml:space="preserve">SENA Betowa ofrece vías públicas relevantes para la entrada y la progresión.</w:t>
      </w:r>
    </w:p>
    <w:bookmarkStart w:id="33" w:name="cocina--técnico"/>
    <w:p>
      <w:pPr>
        <w:pStyle w:val="Heading3"/>
      </w:pPr>
      <w:r>
        <w:t xml:space="preserve">COCINA — Técnico</w:t>
      </w:r>
    </w:p>
    <w:p>
      <w:pPr>
        <w:pStyle w:val="FirstParagraph"/>
      </w:pPr>
      <w:r>
        <w:t xml:space="preserve">La información actual de SENA Betowa incluye</w:t>
      </w:r>
      <w:r>
        <w:t xml:space="preserve"> </w:t>
      </w:r>
      <w:r>
        <w:rPr>
          <w:bCs/>
          <w:b/>
        </w:rPr>
        <w:t xml:space="preserve">COCINA</w:t>
      </w:r>
      <w:r>
        <w:t xml:space="preserve"> </w:t>
      </w:r>
      <w:r>
        <w:t xml:space="preserve">como programa</w:t>
      </w:r>
      <w:r>
        <w:t xml:space="preserve"> </w:t>
      </w:r>
      <w:r>
        <w:rPr>
          <w:bCs/>
          <w:b/>
        </w:rPr>
        <w:t xml:space="preserve">Técnico</w:t>
      </w:r>
      <w:r>
        <w:t xml:space="preserve"> </w:t>
      </w:r>
      <w:r>
        <w:t xml:space="preserve">de formación titulada (</w:t>
      </w:r>
      <w:r>
        <w:rPr>
          <w:rStyle w:val="VerbatimChar"/>
        </w:rPr>
        <w:t xml:space="preserve">Titulada</w:t>
      </w:r>
      <w:r>
        <w:t xml:space="preserve">), presencial, con una duración de</w:t>
      </w:r>
      <w:r>
        <w:t xml:space="preserve"> </w:t>
      </w:r>
      <w:r>
        <w:rPr>
          <w:bCs/>
          <w:b/>
        </w:rPr>
        <w:t xml:space="preserve">2,200 horas</w:t>
      </w:r>
      <w:r>
        <w:t xml:space="preserve">. El programa se enfoca en recibir y manipular materias primas, preparar alimentos, cumplir estándares de calidad y apoyar operaciones de servicio de alimentos bajo parámetros de inocuidad.</w:t>
      </w:r>
    </w:p>
    <w:p>
      <w:pPr>
        <w:pStyle w:val="BodyText"/>
      </w:pPr>
      <w:r>
        <w:t xml:space="preserve">Verifica convocatorias, ubicación, requisitos previos y criterios de selección directamente en Betowa.</w:t>
      </w:r>
    </w:p>
    <w:bookmarkEnd w:id="33"/>
    <w:bookmarkStart w:id="34" w:name="cocina-básica-nivel-1"/>
    <w:p>
      <w:pPr>
        <w:pStyle w:val="Heading3"/>
      </w:pPr>
      <w:r>
        <w:t xml:space="preserve">COCINA BÁSICA NIVEL 1</w:t>
      </w:r>
    </w:p>
    <w:p>
      <w:pPr>
        <w:pStyle w:val="FirstParagraph"/>
      </w:pPr>
      <w:r>
        <w:t xml:space="preserve">SENA Betowa incluye</w:t>
      </w:r>
      <w:r>
        <w:t xml:space="preserve"> </w:t>
      </w:r>
      <w:r>
        <w:rPr>
          <w:bCs/>
          <w:b/>
        </w:rPr>
        <w:t xml:space="preserve">COCINA BÁSICA NIVEL 1</w:t>
      </w:r>
      <w:r>
        <w:t xml:space="preserve"> </w:t>
      </w:r>
      <w:r>
        <w:t xml:space="preserve">como curso complementario especial, presencial, con una duración de</w:t>
      </w:r>
      <w:r>
        <w:t xml:space="preserve"> </w:t>
      </w:r>
      <w:r>
        <w:rPr>
          <w:bCs/>
          <w:b/>
        </w:rPr>
        <w:t xml:space="preserve">40 horas</w:t>
      </w:r>
      <w:r>
        <w:t xml:space="preserve">. Puede ser una opción útil de entrada gratuita o de menor costo donde esté disponible.</w:t>
      </w:r>
    </w:p>
    <w:p>
      <w:pPr>
        <w:pStyle w:val="BodyText"/>
      </w:pPr>
      <w:r>
        <w:t xml:space="preserve">Completarlo no garantiza empleo, ascenso, autorización en inocuidad de alimentos ni estatus de chef.</w:t>
      </w:r>
    </w:p>
    <w:p>
      <w:pPr>
        <w:pStyle w:val="BodyText"/>
      </w:pPr>
      <w:r>
        <w:t xml:space="preserve">Esta guía no presenta una cifra salarial nacional para Colombia.</w:t>
      </w:r>
    </w:p>
    <w:bookmarkEnd w:id="34"/>
    <w:bookmarkEnd w:id="35"/>
    <w:bookmarkStart w:id="36" w:name="vía-en-américa-latina"/>
    <w:p>
      <w:pPr>
        <w:pStyle w:val="Heading2"/>
      </w:pPr>
      <w:r>
        <w:t xml:space="preserve">Vía en América Latina</w:t>
      </w:r>
    </w:p>
    <w:p>
      <w:pPr>
        <w:pStyle w:val="FirstParagraph"/>
      </w:pPr>
      <w:r>
        <w:t xml:space="preserve">La formación culinaria varía ampliamente en América Latina. Como puntos de partida pueden servir instituciones nacionales de formación profesional, ministerios de trabajo o educación, institutos públicos de turismo y hotelería, academias de empleadores e instituciones vinculadas con OIT/Cinterfor.</w:t>
      </w:r>
    </w:p>
    <w:p>
      <w:pPr>
        <w:pStyle w:val="BodyText"/>
      </w:pPr>
      <w:r>
        <w:t xml:space="preserve">Antes de inscribirte, verifica:</w:t>
      </w:r>
    </w:p>
    <w:p>
      <w:pPr>
        <w:numPr>
          <w:ilvl w:val="0"/>
          <w:numId w:val="1010"/>
        </w:numPr>
        <w:pStyle w:val="Compact"/>
      </w:pPr>
      <w:r>
        <w:t xml:space="preserve">reconocimiento del proveedor cuando sea relevante;</w:t>
      </w:r>
    </w:p>
    <w:p>
      <w:pPr>
        <w:numPr>
          <w:ilvl w:val="0"/>
          <w:numId w:val="1010"/>
        </w:numPr>
        <w:pStyle w:val="Compact"/>
      </w:pPr>
      <w:r>
        <w:t xml:space="preserve">costo total, incluidos uniformes, cuchillos, herramientas, exámenes, transporte e ingredientes;</w:t>
      </w:r>
    </w:p>
    <w:p>
      <w:pPr>
        <w:numPr>
          <w:ilvl w:val="0"/>
          <w:numId w:val="1010"/>
        </w:numPr>
        <w:pStyle w:val="Compact"/>
      </w:pPr>
      <w:r>
        <w:t xml:space="preserve">requisitos de etapa práctica o pasantía;</w:t>
      </w:r>
    </w:p>
    <w:p>
      <w:pPr>
        <w:numPr>
          <w:ilvl w:val="0"/>
          <w:numId w:val="1010"/>
        </w:numPr>
        <w:pStyle w:val="Compact"/>
      </w:pPr>
      <w:r>
        <w:t xml:space="preserve">requisitos de manipulador de alimentos o documentos de salud;</w:t>
      </w:r>
    </w:p>
    <w:p>
      <w:pPr>
        <w:numPr>
          <w:ilvl w:val="0"/>
          <w:numId w:val="1010"/>
        </w:numPr>
        <w:pStyle w:val="Compact"/>
      </w:pPr>
      <w:r>
        <w:t xml:space="preserve">compatibilidad del horario con el trabajo;</w:t>
      </w:r>
    </w:p>
    <w:p>
      <w:pPr>
        <w:numPr>
          <w:ilvl w:val="0"/>
          <w:numId w:val="1010"/>
        </w:numPr>
        <w:pStyle w:val="Compact"/>
      </w:pPr>
      <w:r>
        <w:t xml:space="preserve">si la credencial es transferible a otro empleador o región.</w:t>
      </w:r>
    </w:p>
    <w:bookmarkEnd w:id="36"/>
    <w:bookmarkStart w:id="37" w:name="Xe5be6b91e3da2fcaa8e13ce499f33da83237e9a"/>
    <w:p>
      <w:pPr>
        <w:pStyle w:val="Heading2"/>
      </w:pPr>
      <w:r>
        <w:t xml:space="preserve">Estrategia de capacitación con prioridad en opciones gratuitas</w:t>
      </w:r>
    </w:p>
    <w:p>
      <w:pPr>
        <w:pStyle w:val="FirstParagraph"/>
      </w:pPr>
      <w:r>
        <w:t xml:space="preserve">Antes de pagar un programa culinario privado costoso, verifica si el objetivo puede alcanzarse mediante:</w:t>
      </w:r>
    </w:p>
    <w:p>
      <w:pPr>
        <w:numPr>
          <w:ilvl w:val="0"/>
          <w:numId w:val="1011"/>
        </w:numPr>
        <w:pStyle w:val="Compact"/>
      </w:pPr>
      <w:r>
        <w:t xml:space="preserve">inducción o capacitación cruzada pagada por el empleador;</w:t>
      </w:r>
    </w:p>
    <w:p>
      <w:pPr>
        <w:numPr>
          <w:ilvl w:val="0"/>
          <w:numId w:val="1011"/>
        </w:numPr>
        <w:pStyle w:val="Compact"/>
      </w:pPr>
      <w:r>
        <w:t xml:space="preserve">capacitación de inocuidad de alimentos pagada;</w:t>
      </w:r>
    </w:p>
    <w:p>
      <w:pPr>
        <w:numPr>
          <w:ilvl w:val="0"/>
          <w:numId w:val="1011"/>
        </w:numPr>
        <w:pStyle w:val="Compact"/>
      </w:pPr>
      <w:r>
        <w:t xml:space="preserve">programas comunitarios o técnicos;</w:t>
      </w:r>
    </w:p>
    <w:p>
      <w:pPr>
        <w:numPr>
          <w:ilvl w:val="0"/>
          <w:numId w:val="1011"/>
        </w:numPr>
        <w:pStyle w:val="Compact"/>
      </w:pPr>
      <w:r>
        <w:rPr>
          <w:bCs/>
          <w:b/>
        </w:rPr>
        <w:t xml:space="preserve">CareerOneStop WIOA-Eligible Training Program Finder</w:t>
      </w:r>
      <w:r>
        <w:t xml:space="preserve"> </w:t>
      </w:r>
      <w:r>
        <w:t xml:space="preserve">para participantes elegibles en Estados Unidos;</w:t>
      </w:r>
    </w:p>
    <w:p>
      <w:pPr>
        <w:numPr>
          <w:ilvl w:val="0"/>
          <w:numId w:val="1011"/>
        </w:numPr>
        <w:pStyle w:val="Compact"/>
      </w:pPr>
      <w:r>
        <w:rPr>
          <w:bCs/>
          <w:b/>
        </w:rPr>
        <w:t xml:space="preserve">American Job Centers</w:t>
      </w:r>
      <w:r>
        <w:t xml:space="preserve"> </w:t>
      </w:r>
      <w:r>
        <w:t xml:space="preserve">locales;</w:t>
      </w:r>
    </w:p>
    <w:p>
      <w:pPr>
        <w:numPr>
          <w:ilvl w:val="0"/>
          <w:numId w:val="1011"/>
        </w:numPr>
        <w:pStyle w:val="Compact"/>
      </w:pPr>
      <w:r>
        <w:rPr>
          <w:bCs/>
          <w:b/>
        </w:rPr>
        <w:t xml:space="preserve">Apprenticeship.gov</w:t>
      </w:r>
      <w:r>
        <w:t xml:space="preserve"> </w:t>
      </w:r>
      <w:r>
        <w:t xml:space="preserve">para vacantes reales de aprendizaje para cocineros;</w:t>
      </w:r>
    </w:p>
    <w:p>
      <w:pPr>
        <w:numPr>
          <w:ilvl w:val="0"/>
          <w:numId w:val="1011"/>
        </w:numPr>
        <w:pStyle w:val="Compact"/>
      </w:pPr>
      <w:r>
        <w:t xml:space="preserve">SENA Betowa en Colombia;</w:t>
      </w:r>
    </w:p>
    <w:p>
      <w:pPr>
        <w:numPr>
          <w:ilvl w:val="0"/>
          <w:numId w:val="1011"/>
        </w:numPr>
        <w:pStyle w:val="Compact"/>
      </w:pPr>
      <w:r>
        <w:t xml:space="preserve">OIT/Cinterfor e instituciones públicas nacionales de formación en otros países de América Latina.</w:t>
      </w:r>
    </w:p>
    <w:p>
      <w:pPr>
        <w:pStyle w:val="FirstParagraph"/>
      </w:pPr>
      <w:r>
        <w:t xml:space="preserve">El financiamiento, la admisión, la colocación en aprendizaje, el reembolso, la certificación y el empleo nunca están garantizados.</w:t>
      </w:r>
    </w:p>
    <w:bookmarkEnd w:id="37"/>
    <w:bookmarkStart w:id="41" w:name="compensación--estados-unidos"/>
    <w:p>
      <w:pPr>
        <w:pStyle w:val="Heading2"/>
      </w:pPr>
      <w:r>
        <w:t xml:space="preserve">Compensación — Estados Unidos</w:t>
      </w:r>
    </w:p>
    <w:bookmarkStart w:id="38" w:name="referencia-oficial-de-cooks-restaurant"/>
    <w:p>
      <w:pPr>
        <w:pStyle w:val="Heading3"/>
      </w:pPr>
      <w:r>
        <w:t xml:space="preserve">Referencia oficial de Cooks, Restaurant</w:t>
      </w:r>
    </w:p>
    <w:p>
      <w:pPr>
        <w:pStyle w:val="FirstParagraph"/>
      </w:pPr>
      <w:r>
        <w:t xml:space="preserve">O*NET informa actualmente datos salariales BLS de</w:t>
      </w:r>
      <w:r>
        <w:t xml:space="preserve"> </w:t>
      </w:r>
      <w:r>
        <w:rPr>
          <w:bCs/>
          <w:b/>
        </w:rPr>
        <w:t xml:space="preserve">2025</w:t>
      </w:r>
      <w:r>
        <w:t xml:space="preserve"> </w:t>
      </w:r>
      <w:r>
        <w:t xml:space="preserve">para</w:t>
      </w:r>
      <w:r>
        <w:t xml:space="preserve"> </w:t>
      </w:r>
      <w:r>
        <w:rPr>
          <w:bCs/>
          <w:b/>
        </w:rPr>
        <w:t xml:space="preserve">Cooks, Restaurant (</w:t>
      </w:r>
      <w:r>
        <w:rPr>
          <w:rStyle w:val="VerbatimChar"/>
          <w:bCs/>
          <w:b/>
        </w:rPr>
        <w:t xml:space="preserve">35-2014.00</w:t>
      </w:r>
      <w:r>
        <w:rPr>
          <w:bCs/>
          <w:b/>
        </w:rPr>
        <w:t xml:space="preserve">)</w:t>
      </w:r>
      <w:r>
        <w:t xml:space="preserve">:</w:t>
      </w:r>
    </w:p>
    <w:p>
      <w:pPr>
        <w:numPr>
          <w:ilvl w:val="0"/>
          <w:numId w:val="1012"/>
        </w:numPr>
        <w:pStyle w:val="Compact"/>
      </w:pPr>
      <w:r>
        <w:t xml:space="preserve">mediana por hora:</w:t>
      </w:r>
      <w:r>
        <w:t xml:space="preserve"> </w:t>
      </w:r>
      <w:r>
        <w:rPr>
          <w:bCs/>
          <w:b/>
        </w:rPr>
        <w:t xml:space="preserve">USD $17.98</w:t>
      </w:r>
      <w:r>
        <w:t xml:space="preserve">;</w:t>
      </w:r>
    </w:p>
    <w:p>
      <w:pPr>
        <w:numPr>
          <w:ilvl w:val="0"/>
          <w:numId w:val="1012"/>
        </w:numPr>
        <w:pStyle w:val="Compact"/>
      </w:pPr>
      <w:r>
        <w:t xml:space="preserve">mediana anual:</w:t>
      </w:r>
      <w:r>
        <w:t xml:space="preserve"> </w:t>
      </w:r>
      <w:r>
        <w:rPr>
          <w:bCs/>
          <w:b/>
        </w:rPr>
        <w:t xml:space="preserve">USD $37,390</w:t>
      </w:r>
      <w:r>
        <w:t xml:space="preserve">;</w:t>
      </w:r>
    </w:p>
    <w:p>
      <w:pPr>
        <w:numPr>
          <w:ilvl w:val="0"/>
          <w:numId w:val="1012"/>
        </w:numPr>
        <w:pStyle w:val="Compact"/>
      </w:pPr>
      <w:r>
        <w:t xml:space="preserve">percentil 25 anual:</w:t>
      </w:r>
      <w:r>
        <w:t xml:space="preserve"> </w:t>
      </w:r>
      <w:r>
        <w:rPr>
          <w:bCs/>
          <w:b/>
        </w:rPr>
        <w:t xml:space="preserve">USD $34,010</w:t>
      </w:r>
      <w:r>
        <w:t xml:space="preserve">;</w:t>
      </w:r>
    </w:p>
    <w:p>
      <w:pPr>
        <w:numPr>
          <w:ilvl w:val="0"/>
          <w:numId w:val="1012"/>
        </w:numPr>
        <w:pStyle w:val="Compact"/>
      </w:pPr>
      <w:r>
        <w:t xml:space="preserve">percentil 75 anual:</w:t>
      </w:r>
      <w:r>
        <w:t xml:space="preserve"> </w:t>
      </w:r>
      <w:r>
        <w:rPr>
          <w:bCs/>
          <w:b/>
        </w:rPr>
        <w:t xml:space="preserve">USD $44,620</w:t>
      </w:r>
      <w:r>
        <w:t xml:space="preserve">.</w:t>
      </w:r>
    </w:p>
    <w:p>
      <w:pPr>
        <w:pStyle w:val="FirstParagraph"/>
      </w:pPr>
      <w:r>
        <w:t xml:space="preserve">O*NET informa aproximadamente</w:t>
      </w:r>
      <w:r>
        <w:t xml:space="preserve"> </w:t>
      </w:r>
      <w:r>
        <w:rPr>
          <w:bCs/>
          <w:b/>
        </w:rPr>
        <w:t xml:space="preserve">1,460,200</w:t>
      </w:r>
      <w:r>
        <w:t xml:space="preserve"> </w:t>
      </w:r>
      <w:r>
        <w:t xml:space="preserve">cocineros de restaurante empleados en 2024, crecimiento proyectado de</w:t>
      </w:r>
      <w:r>
        <w:t xml:space="preserve"> </w:t>
      </w:r>
      <w:r>
        <w:rPr>
          <w:bCs/>
          <w:b/>
        </w:rPr>
        <w:t xml:space="preserve">7% o más</w:t>
      </w:r>
      <w:r>
        <w:t xml:space="preserve"> </w:t>
      </w:r>
      <w:r>
        <w:t xml:space="preserve">entre 2024–2034 y aproximadamente</w:t>
      </w:r>
      <w:r>
        <w:t xml:space="preserve"> </w:t>
      </w:r>
      <w:r>
        <w:rPr>
          <w:bCs/>
          <w:b/>
        </w:rPr>
        <w:t xml:space="preserve">250,700 vacantes proyectadas</w:t>
      </w:r>
      <w:r>
        <w:t xml:space="preserve"> </w:t>
      </w:r>
      <w:r>
        <w:t xml:space="preserve">durante ese periodo.</w:t>
      </w:r>
    </w:p>
    <w:bookmarkEnd w:id="38"/>
    <w:bookmarkStart w:id="39" w:name="comparación-más-amplia-de-bls-para-cooks"/>
    <w:p>
      <w:pPr>
        <w:pStyle w:val="Heading3"/>
      </w:pPr>
      <w:r>
        <w:t xml:space="preserve">Comparación más amplia de BLS para Cooks</w:t>
      </w:r>
    </w:p>
    <w:p>
      <w:pPr>
        <w:pStyle w:val="FirstParagraph"/>
      </w:pPr>
      <w:r>
        <w:t xml:space="preserve">El Occupational Outlook Handbook de BLS informa una referencia más amplia de</w:t>
      </w:r>
      <w:r>
        <w:t xml:space="preserve"> </w:t>
      </w:r>
      <w:r>
        <w:rPr>
          <w:bCs/>
          <w:b/>
        </w:rPr>
        <w:t xml:space="preserve">Cooks</w:t>
      </w:r>
      <w:r>
        <w:t xml:space="preserve">, con salario mediano de</w:t>
      </w:r>
      <w:r>
        <w:t xml:space="preserve"> </w:t>
      </w:r>
      <w:r>
        <w:rPr>
          <w:bCs/>
          <w:b/>
        </w:rPr>
        <w:t xml:space="preserve">USD $35,760/año ($17.19/hora)</w:t>
      </w:r>
      <w:r>
        <w:t xml:space="preserve">, aproximadamente</w:t>
      </w:r>
      <w:r>
        <w:t xml:space="preserve"> </w:t>
      </w:r>
      <w:r>
        <w:rPr>
          <w:bCs/>
          <w:b/>
        </w:rPr>
        <w:t xml:space="preserve">2,805,100</w:t>
      </w:r>
      <w:r>
        <w:t xml:space="preserve"> </w:t>
      </w:r>
      <w:r>
        <w:t xml:space="preserve">empleos, crecimiento proyectado de</w:t>
      </w:r>
      <w:r>
        <w:t xml:space="preserve"> </w:t>
      </w:r>
      <w:r>
        <w:rPr>
          <w:bCs/>
          <w:b/>
        </w:rPr>
        <w:t xml:space="preserve">5%</w:t>
      </w:r>
      <w:r>
        <w:t xml:space="preserve"> </w:t>
      </w:r>
      <w:r>
        <w:t xml:space="preserve">y aproximadamente</w:t>
      </w:r>
      <w:r>
        <w:t xml:space="preserve"> </w:t>
      </w:r>
      <w:r>
        <w:rPr>
          <w:bCs/>
          <w:b/>
        </w:rPr>
        <w:t xml:space="preserve">130,600 vacantes por año</w:t>
      </w:r>
      <w:r>
        <w:t xml:space="preserve">.</w:t>
      </w:r>
    </w:p>
    <w:p>
      <w:pPr>
        <w:pStyle w:val="BodyText"/>
      </w:pPr>
      <w:r>
        <w:t xml:space="preserve">El grupo de BLS cubre varias especialidades de cocina, por lo que sus cifras más amplias no deben tratarse como idénticas a la referencia específica de O*NET para Restaurant Cooks.</w:t>
      </w:r>
    </w:p>
    <w:bookmarkEnd w:id="39"/>
    <w:bookmarkStart w:id="40" w:name="estimación-actual-no-gubernamental"/>
    <w:p>
      <w:pPr>
        <w:pStyle w:val="Heading3"/>
      </w:pPr>
      <w:r>
        <w:t xml:space="preserve">Estimación actual no gubernamental</w:t>
      </w:r>
    </w:p>
    <w:p>
      <w:pPr>
        <w:pStyle w:val="FirstParagraph"/>
      </w:pPr>
      <w:r>
        <w:t xml:space="preserve">ZipRecruiter, 4 de agosto de 2026, informa un pago promedio para Cook de</w:t>
      </w:r>
      <w:r>
        <w:t xml:space="preserve"> </w:t>
      </w:r>
      <w:r>
        <w:rPr>
          <w:bCs/>
          <w:b/>
        </w:rPr>
        <w:t xml:space="preserve">USD $33,340/año</w:t>
      </w:r>
      <w:r>
        <w:t xml:space="preserve">, aproximadamente</w:t>
      </w:r>
      <w:r>
        <w:t xml:space="preserve"> </w:t>
      </w:r>
      <w:r>
        <w:rPr>
          <w:bCs/>
          <w:b/>
        </w:rPr>
        <w:t xml:space="preserve">$16.03/hora</w:t>
      </w:r>
      <w:r>
        <w:t xml:space="preserve">, con un rango informado entre los percentiles 25 y 75 de</w:t>
      </w:r>
      <w:r>
        <w:t xml:space="preserve"> </w:t>
      </w:r>
      <w:r>
        <w:rPr>
          <w:bCs/>
          <w:b/>
        </w:rPr>
        <w:t xml:space="preserve">$28,000–$37,500</w:t>
      </w:r>
      <w:r>
        <w:t xml:space="preserve">.</w:t>
      </w:r>
    </w:p>
    <w:p>
      <w:pPr>
        <w:pStyle w:val="BodyText"/>
      </w:pPr>
      <w:r>
        <w:t xml:space="preserve">Esta es una estimación de mercado no gubernamental y no debe promediarse con las estadísticas oficiales de O*NET/BLS.</w:t>
      </w:r>
    </w:p>
    <w:bookmarkEnd w:id="40"/>
    <w:bookmarkEnd w:id="41"/>
    <w:bookmarkStart w:id="42" w:name="compensación--canadá"/>
    <w:p>
      <w:pPr>
        <w:pStyle w:val="Heading2"/>
      </w:pPr>
      <w:r>
        <w:t xml:space="preserve">Compensación — Canadá</w:t>
      </w:r>
    </w:p>
    <w:p>
      <w:pPr>
        <w:pStyle w:val="FirstParagraph"/>
      </w:pPr>
      <w:r>
        <w:t xml:space="preserve">Los datos salariales nacionales de Job Bank para</w:t>
      </w:r>
      <w:r>
        <w:t xml:space="preserve"> </w:t>
      </w:r>
      <w:r>
        <w:rPr>
          <w:bCs/>
          <w:b/>
        </w:rPr>
        <w:t xml:space="preserve">NOC 63200</w:t>
      </w:r>
      <w:r>
        <w:t xml:space="preserve">, actualizados el 19 de noviembre de 2025 con periodo de referencia de la Labour Force Survey 2023–2024, indican:</w:t>
      </w:r>
    </w:p>
    <w:p>
      <w:pPr>
        <w:numPr>
          <w:ilvl w:val="0"/>
          <w:numId w:val="1013"/>
        </w:numPr>
        <w:pStyle w:val="Compact"/>
      </w:pPr>
      <w:r>
        <w:t xml:space="preserve">bajo:</w:t>
      </w:r>
      <w:r>
        <w:t xml:space="preserve"> </w:t>
      </w:r>
      <w:r>
        <w:rPr>
          <w:bCs/>
          <w:b/>
        </w:rPr>
        <w:t xml:space="preserve">CAD $15.00/hora</w:t>
      </w:r>
      <w:r>
        <w:t xml:space="preserve">;</w:t>
      </w:r>
    </w:p>
    <w:p>
      <w:pPr>
        <w:numPr>
          <w:ilvl w:val="0"/>
          <w:numId w:val="1013"/>
        </w:numPr>
        <w:pStyle w:val="Compact"/>
      </w:pPr>
      <w:r>
        <w:t xml:space="preserve">mediana:</w:t>
      </w:r>
      <w:r>
        <w:t xml:space="preserve"> </w:t>
      </w:r>
      <w:r>
        <w:rPr>
          <w:bCs/>
          <w:b/>
        </w:rPr>
        <w:t xml:space="preserve">CAD $18.00/hora</w:t>
      </w:r>
      <w:r>
        <w:t xml:space="preserve">;</w:t>
      </w:r>
    </w:p>
    <w:p>
      <w:pPr>
        <w:numPr>
          <w:ilvl w:val="0"/>
          <w:numId w:val="1013"/>
        </w:numPr>
        <w:pStyle w:val="Compact"/>
      </w:pPr>
      <w:r>
        <w:t xml:space="preserve">alto:</w:t>
      </w:r>
      <w:r>
        <w:t xml:space="preserve"> </w:t>
      </w:r>
      <w:r>
        <w:rPr>
          <w:bCs/>
          <w:b/>
        </w:rPr>
        <w:t xml:space="preserve">CAD $25.00/hora</w:t>
      </w:r>
      <w:r>
        <w:t xml:space="preserve">.</w:t>
      </w:r>
    </w:p>
    <w:p>
      <w:pPr>
        <w:pStyle w:val="FirstParagraph"/>
      </w:pPr>
      <w:r>
        <w:t xml:space="preserve">El pago real varía según provincia, establecimiento, horario, experiencia, especialización y empleador.</w:t>
      </w:r>
    </w:p>
    <w:bookmarkEnd w:id="42"/>
    <w:bookmarkStart w:id="43" w:name="privacidad-e-información-de-pagos"/>
    <w:p>
      <w:pPr>
        <w:pStyle w:val="Heading2"/>
      </w:pPr>
      <w:r>
        <w:t xml:space="preserve">Privacidad e información de pagos</w:t>
      </w:r>
    </w:p>
    <w:p>
      <w:pPr>
        <w:pStyle w:val="FirstParagraph"/>
      </w:pPr>
      <w:r>
        <w:t xml:space="preserve">Los sistemas de cocina y restaurante pueden contener información de clientes, empleados, pagos, horarios, pedidos, plataformas de entrega, inventario y negocios. Utiliza solo el acceso necesario para tu trabajo.</w:t>
      </w:r>
    </w:p>
    <w:p>
      <w:pPr>
        <w:pStyle w:val="BodyText"/>
      </w:pPr>
      <w:r>
        <w:t xml:space="preserve">Buenas prácticas incluyen:</w:t>
      </w:r>
    </w:p>
    <w:p>
      <w:pPr>
        <w:numPr>
          <w:ilvl w:val="0"/>
          <w:numId w:val="1014"/>
        </w:numPr>
        <w:pStyle w:val="Compact"/>
      </w:pPr>
      <w:r>
        <w:t xml:space="preserve">nunca compartir contraseñas o credenciales de POS;</w:t>
      </w:r>
    </w:p>
    <w:p>
      <w:pPr>
        <w:numPr>
          <w:ilvl w:val="0"/>
          <w:numId w:val="1014"/>
        </w:numPr>
        <w:pStyle w:val="Compact"/>
      </w:pPr>
      <w:r>
        <w:t xml:space="preserve">bloquear terminales al alejarte;</w:t>
      </w:r>
    </w:p>
    <w:p>
      <w:pPr>
        <w:numPr>
          <w:ilvl w:val="0"/>
          <w:numId w:val="1014"/>
        </w:numPr>
        <w:pStyle w:val="Compact"/>
      </w:pPr>
      <w:r>
        <w:t xml:space="preserve">evitar dispositivos personales para información empresarial restringida salvo aprobación;</w:t>
      </w:r>
    </w:p>
    <w:p>
      <w:pPr>
        <w:numPr>
          <w:ilvl w:val="0"/>
          <w:numId w:val="1014"/>
        </w:numPr>
        <w:pStyle w:val="Compact"/>
      </w:pPr>
      <w:r>
        <w:t xml:space="preserve">usar canales aprobados para horarios e información de empleados;</w:t>
      </w:r>
    </w:p>
    <w:p>
      <w:pPr>
        <w:numPr>
          <w:ilvl w:val="0"/>
          <w:numId w:val="1014"/>
        </w:numPr>
        <w:pStyle w:val="Compact"/>
      </w:pPr>
      <w:r>
        <w:t xml:space="preserve">limitar informes impresos y desecharlos de forma segura;</w:t>
      </w:r>
    </w:p>
    <w:p>
      <w:pPr>
        <w:numPr>
          <w:ilvl w:val="0"/>
          <w:numId w:val="1014"/>
        </w:numPr>
        <w:pStyle w:val="Compact"/>
      </w:pPr>
      <w:r>
        <w:t xml:space="preserve">escalar sospechas de phishing, fraude o compromiso de cuentas.</w:t>
      </w:r>
    </w:p>
    <w:bookmarkEnd w:id="43"/>
    <w:bookmarkStart w:id="44" w:name="ciberseguridad"/>
    <w:p>
      <w:pPr>
        <w:pStyle w:val="Heading2"/>
      </w:pPr>
      <w:r>
        <w:t xml:space="preserve">Ciberseguridad</w:t>
      </w:r>
    </w:p>
    <w:p>
      <w:pPr>
        <w:pStyle w:val="FirstParagraph"/>
      </w:pPr>
      <w:r>
        <w:t xml:space="preserve">Los restaurantes utilizan cada vez más sistemas POS en la nube, pedidos en línea, plataformas de entrega, herramientas digitales de inventario, sistemas de nómina, portales de proveedores, Wi-Fi y dispositivos móviles.</w:t>
      </w:r>
    </w:p>
    <w:p>
      <w:pPr>
        <w:pStyle w:val="BodyText"/>
      </w:pPr>
      <w:r>
        <w:t xml:space="preserve">Trata con cautela solicitudes inesperadas de restablecimiento de contraseña, facturas, códigos QR, cambios de pago, mensajes de proveedores, cambios de nómina o cambios de cuentas bancarias. Verifica solicitudes inusuales por canales aprobados antes de actuar.</w:t>
      </w:r>
    </w:p>
    <w:bookmarkEnd w:id="44"/>
    <w:bookmarkStart w:id="45" w:name="accesibilidad-e-inclusión"/>
    <w:p>
      <w:pPr>
        <w:pStyle w:val="Heading2"/>
      </w:pPr>
      <w:r>
        <w:t xml:space="preserve">Accesibilidad e inclusión</w:t>
      </w:r>
    </w:p>
    <w:p>
      <w:pPr>
        <w:pStyle w:val="FirstParagraph"/>
      </w:pPr>
      <w:r>
        <w:t xml:space="preserve">Apoya un servicio accesible y un lugar de trabajo respetuoso de acuerdo con los procedimientos del empleador y la ley aplicable. No hagas suposiciones sobre las capacidades de un cliente o compañero. Escala preguntas de adaptación al gerente designado o al proceso de recursos humanos cuando sea necesario.</w:t>
      </w:r>
    </w:p>
    <w:bookmarkEnd w:id="45"/>
    <w:bookmarkStart w:id="46" w:name="Xe01c5725d55edcaab8a5ea7ad603b01dd816969"/>
    <w:p>
      <w:pPr>
        <w:pStyle w:val="Heading2"/>
      </w:pPr>
      <w:r>
        <w:t xml:space="preserve">Uso responsable de la inteligencia artificial</w:t>
      </w:r>
    </w:p>
    <w:p>
      <w:pPr>
        <w:pStyle w:val="FirstParagraph"/>
      </w:pPr>
      <w:r>
        <w:t xml:space="preserve">Las herramientas de IA pueden ayudar a generar ideas para recetas de práctica, esquemas de capacitación, listas de preparación, redacción no sensible de menús, preguntas de estudio o planes de carrera.</w:t>
      </w:r>
    </w:p>
    <w:p>
      <w:pPr>
        <w:pStyle w:val="BodyText"/>
      </w:pPr>
      <w:r>
        <w:t xml:space="preserve">No ingreses</w:t>
      </w:r>
      <w:r>
        <w:t xml:space="preserve"> </w:t>
      </w:r>
      <w:r>
        <w:rPr>
          <w:bCs/>
          <w:b/>
        </w:rPr>
        <w:t xml:space="preserve">datos de tarjetas de pago, registros de empleados, información personal de clientes, recetas no publicadas, datos empresariales, reportes de incidentes, contraseñas, investigaciones internas u otra información restringida</w:t>
      </w:r>
      <w:r>
        <w:t xml:space="preserve"> </w:t>
      </w:r>
      <w:r>
        <w:t xml:space="preserve">en un sistema público de IA sin aprobación de la organización.</w:t>
      </w:r>
    </w:p>
    <w:p>
      <w:pPr>
        <w:pStyle w:val="BodyText"/>
      </w:pPr>
      <w:r>
        <w:t xml:space="preserve">La IA no debe decidir de forma independiente:</w:t>
      </w:r>
    </w:p>
    <w:p>
      <w:pPr>
        <w:numPr>
          <w:ilvl w:val="0"/>
          <w:numId w:val="1015"/>
        </w:numPr>
        <w:pStyle w:val="Compact"/>
      </w:pPr>
      <w:r>
        <w:t xml:space="preserve">si un alimento es seguro para servir;</w:t>
      </w:r>
    </w:p>
    <w:p>
      <w:pPr>
        <w:numPr>
          <w:ilvl w:val="0"/>
          <w:numId w:val="1015"/>
        </w:numPr>
        <w:pStyle w:val="Compact"/>
      </w:pPr>
      <w:r>
        <w:t xml:space="preserve">si hay un alérgeno presente;</w:t>
      </w:r>
    </w:p>
    <w:p>
      <w:pPr>
        <w:numPr>
          <w:ilvl w:val="0"/>
          <w:numId w:val="1015"/>
        </w:numPr>
        <w:pStyle w:val="Compact"/>
      </w:pPr>
      <w:r>
        <w:t xml:space="preserve">si un cliente o trabajador tiene una condición médica;</w:t>
      </w:r>
    </w:p>
    <w:p>
      <w:pPr>
        <w:numPr>
          <w:ilvl w:val="0"/>
          <w:numId w:val="1015"/>
        </w:numPr>
        <w:pStyle w:val="Compact"/>
      </w:pPr>
      <w:r>
        <w:t xml:space="preserve">si aplica un requisito legal o regulatorio;</w:t>
      </w:r>
    </w:p>
    <w:p>
      <w:pPr>
        <w:numPr>
          <w:ilvl w:val="0"/>
          <w:numId w:val="1015"/>
        </w:numPr>
        <w:pStyle w:val="Compact"/>
      </w:pPr>
      <w:r>
        <w:t xml:space="preserve">si una lesión o incidente de inocuidad puede ignorarse.</w:t>
      </w:r>
    </w:p>
    <w:p>
      <w:pPr>
        <w:pStyle w:val="FirstParagraph"/>
      </w:pPr>
      <w:r>
        <w:t xml:space="preserve">Se requiere revisión humana para recetas, menús, materiales de capacitación, horarios, etiquetas, comunicaciones con clientes y decisiones operativas asistidas por IA.</w:t>
      </w:r>
    </w:p>
    <w:bookmarkEnd w:id="46"/>
    <w:bookmarkStart w:id="53" w:name="plan-inicial-de-12-semanas"/>
    <w:p>
      <w:pPr>
        <w:pStyle w:val="Heading2"/>
      </w:pPr>
      <w:r>
        <w:t xml:space="preserve">Plan inicial de 12 semanas</w:t>
      </w:r>
    </w:p>
    <w:bookmarkStart w:id="47" w:name="semanas-12--aprende-la-operación"/>
    <w:p>
      <w:pPr>
        <w:pStyle w:val="Heading3"/>
      </w:pPr>
      <w:r>
        <w:t xml:space="preserve">Semanas 1–2 — Aprende la operación</w:t>
      </w:r>
    </w:p>
    <w:p>
      <w:pPr>
        <w:numPr>
          <w:ilvl w:val="0"/>
          <w:numId w:val="1016"/>
        </w:numPr>
        <w:pStyle w:val="Compact"/>
      </w:pPr>
      <w:r>
        <w:t xml:space="preserve">Aprende procedimientos de saneamiento, emergencia y reporte.</w:t>
      </w:r>
    </w:p>
    <w:p>
      <w:pPr>
        <w:numPr>
          <w:ilvl w:val="0"/>
          <w:numId w:val="1016"/>
        </w:numPr>
        <w:pStyle w:val="Compact"/>
      </w:pPr>
      <w:r>
        <w:t xml:space="preserve">Revisa la distribución de la cocina, estaciones, almacenamiento y equipos.</w:t>
      </w:r>
    </w:p>
    <w:p>
      <w:pPr>
        <w:numPr>
          <w:ilvl w:val="0"/>
          <w:numId w:val="1016"/>
        </w:numPr>
        <w:pStyle w:val="Compact"/>
      </w:pPr>
      <w:r>
        <w:t xml:space="preserve">Aprende los límites de autoridad y las rutas de escalamiento.</w:t>
      </w:r>
    </w:p>
    <w:bookmarkEnd w:id="47"/>
    <w:bookmarkStart w:id="48" w:name="Xaec05f8f1ace666d7bce7b576841560e387e119"/>
    <w:p>
      <w:pPr>
        <w:pStyle w:val="Heading3"/>
      </w:pPr>
      <w:r>
        <w:t xml:space="preserve">Semanas 3–4 — Desarrolla competencia en una estación</w:t>
      </w:r>
    </w:p>
    <w:p>
      <w:pPr>
        <w:numPr>
          <w:ilvl w:val="0"/>
          <w:numId w:val="1017"/>
        </w:numPr>
        <w:pStyle w:val="Compact"/>
      </w:pPr>
      <w:r>
        <w:t xml:space="preserve">Practica mise en place y ejecución de recetas.</w:t>
      </w:r>
    </w:p>
    <w:p>
      <w:pPr>
        <w:numPr>
          <w:ilvl w:val="0"/>
          <w:numId w:val="1017"/>
        </w:numPr>
        <w:pStyle w:val="Compact"/>
      </w:pPr>
      <w:r>
        <w:t xml:space="preserve">Aprende controles de temperatura, etiquetado y rotación de existencias.</w:t>
      </w:r>
    </w:p>
    <w:p>
      <w:pPr>
        <w:numPr>
          <w:ilvl w:val="0"/>
          <w:numId w:val="1017"/>
        </w:numPr>
        <w:pStyle w:val="Compact"/>
      </w:pPr>
      <w:r>
        <w:t xml:space="preserve">Mejora rutinas de limpieza y cierre.</w:t>
      </w:r>
    </w:p>
    <w:bookmarkEnd w:id="48"/>
    <w:bookmarkStart w:id="49" w:name="semanas-56--aumenta-la-consistencia"/>
    <w:p>
      <w:pPr>
        <w:pStyle w:val="Heading3"/>
      </w:pPr>
      <w:r>
        <w:t xml:space="preserve">Semanas 5–6 — Aumenta la consistencia</w:t>
      </w:r>
    </w:p>
    <w:p>
      <w:pPr>
        <w:numPr>
          <w:ilvl w:val="0"/>
          <w:numId w:val="1018"/>
        </w:numPr>
        <w:pStyle w:val="Compact"/>
      </w:pPr>
      <w:r>
        <w:t xml:space="preserve">Enfócate en el control de porciones y calidad repetible.</w:t>
      </w:r>
    </w:p>
    <w:p>
      <w:pPr>
        <w:numPr>
          <w:ilvl w:val="0"/>
          <w:numId w:val="1018"/>
        </w:numPr>
        <w:pStyle w:val="Compact"/>
      </w:pPr>
      <w:r>
        <w:t xml:space="preserve">Practica comunicación durante periodos de alta demanda.</w:t>
      </w:r>
    </w:p>
    <w:p>
      <w:pPr>
        <w:numPr>
          <w:ilvl w:val="0"/>
          <w:numId w:val="1018"/>
        </w:numPr>
        <w:pStyle w:val="Compact"/>
      </w:pPr>
      <w:r>
        <w:t xml:space="preserve">Aprende a reportar desperdicios y faltantes.</w:t>
      </w:r>
    </w:p>
    <w:bookmarkEnd w:id="49"/>
    <w:bookmarkStart w:id="50" w:name="semanas-78--capacitación-cruzada"/>
    <w:p>
      <w:pPr>
        <w:pStyle w:val="Heading3"/>
      </w:pPr>
      <w:r>
        <w:t xml:space="preserve">Semanas 7–8 — Capacitación cruzada</w:t>
      </w:r>
    </w:p>
    <w:p>
      <w:pPr>
        <w:numPr>
          <w:ilvl w:val="0"/>
          <w:numId w:val="1019"/>
        </w:numPr>
        <w:pStyle w:val="Compact"/>
      </w:pPr>
      <w:r>
        <w:t xml:space="preserve">Aprende una segunda estación o función de producción.</w:t>
      </w:r>
    </w:p>
    <w:p>
      <w:pPr>
        <w:numPr>
          <w:ilvl w:val="0"/>
          <w:numId w:val="1019"/>
        </w:numPr>
        <w:pStyle w:val="Compact"/>
      </w:pPr>
      <w:r>
        <w:t xml:space="preserve">Practica tareas de recepción o inventario dentro de tu autoridad.</w:t>
      </w:r>
    </w:p>
    <w:p>
      <w:pPr>
        <w:numPr>
          <w:ilvl w:val="0"/>
          <w:numId w:val="1019"/>
        </w:numPr>
        <w:pStyle w:val="Compact"/>
      </w:pPr>
      <w:r>
        <w:t xml:space="preserve">Aprende cómo la planificación de preparación apoya el flujo del servicio.</w:t>
      </w:r>
    </w:p>
    <w:bookmarkEnd w:id="50"/>
    <w:bookmarkStart w:id="51" w:name="semanas-910--construye-evidencia"/>
    <w:p>
      <w:pPr>
        <w:pStyle w:val="Heading3"/>
      </w:pPr>
      <w:r>
        <w:t xml:space="preserve">Semanas 9–10 — Construye evidencia</w:t>
      </w:r>
    </w:p>
    <w:p>
      <w:pPr>
        <w:numPr>
          <w:ilvl w:val="0"/>
          <w:numId w:val="1020"/>
        </w:numPr>
        <w:pStyle w:val="Compact"/>
      </w:pPr>
      <w:r>
        <w:t xml:space="preserve">Documenta la capacitación completada.</w:t>
      </w:r>
    </w:p>
    <w:p>
      <w:pPr>
        <w:numPr>
          <w:ilvl w:val="0"/>
          <w:numId w:val="1020"/>
        </w:numPr>
        <w:pStyle w:val="Compact"/>
      </w:pPr>
      <w:r>
        <w:t xml:space="preserve">Registra mejoras en velocidad, desperdicio, consistencia, organización o seguridad sin divulgar información confidencial.</w:t>
      </w:r>
    </w:p>
    <w:bookmarkEnd w:id="51"/>
    <w:bookmarkStart w:id="52" w:name="semanas-1112--prepárate-para-avanzar"/>
    <w:p>
      <w:pPr>
        <w:pStyle w:val="Heading3"/>
      </w:pPr>
      <w:r>
        <w:t xml:space="preserve">Semanas 11–12 — Prepárate para avanzar</w:t>
      </w:r>
    </w:p>
    <w:p>
      <w:pPr>
        <w:numPr>
          <w:ilvl w:val="0"/>
          <w:numId w:val="1021"/>
        </w:numPr>
        <w:pStyle w:val="Compact"/>
      </w:pPr>
      <w:r>
        <w:t xml:space="preserve">Pregunta qué distingue tu puesto actual de funciones de lead cook, chef de partie o supervisor.</w:t>
      </w:r>
    </w:p>
    <w:p>
      <w:pPr>
        <w:numPr>
          <w:ilvl w:val="0"/>
          <w:numId w:val="1021"/>
        </w:numPr>
        <w:pStyle w:val="Compact"/>
      </w:pPr>
      <w:r>
        <w:t xml:space="preserve">Identifica habilidades o credenciales faltantes.</w:t>
      </w:r>
    </w:p>
    <w:p>
      <w:pPr>
        <w:numPr>
          <w:ilvl w:val="0"/>
          <w:numId w:val="1021"/>
        </w:numPr>
        <w:pStyle w:val="Compact"/>
      </w:pPr>
      <w:r>
        <w:t xml:space="preserve">Solicita retroalimentación y postúlate a oportunidades apropiadas del siguiente nivel.</w:t>
      </w:r>
    </w:p>
    <w:bookmarkEnd w:id="52"/>
    <w:bookmarkEnd w:id="53"/>
    <w:bookmarkStart w:id="54" w:name="ideas-para-desarrollar-experiencia"/>
    <w:p>
      <w:pPr>
        <w:pStyle w:val="Heading2"/>
      </w:pPr>
      <w:r>
        <w:t xml:space="preserve">Ideas para desarrollar experiencia</w:t>
      </w:r>
    </w:p>
    <w:p>
      <w:pPr>
        <w:pStyle w:val="FirstParagraph"/>
      </w:pPr>
      <w:r>
        <w:t xml:space="preserve">La experiencia útil puede provenir de:</w:t>
      </w:r>
    </w:p>
    <w:p>
      <w:pPr>
        <w:numPr>
          <w:ilvl w:val="0"/>
          <w:numId w:val="1022"/>
        </w:numPr>
        <w:pStyle w:val="Compact"/>
      </w:pPr>
      <w:r>
        <w:t xml:space="preserve">dominar una estación;</w:t>
      </w:r>
    </w:p>
    <w:p>
      <w:pPr>
        <w:numPr>
          <w:ilvl w:val="0"/>
          <w:numId w:val="1022"/>
        </w:numPr>
        <w:pStyle w:val="Compact"/>
      </w:pPr>
      <w:r>
        <w:t xml:space="preserve">capacitar a un empleado nuevo en una tarea rutinaria;</w:t>
      </w:r>
    </w:p>
    <w:p>
      <w:pPr>
        <w:numPr>
          <w:ilvl w:val="0"/>
          <w:numId w:val="1022"/>
        </w:numPr>
        <w:pStyle w:val="Compact"/>
      </w:pPr>
      <w:r>
        <w:t xml:space="preserve">mejorar una lista de preparación o cierre;</w:t>
      </w:r>
    </w:p>
    <w:p>
      <w:pPr>
        <w:numPr>
          <w:ilvl w:val="0"/>
          <w:numId w:val="1022"/>
        </w:numPr>
        <w:pStyle w:val="Compact"/>
      </w:pPr>
      <w:r>
        <w:t xml:space="preserve">reducir desperdicios o errores de inventario;</w:t>
      </w:r>
    </w:p>
    <w:p>
      <w:pPr>
        <w:numPr>
          <w:ilvl w:val="0"/>
          <w:numId w:val="1022"/>
        </w:numPr>
        <w:pStyle w:val="Compact"/>
      </w:pPr>
      <w:r>
        <w:t xml:space="preserve">apoyar una inspección de inocuidad de alimentos;</w:t>
      </w:r>
    </w:p>
    <w:p>
      <w:pPr>
        <w:numPr>
          <w:ilvl w:val="0"/>
          <w:numId w:val="1022"/>
        </w:numPr>
        <w:pStyle w:val="Compact"/>
      </w:pPr>
      <w:r>
        <w:t xml:space="preserve">participar en el lanzamiento de un menú;</w:t>
      </w:r>
    </w:p>
    <w:p>
      <w:pPr>
        <w:numPr>
          <w:ilvl w:val="0"/>
          <w:numId w:val="1022"/>
        </w:numPr>
        <w:pStyle w:val="Compact"/>
      </w:pPr>
      <w:r>
        <w:t xml:space="preserve">mejorar etiquetado o rotación de existencias;</w:t>
      </w:r>
    </w:p>
    <w:p>
      <w:pPr>
        <w:numPr>
          <w:ilvl w:val="0"/>
          <w:numId w:val="1022"/>
        </w:numPr>
        <w:pStyle w:val="Compact"/>
      </w:pPr>
      <w:r>
        <w:t xml:space="preserve">ayudar a implementar un nuevo proceso POS, de inventario o pedidos.</w:t>
      </w:r>
    </w:p>
    <w:p>
      <w:pPr>
        <w:pStyle w:val="FirstParagraph"/>
      </w:pPr>
      <w:r>
        <w:t xml:space="preserve">Describe la acción y el resultado sin revelar información confidencial del empleador.</w:t>
      </w:r>
    </w:p>
    <w:bookmarkEnd w:id="54"/>
    <w:bookmarkStart w:id="55" w:name="progresión-profesional"/>
    <w:p>
      <w:pPr>
        <w:pStyle w:val="Heading2"/>
      </w:pPr>
      <w:r>
        <w:t xml:space="preserve">Progresión profesional</w:t>
      </w:r>
    </w:p>
    <w:p>
      <w:pPr>
        <w:pStyle w:val="FirstParagraph"/>
      </w:pPr>
      <w:r>
        <w:t xml:space="preserve">Posibles trayectorias incluyen:</w:t>
      </w:r>
    </w:p>
    <w:p>
      <w:pPr>
        <w:numPr>
          <w:ilvl w:val="0"/>
          <w:numId w:val="1023"/>
        </w:numPr>
        <w:pStyle w:val="Compact"/>
      </w:pPr>
      <w:r>
        <w:t xml:space="preserve">trabajador/a de preparación de alimentos o ayudante de cocina;</w:t>
      </w:r>
    </w:p>
    <w:p>
      <w:pPr>
        <w:numPr>
          <w:ilvl w:val="0"/>
          <w:numId w:val="1023"/>
        </w:numPr>
        <w:pStyle w:val="Compact"/>
      </w:pPr>
      <w:r>
        <w:t xml:space="preserve">prep cook;</w:t>
      </w:r>
    </w:p>
    <w:p>
      <w:pPr>
        <w:numPr>
          <w:ilvl w:val="0"/>
          <w:numId w:val="1023"/>
        </w:numPr>
        <w:pStyle w:val="Compact"/>
      </w:pPr>
      <w:r>
        <w:t xml:space="preserve">line cook;</w:t>
      </w:r>
    </w:p>
    <w:p>
      <w:pPr>
        <w:numPr>
          <w:ilvl w:val="0"/>
          <w:numId w:val="1023"/>
        </w:numPr>
        <w:pStyle w:val="Compact"/>
      </w:pPr>
      <w:r>
        <w:t xml:space="preserve">cocinero/a de restaurante;</w:t>
      </w:r>
    </w:p>
    <w:p>
      <w:pPr>
        <w:numPr>
          <w:ilvl w:val="0"/>
          <w:numId w:val="1023"/>
        </w:numPr>
        <w:pStyle w:val="Compact"/>
      </w:pPr>
      <w:r>
        <w:t xml:space="preserve">cocinero/a de producción o institucional;</w:t>
      </w:r>
    </w:p>
    <w:p>
      <w:pPr>
        <w:numPr>
          <w:ilvl w:val="0"/>
          <w:numId w:val="1023"/>
        </w:numPr>
        <w:pStyle w:val="Compact"/>
      </w:pPr>
      <w:r>
        <w:t xml:space="preserve">lead cook o chef de partie;</w:t>
      </w:r>
    </w:p>
    <w:p>
      <w:pPr>
        <w:numPr>
          <w:ilvl w:val="0"/>
          <w:numId w:val="1023"/>
        </w:numPr>
        <w:pStyle w:val="Compact"/>
      </w:pPr>
      <w:r>
        <w:t xml:space="preserve">sous chef;</w:t>
      </w:r>
    </w:p>
    <w:p>
      <w:pPr>
        <w:numPr>
          <w:ilvl w:val="0"/>
          <w:numId w:val="1023"/>
        </w:numPr>
        <w:pStyle w:val="Compact"/>
      </w:pPr>
      <w:r>
        <w:t xml:space="preserve">chef o jefe/a de cocina;</w:t>
      </w:r>
    </w:p>
    <w:p>
      <w:pPr>
        <w:numPr>
          <w:ilvl w:val="0"/>
          <w:numId w:val="1023"/>
        </w:numPr>
        <w:pStyle w:val="Compact"/>
      </w:pPr>
      <w:r>
        <w:t xml:space="preserve">supervisor/a de cocina o puestos de gestión de servicios de alimentos cuando las calificaciones y la autoridad permitan el avance.</w:t>
      </w:r>
    </w:p>
    <w:p>
      <w:pPr>
        <w:pStyle w:val="FirstParagraph"/>
      </w:pPr>
      <w:r>
        <w:t xml:space="preserve">La progresión no es automática y los títulos varían ampliamente según el empleador.</w:t>
      </w:r>
    </w:p>
    <w:bookmarkEnd w:id="55"/>
    <w:bookmarkStart w:id="56" w:name="Xcb9ae8eb420e37e111137a7561c22f496ba7ab2"/>
    <w:p>
      <w:pPr>
        <w:pStyle w:val="Heading2"/>
      </w:pPr>
      <w:r>
        <w:t xml:space="preserve">Antes de aceptar un empleo o programa de capacitación</w:t>
      </w:r>
    </w:p>
    <w:p>
      <w:pPr>
        <w:pStyle w:val="FirstParagraph"/>
      </w:pPr>
      <w:r>
        <w:t xml:space="preserve">Verifica:</w:t>
      </w:r>
    </w:p>
    <w:p>
      <w:pPr>
        <w:numPr>
          <w:ilvl w:val="0"/>
          <w:numId w:val="1024"/>
        </w:numPr>
        <w:pStyle w:val="Compact"/>
      </w:pPr>
      <w:r>
        <w:t xml:space="preserve">si el puesto es por hora o asalariado;</w:t>
      </w:r>
    </w:p>
    <w:p>
      <w:pPr>
        <w:numPr>
          <w:ilvl w:val="0"/>
          <w:numId w:val="1024"/>
        </w:numPr>
        <w:pStyle w:val="Compact"/>
      </w:pPr>
      <w:r>
        <w:t xml:space="preserve">horas semanales esperadas y reglas de horas extra;</w:t>
      </w:r>
    </w:p>
    <w:p>
      <w:pPr>
        <w:numPr>
          <w:ilvl w:val="0"/>
          <w:numId w:val="1024"/>
        </w:numPr>
        <w:pStyle w:val="Compact"/>
      </w:pPr>
      <w:r>
        <w:t xml:space="preserve">expectativas de noches, fines de semana, días festivos y turnos divididos;</w:t>
      </w:r>
    </w:p>
    <w:p>
      <w:pPr>
        <w:numPr>
          <w:ilvl w:val="0"/>
          <w:numId w:val="1024"/>
        </w:numPr>
        <w:pStyle w:val="Compact"/>
      </w:pPr>
      <w:r>
        <w:t xml:space="preserve">requisitos de credenciales de inocuidad de alimentos;</w:t>
      </w:r>
    </w:p>
    <w:p>
      <w:pPr>
        <w:numPr>
          <w:ilvl w:val="0"/>
          <w:numId w:val="1024"/>
        </w:numPr>
        <w:pStyle w:val="Compact"/>
      </w:pPr>
      <w:r>
        <w:t xml:space="preserve">si el empleador paga los costos de capacitación y examen;</w:t>
      </w:r>
    </w:p>
    <w:p>
      <w:pPr>
        <w:numPr>
          <w:ilvl w:val="0"/>
          <w:numId w:val="1024"/>
        </w:numPr>
        <w:pStyle w:val="Compact"/>
      </w:pPr>
      <w:r>
        <w:t xml:space="preserve">requisitos físicos;</w:t>
      </w:r>
    </w:p>
    <w:p>
      <w:pPr>
        <w:numPr>
          <w:ilvl w:val="0"/>
          <w:numId w:val="1024"/>
        </w:numPr>
        <w:pStyle w:val="Compact"/>
      </w:pPr>
      <w:r>
        <w:t xml:space="preserve">requisitos de herramientas, uniforme, cuchillos o calzado;</w:t>
      </w:r>
    </w:p>
    <w:p>
      <w:pPr>
        <w:numPr>
          <w:ilvl w:val="0"/>
          <w:numId w:val="1024"/>
        </w:numPr>
        <w:pStyle w:val="Compact"/>
      </w:pPr>
      <w:r>
        <w:t xml:space="preserve">si el tiempo de capacitación es remunerado;</w:t>
      </w:r>
    </w:p>
    <w:p>
      <w:pPr>
        <w:numPr>
          <w:ilvl w:val="0"/>
          <w:numId w:val="1024"/>
        </w:numPr>
        <w:pStyle w:val="Compact"/>
      </w:pPr>
      <w:r>
        <w:t xml:space="preserve">criterios de aprendizaje o promoción;</w:t>
      </w:r>
    </w:p>
    <w:p>
      <w:pPr>
        <w:numPr>
          <w:ilvl w:val="0"/>
          <w:numId w:val="1024"/>
        </w:numPr>
        <w:pStyle w:val="Compact"/>
      </w:pPr>
      <w:r>
        <w:t xml:space="preserve">acceso a sistemas de horarios, POS, pagos o inventario;</w:t>
      </w:r>
    </w:p>
    <w:p>
      <w:pPr>
        <w:numPr>
          <w:ilvl w:val="0"/>
          <w:numId w:val="1024"/>
        </w:numPr>
        <w:pStyle w:val="Compact"/>
      </w:pPr>
      <w:r>
        <w:t xml:space="preserve">proceso de adaptación;</w:t>
      </w:r>
    </w:p>
    <w:p>
      <w:pPr>
        <w:numPr>
          <w:ilvl w:val="0"/>
          <w:numId w:val="1024"/>
        </w:numPr>
        <w:pStyle w:val="Compact"/>
      </w:pPr>
      <w:r>
        <w:t xml:space="preserve">costo total de la escuela o programa y si la credencial mejora el acceso al empleo objetivo.</w:t>
      </w:r>
    </w:p>
    <w:bookmarkEnd w:id="56"/>
    <w:bookmarkStart w:id="74" w:name="lista-de-fuentes-controladas"/>
    <w:p>
      <w:pPr>
        <w:pStyle w:val="Heading2"/>
      </w:pPr>
      <w:r>
        <w:t xml:space="preserve">Lista de fuentes controladas</w:t>
      </w:r>
    </w:p>
    <w:p>
      <w:pPr>
        <w:numPr>
          <w:ilvl w:val="0"/>
          <w:numId w:val="1025"/>
        </w:numPr>
        <w:pStyle w:val="Compact"/>
      </w:pPr>
      <w:hyperlink r:id="rId57">
        <w:hyperlink r:id="rId57">
          <w:r>
            <w:rPr>
              <w:rStyle w:val="Hyperlink"/>
            </w:rPr>
            <w:t xml:space="preserve">Source link</w:t>
          </w:r>
        </w:hyperlink>
      </w:hyperlink>
    </w:p>
    <w:p>
      <w:pPr>
        <w:numPr>
          <w:ilvl w:val="0"/>
          <w:numId w:val="1025"/>
        </w:numPr>
        <w:pStyle w:val="Compact"/>
      </w:pPr>
      <w:hyperlink r:id="rId58">
        <w:hyperlink r:id="rId58">
          <w:r>
            <w:rPr>
              <w:rStyle w:val="Hyperlink"/>
            </w:rPr>
            <w:t xml:space="preserve">Source link</w:t>
          </w:r>
        </w:hyperlink>
      </w:hyperlink>
    </w:p>
    <w:p>
      <w:pPr>
        <w:numPr>
          <w:ilvl w:val="0"/>
          <w:numId w:val="1025"/>
        </w:numPr>
        <w:pStyle w:val="Compact"/>
      </w:pPr>
      <w:hyperlink r:id="rId59">
        <w:hyperlink r:id="rId59">
          <w:r>
            <w:rPr>
              <w:rStyle w:val="Hyperlink"/>
            </w:rPr>
            <w:t xml:space="preserve">Source link</w:t>
          </w:r>
        </w:hyperlink>
      </w:hyperlink>
    </w:p>
    <w:p>
      <w:pPr>
        <w:numPr>
          <w:ilvl w:val="0"/>
          <w:numId w:val="1025"/>
        </w:numPr>
        <w:pStyle w:val="Compact"/>
      </w:pPr>
      <w:hyperlink r:id="rId60">
        <w:hyperlink r:id="rId60">
          <w:r>
            <w:rPr>
              <w:rStyle w:val="Hyperlink"/>
            </w:rPr>
            <w:t xml:space="preserve">Source link</w:t>
          </w:r>
        </w:hyperlink>
      </w:hyperlink>
    </w:p>
    <w:p>
      <w:pPr>
        <w:numPr>
          <w:ilvl w:val="0"/>
          <w:numId w:val="1025"/>
        </w:numPr>
        <w:pStyle w:val="Compact"/>
      </w:pPr>
      <w:hyperlink r:id="rId61">
        <w:hyperlink r:id="rId61">
          <w:r>
            <w:rPr>
              <w:rStyle w:val="Hyperlink"/>
            </w:rPr>
            <w:t xml:space="preserve">Source link</w:t>
          </w:r>
        </w:hyperlink>
      </w:hyperlink>
    </w:p>
    <w:p>
      <w:pPr>
        <w:numPr>
          <w:ilvl w:val="0"/>
          <w:numId w:val="1025"/>
        </w:numPr>
        <w:pStyle w:val="Compact"/>
      </w:pPr>
      <w:hyperlink r:id="rId62">
        <w:hyperlink r:id="rId62">
          <w:r>
            <w:rPr>
              <w:rStyle w:val="Hyperlink"/>
            </w:rPr>
            <w:t xml:space="preserve">Source link</w:t>
          </w:r>
        </w:hyperlink>
      </w:hyperlink>
    </w:p>
    <w:p>
      <w:pPr>
        <w:numPr>
          <w:ilvl w:val="0"/>
          <w:numId w:val="1025"/>
        </w:numPr>
        <w:pStyle w:val="Compact"/>
      </w:pPr>
      <w:hyperlink r:id="rId63">
        <w:hyperlink r:id="rId63">
          <w:r>
            <w:rPr>
              <w:rStyle w:val="Hyperlink"/>
            </w:rPr>
            <w:t xml:space="preserve">Source link</w:t>
          </w:r>
        </w:hyperlink>
      </w:hyperlink>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hyperlink r:id="rId70">
          <w:r>
            <w:rPr>
              <w:rStyle w:val="Hyperlink"/>
            </w:rPr>
            <w:t xml:space="preserve">Source link</w:t>
          </w:r>
        </w:hyperlink>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hyperlink r:id="rId73">
          <w:r>
            <w:rPr>
              <w:rStyle w:val="Hyperlink"/>
            </w:rPr>
            <w:t xml:space="preserve">Source link</w:t>
          </w:r>
        </w:hyperlink>
      </w:hyperlink>
    </w:p>
    <w:bookmarkEnd w:id="74"/>
    <w:bookmarkStart w:id="75" w:name="aviso-importante"/>
    <w:p>
      <w:pPr>
        <w:pStyle w:val="Heading2"/>
      </w:pPr>
      <w:r>
        <w:t xml:space="preserve">Aviso importante</w:t>
      </w:r>
    </w:p>
    <w:p>
      <w:pPr>
        <w:pStyle w:val="FirstParagraph"/>
      </w:pPr>
      <w:r>
        <w:t xml:space="preserve">Esta guía proporciona información general educativa y de planificación profesional. No garantiza empleo, ingresos, admisión, financiamiento, certificación, licencias, promoción, colocación en aprendizaje ni ningún otro resultado. Los requisitos varían según jurisdicción, empleador, tipo de establecimiento y momento. Verifica siempre los requisitos actuales con el empleador y la autoridad gubernamental correspondientes.</w:t>
      </w:r>
    </w:p>
    <w:bookmarkEnd w:id="75"/>
    <w:bookmarkStart w:id="76" w:name="límite-de-garantía"/>
    <w:p>
      <w:pPr>
        <w:pStyle w:val="Heading2"/>
      </w:pPr>
      <w:r>
        <w:t xml:space="preserve">Límite de garantía</w:t>
      </w:r>
    </w:p>
    <w:p>
      <w:pPr>
        <w:pStyle w:val="FirstParagraph"/>
      </w:pPr>
      <w:r>
        <w:t xml:space="preserve">Este borrador maestro de Versión 2 fue desarrollado mediante investigación y revisión editorial internas asistidas por sistemas automáticos. No constituye certificación humana independiente, certificación culinaria profesional, certificación profesional de inocuidad de alimentos, certificación profesional de traducción, revisión legal, certificación de accesibilidad, acreditación, asesoría de licencias, aprobación regulatoria ni garantía de empleo o ingresos.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betowa.sena.edu.co/oferta/cocina-basica-nivel-1?modality=P&amp;programId=14074" TargetMode="External" /><Relationship Type="http://schemas.openxmlformats.org/officeDocument/2006/relationships/hyperlink" Id="rId69" Target="https://betowa.sena.edu.co/oferta/cocina?location=57011001&amp;modality=P&amp;programId=76525" TargetMode="External" /><Relationship Type="http://schemas.openxmlformats.org/officeDocument/2006/relationships/hyperlink" Id="rId61" Target="https://www.bls.gov/ooh/food-preparation-and-serving/cooks.htm" TargetMode="External" /><Relationship Type="http://schemas.openxmlformats.org/officeDocument/2006/relationships/hyperlink" Id="rId72" Target="https://www.careeronestop.org/FindTraining/find-training.aspx"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64" Target="https://www.fda.gov/food/fda-food-code/food-code-2022" TargetMode="External" /><Relationship Type="http://schemas.openxmlformats.org/officeDocument/2006/relationships/hyperlink" Id="rId65" Target="https://www.fda.gov/food/hfp-constituent-updates/fda-releases-supplement-2022-food-code" TargetMode="External" /><Relationship Type="http://schemas.openxmlformats.org/officeDocument/2006/relationships/hyperlink" Id="rId63" Target="https://www.fda.gov/food/retail-food-protection/fda-food-code" TargetMode="External" /><Relationship Type="http://schemas.openxmlformats.org/officeDocument/2006/relationships/hyperlink" Id="rId73" Target="https://www.ilo.org/es/centro-interamericano-para-el-desarrollo-del-conocimiento-en-la-formacion" TargetMode="External" /><Relationship Type="http://schemas.openxmlformats.org/officeDocument/2006/relationships/hyperlink" Id="rId68" Target="https://www.jobbank.gc.ca/marketreport/requirements/6229/ca" TargetMode="External" /><Relationship Type="http://schemas.openxmlformats.org/officeDocument/2006/relationships/hyperlink" Id="rId66" Target="https://www.jobbank.gc.ca/marketreport/summary-occupation/6224/ca" TargetMode="External" /><Relationship Type="http://schemas.openxmlformats.org/officeDocument/2006/relationships/hyperlink" Id="rId67" Target="https://www.jobbank.gc.ca/wagereport/occupation/6224" TargetMode="External" /><Relationship Type="http://schemas.openxmlformats.org/officeDocument/2006/relationships/hyperlink" Id="rId58" Target="https://www.onetonline.org/link/details/35-2014.00" TargetMode="External" /><Relationship Type="http://schemas.openxmlformats.org/officeDocument/2006/relationships/hyperlink" Id="rId59" Target="https://www.onetonline.org/link/localwages/35-2014.00" TargetMode="External" /><Relationship Type="http://schemas.openxmlformats.org/officeDocument/2006/relationships/hyperlink" Id="rId60" Target="https://www.onetonline.org/link/result/35-2014.00?c=we" TargetMode="External" /><Relationship Type="http://schemas.openxmlformats.org/officeDocument/2006/relationships/hyperlink" Id="rId57" Target="https://www.onetonline.org/link/summary/35-2014.00" TargetMode="External" /><Relationship Type="http://schemas.openxmlformats.org/officeDocument/2006/relationships/hyperlink" Id="rId62" Target="https://www.ziprecruiter.com/Salaries/Cook-Salary" TargetMode="External" /></Relationships>
</file>

<file path=word/_rels/footnotes.xml.rels><?xml version="1.0" encoding="UTF-8"?><Relationships xmlns="http://schemas.openxmlformats.org/package/2006/relationships"><Relationship Type="http://schemas.openxmlformats.org/officeDocument/2006/relationships/hyperlink" Id="rId70" Target="https://betowa.sena.edu.co/oferta/cocina-basica-nivel-1?modality=P&amp;programId=14074" TargetMode="External" /><Relationship Type="http://schemas.openxmlformats.org/officeDocument/2006/relationships/hyperlink" Id="rId69" Target="https://betowa.sena.edu.co/oferta/cocina?location=57011001&amp;modality=P&amp;programId=76525" TargetMode="External" /><Relationship Type="http://schemas.openxmlformats.org/officeDocument/2006/relationships/hyperlink" Id="rId61" Target="https://www.bls.gov/ooh/food-preparation-and-serving/cooks.htm" TargetMode="External" /><Relationship Type="http://schemas.openxmlformats.org/officeDocument/2006/relationships/hyperlink" Id="rId72" Target="https://www.careeronestop.org/FindTraining/find-training.aspx"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64" Target="https://www.fda.gov/food/fda-food-code/food-code-2022" TargetMode="External" /><Relationship Type="http://schemas.openxmlformats.org/officeDocument/2006/relationships/hyperlink" Id="rId65" Target="https://www.fda.gov/food/hfp-constituent-updates/fda-releases-supplement-2022-food-code" TargetMode="External" /><Relationship Type="http://schemas.openxmlformats.org/officeDocument/2006/relationships/hyperlink" Id="rId63" Target="https://www.fda.gov/food/retail-food-protection/fda-food-code" TargetMode="External" /><Relationship Type="http://schemas.openxmlformats.org/officeDocument/2006/relationships/hyperlink" Id="rId73" Target="https://www.ilo.org/es/centro-interamericano-para-el-desarrollo-del-conocimiento-en-la-formacion" TargetMode="External" /><Relationship Type="http://schemas.openxmlformats.org/officeDocument/2006/relationships/hyperlink" Id="rId68" Target="https://www.jobbank.gc.ca/marketreport/requirements/6229/ca" TargetMode="External" /><Relationship Type="http://schemas.openxmlformats.org/officeDocument/2006/relationships/hyperlink" Id="rId66" Target="https://www.jobbank.gc.ca/marketreport/summary-occupation/6224/ca" TargetMode="External" /><Relationship Type="http://schemas.openxmlformats.org/officeDocument/2006/relationships/hyperlink" Id="rId67" Target="https://www.jobbank.gc.ca/wagereport/occupation/6224" TargetMode="External" /><Relationship Type="http://schemas.openxmlformats.org/officeDocument/2006/relationships/hyperlink" Id="rId58" Target="https://www.onetonline.org/link/details/35-2014.00" TargetMode="External" /><Relationship Type="http://schemas.openxmlformats.org/officeDocument/2006/relationships/hyperlink" Id="rId59" Target="https://www.onetonline.org/link/localwages/35-2014.00" TargetMode="External" /><Relationship Type="http://schemas.openxmlformats.org/officeDocument/2006/relationships/hyperlink" Id="rId60" Target="https://www.onetonline.org/link/result/35-2014.00?c=we" TargetMode="External" /><Relationship Type="http://schemas.openxmlformats.org/officeDocument/2006/relationships/hyperlink" Id="rId57" Target="https://www.onetonline.org/link/summary/35-2014.00" TargetMode="External" /><Relationship Type="http://schemas.openxmlformats.org/officeDocument/2006/relationships/hyperlink" Id="rId62" Target="https://www.ziprecruiter.com/Salaries/Coo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2026-08-21T04:02:30Z</dcterms:created>
  <dcterms:modified xsi:type="dcterms:W3CDTF">2026-08-21T04:02:30Z</dcterms:modified>
</cp:coreProperties>
</file>

<file path=docProps/custom.xml><?xml version="1.0" encoding="utf-8"?>
<Properties xmlns="http://schemas.openxmlformats.org/officeDocument/2006/custom-properties" xmlns:vt="http://schemas.openxmlformats.org/officeDocument/2006/docPropsVTypes"/>
</file>