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85be4410f4de3e8ad660d81bc9560ed63d64cc"/>
    <w:p>
      <w:pPr>
        <w:pStyle w:val="Heading1"/>
      </w:pPr>
      <w:r>
        <w:t xml:space="preserve">Guía de Oportunidades para Toda la Vida 03</w:t>
      </w:r>
    </w:p>
    <w:bookmarkStart w:id="20" w:name="Xde357cbaecded1cb7e4159e26f7b2b15dd58538"/>
    <w:p>
      <w:pPr>
        <w:pStyle w:val="Heading2"/>
      </w:pPr>
      <w:r>
        <w:t xml:space="preserve">Especialista en Facturación y Codificación Médica — Versión de trabajo en español latinoamericano v2</w:t>
      </w:r>
    </w:p>
    <w:p>
      <w:pPr>
        <w:pStyle w:val="FirstParagraph"/>
      </w:pPr>
      <w:r>
        <w:rPr>
          <w:bCs/>
          <w:b/>
        </w:rPr>
        <w:t xml:space="preserve">Estado de revisión controlada:</w:t>
      </w:r>
      <w:r>
        <w:t xml:space="preserve"> </w:t>
      </w:r>
      <w:r>
        <w:t xml:space="preserve">Versión de trabajo para QA factual, editorial, de traducción, accesibilidad y publicación. Aún no es una candidata final de publicación.</w:t>
      </w:r>
    </w:p>
    <w:p>
      <w:pPr>
        <w:pStyle w:val="BodyText"/>
      </w:pPr>
      <w:r>
        <w:t xml:space="preserve">Una guía gratuita y accesible de carrera y educación creada y dirigida por</w:t>
      </w:r>
      <w:r>
        <w:t xml:space="preserve"> </w:t>
      </w:r>
      <w:r>
        <w:rPr>
          <w:bCs/>
          <w:b/>
        </w:rPr>
        <w:t xml:space="preserve">Alberto “Al” Leiva</w:t>
      </w:r>
      <w:r>
        <w:t xml:space="preserve">.</w:t>
      </w:r>
    </w:p>
    <w:p>
      <w:pPr>
        <w:pStyle w:val="BodyText"/>
      </w:pPr>
      <w:r>
        <w:rPr>
          <w:bCs/>
          <w:b/>
        </w:rPr>
        <w:t xml:space="preserve">Versión:</w:t>
      </w:r>
      <w:r>
        <w:t xml:space="preserve"> </w:t>
      </w:r>
      <w:r>
        <w:t xml:space="preserve">2.0, versión de trabajo</w:t>
      </w:r>
      <w:r>
        <w:br/>
      </w:r>
      <w:r>
        <w:rPr>
          <w:bCs/>
          <w:b/>
        </w:rPr>
        <w:t xml:space="preserve">Fecha de revisión:</w:t>
      </w:r>
      <w:r>
        <w:t xml:space="preserve"> </w:t>
      </w:r>
      <w:r>
        <w:t xml:space="preserve">agosto de 2026</w:t>
      </w:r>
      <w:r>
        <w:br/>
      </w:r>
      <w:r>
        <w:rPr>
          <w:bCs/>
          <w:b/>
        </w:rPr>
        <w:t xml:space="preserve">Licencia:</w:t>
      </w:r>
      <w:r>
        <w:t xml:space="preserve"> </w:t>
      </w:r>
      <w:r>
        <w:t xml:space="preserve">CC BY-NC-SA 4.0</w:t>
      </w:r>
    </w:p>
    <w:bookmarkEnd w:id="20"/>
    <w:bookmarkStart w:id="21" w:name="la-promesa-de-esta-guía"/>
    <w:p>
      <w:pPr>
        <w:pStyle w:val="Heading2"/>
      </w:pPr>
      <w:r>
        <w:t xml:space="preserve">La promesa de esta guía</w:t>
      </w:r>
    </w:p>
    <w:p>
      <w:pPr>
        <w:pStyle w:val="FirstParagraph"/>
      </w:pPr>
      <w:r>
        <w:t xml:space="preserve">Esta guía no promete que el trabajo de facturación y codificación médica sea adecuado para todas las personas, que la educación será gratuita, que una credencial determinada será aceptada en todas partes ni que la formación conducirá a un empleo. Su propósito es ayudarle a comprender funciones relacionadas pero distintas de facturación, codificación, información de salud, registros, reclamaciones, denegaciones y ciclo de ingresos; comparar rutas realistas; verificar requisitos; y evitar compromisos costosos o engañosos.</w:t>
      </w:r>
    </w:p>
    <w:bookmarkEnd w:id="21"/>
    <w:bookmarkStart w:id="22" w:name="por-qué-creé-esta-guía"/>
    <w:p>
      <w:pPr>
        <w:pStyle w:val="Heading2"/>
      </w:pPr>
      <w:r>
        <w:t xml:space="preserve">Por qué creé esta guía</w:t>
      </w:r>
    </w:p>
    <w:p>
      <w:pPr>
        <w:pStyle w:val="FirstParagraph"/>
      </w:pPr>
      <w:r>
        <w:t xml:space="preserve">Creé las Guías de Oportunidades para Toda la Vida para ayudar a las personas a encontrar rutas realistas hacia la educación y un trabajo significativo sin quedar excluidas por edad, discapacidad, ingresos, ubicación o una trayectoria de vida no tradicional. Vivo con disgrafía y estoy dentro del espectro autista. Comencé este proyecto a los 70 años. Estas experiencias reforzaron mi convicción de que la capacidad suele quedar oculta detrás de barreras de comunicación, educación, costo y acceso.</w:t>
      </w:r>
    </w:p>
    <w:p>
      <w:pPr>
        <w:pStyle w:val="BodyText"/>
      </w:pPr>
      <w:r>
        <w:t xml:space="preserve">La facturación y la codificación médica pueden ser una dirección profesional práctica o un puente hacia trabajos relacionados con información de salud y ciclo de ingresos. El propósito de este manual es mostrar las tareas reales, los riesgos, las opciones educativas, las posibilidades de financiamiento, las protecciones laborales y las rutas de salida antes de que una persona gaste dinero o acepte obligaciones.</w:t>
      </w:r>
    </w:p>
    <w:bookmarkEnd w:id="22"/>
    <w:bookmarkStart w:id="23" w:name="reconocimiento-de-la-asistencia-de-ia"/>
    <w:p>
      <w:pPr>
        <w:pStyle w:val="Heading2"/>
      </w:pPr>
      <w:r>
        <w:t xml:space="preserve">Reconocimiento de la asistencia de IA</w:t>
      </w:r>
    </w:p>
    <w:p>
      <w:pPr>
        <w:pStyle w:val="FirstParagraph"/>
      </w:pPr>
      <w:r>
        <w:t xml:space="preserve">Concebí, dirigí y asumo la responsabilidad de esta guía. Utilicé ChatGPT de OpenAI como herramienta de colaboración para apoyar la investigación de recursos públicos, organizar ideas, mejorar ortografía y gramática, fortalecer la claridad, comparar evidencia de fuentes y preparar el documento. La asistencia de IA no sustituye las fuentes oficiales, los profesionales calificados, el juicio humano responsable ni la obligación del lector de verificar información importante.</w:t>
      </w:r>
    </w:p>
    <w:bookmarkEnd w:id="23"/>
    <w:bookmarkStart w:id="24" w:name="límites-éticos-y-prácticos"/>
    <w:p>
      <w:pPr>
        <w:pStyle w:val="Heading2"/>
      </w:pPr>
      <w:r>
        <w:t xml:space="preserve">Límites éticos y prácticos</w:t>
      </w:r>
    </w:p>
    <w:p>
      <w:pPr>
        <w:numPr>
          <w:ilvl w:val="0"/>
          <w:numId w:val="1001"/>
        </w:numPr>
        <w:pStyle w:val="Compact"/>
      </w:pPr>
      <w:r>
        <w:t xml:space="preserve">Ninguna evaluación de carrera puede garantizar satisfacción, empleo, ascenso, financiamiento, certificación, licencia o ingresos.</w:t>
      </w:r>
    </w:p>
    <w:p>
      <w:pPr>
        <w:numPr>
          <w:ilvl w:val="0"/>
          <w:numId w:val="1001"/>
        </w:numPr>
        <w:pStyle w:val="Compact"/>
      </w:pPr>
      <w:r>
        <w:t xml:space="preserve">Los requisitos varían según empleador, pagador, jurisdicción, entorno laboral, contrato y cliente.</w:t>
      </w:r>
    </w:p>
    <w:p>
      <w:pPr>
        <w:numPr>
          <w:ilvl w:val="0"/>
          <w:numId w:val="1001"/>
        </w:numPr>
        <w:pStyle w:val="Compact"/>
      </w:pPr>
      <w:r>
        <w:t xml:space="preserve">La codificación médica, la facturación médica, la gestión de información de salud, el trabajo con registros y las funciones de ciclo de ingresos se superponen, pero no constituyen una sola ocupación idéntica.</w:t>
      </w:r>
    </w:p>
    <w:p>
      <w:pPr>
        <w:numPr>
          <w:ilvl w:val="0"/>
          <w:numId w:val="1001"/>
        </w:numPr>
        <w:pStyle w:val="Compact"/>
      </w:pPr>
      <w:r>
        <w:t xml:space="preserve">Esta guía ofrece educación y orientación general, no asesoría individualizada legal, tributaria, médica, de codificación y cumplimiento, privacidad, inmigración, finanzas ni orientación profesional sujeta a licencia.</w:t>
      </w:r>
    </w:p>
    <w:p>
      <w:pPr>
        <w:numPr>
          <w:ilvl w:val="0"/>
          <w:numId w:val="1001"/>
        </w:numPr>
        <w:pStyle w:val="Compact"/>
      </w:pPr>
      <w:r>
        <w:t xml:space="preserve">No pague una tarifa grande no reembolsable, no se endeude ni firme un acuerdo de reembolso porque alguien lo presione para actuar de inmediato.</w:t>
      </w:r>
    </w:p>
    <w:p>
      <w:pPr>
        <w:numPr>
          <w:ilvl w:val="0"/>
          <w:numId w:val="1001"/>
        </w:numPr>
        <w:pStyle w:val="Compact"/>
      </w:pPr>
      <w:r>
        <w:t xml:space="preserve">Verifique los hechos de alto impacto con fuentes oficiales vigentes antes de asumir un compromiso financiero, educativo, laboral, de codificación, privacidad o legal.</w:t>
      </w:r>
    </w:p>
    <w:bookmarkEnd w:id="24"/>
    <w:bookmarkStart w:id="25" w:name="X83383be173f38f2a5ca296d201a378a0b8b5a69"/>
    <w:p>
      <w:pPr>
        <w:pStyle w:val="Heading2"/>
      </w:pPr>
      <w:r>
        <w:t xml:space="preserve">Cómo se relaciona esta guía con la Guía Fundamental</w:t>
      </w:r>
    </w:p>
    <w:p>
      <w:pPr>
        <w:pStyle w:val="FirstParagraph"/>
      </w:pPr>
      <w:r>
        <w:t xml:space="preserve">La Guía Fundamental explica el proceso de decisión de todo el proyecto, la verificación de instituciones educativas, el financiamiento de la educación, la accesibilidad, las protecciones laborales, la IA ética y los estándares de publicación. Este manual aplica esos estándares a la facturación médica, la codificación, la información de salud y el trabajo relacionado con el ciclo de ingresos.</w:t>
      </w:r>
    </w:p>
    <w:bookmarkEnd w:id="25"/>
    <w:bookmarkEnd w:id="26"/>
    <w:bookmarkStart w:id="28" w:name="X5e5a83c2e3d7df8a2b4b8ebf34ad781a08e1d75"/>
    <w:p>
      <w:pPr>
        <w:pStyle w:val="Heading1"/>
      </w:pPr>
      <w:r>
        <w:t xml:space="preserve">1. Cómo usar esta guía</w:t>
      </w:r>
    </w:p>
    <w:bookmarkStart w:id="27" w:name="reglas-para-tomar-decisiones"/>
    <w:p>
      <w:pPr>
        <w:pStyle w:val="Heading2"/>
      </w:pPr>
      <w:r>
        <w:t xml:space="preserve">Reglas para tomar decisiones</w:t>
      </w:r>
    </w:p>
    <w:p>
      <w:pPr>
        <w:numPr>
          <w:ilvl w:val="0"/>
          <w:numId w:val="1002"/>
        </w:numPr>
        <w:pStyle w:val="Compact"/>
      </w:pPr>
      <w:r>
        <w:t xml:space="preserve">No empiece escogiendo una escuela. Empiece comprendiendo el trabajo real y los requisitos de los empleadores en el mercado donde pretende trabajar.</w:t>
      </w:r>
    </w:p>
    <w:p>
      <w:pPr>
        <w:numPr>
          <w:ilvl w:val="0"/>
          <w:numId w:val="1002"/>
        </w:numPr>
        <w:pStyle w:val="Compact"/>
      </w:pPr>
      <w:r>
        <w:t xml:space="preserve">Separe los requisitos legales, las reglas del pagador o cliente, las preferencias comunes del empleador, las reglas de los organismos de credenciales y las ventajas opcionales.</w:t>
      </w:r>
    </w:p>
    <w:p>
      <w:pPr>
        <w:numPr>
          <w:ilvl w:val="0"/>
          <w:numId w:val="1002"/>
        </w:numPr>
        <w:pStyle w:val="Compact"/>
      </w:pPr>
      <w:r>
        <w:t xml:space="preserve">Revise ofertas de empleo locales actuales y fuentes oficiales antes de depender de resúmenes nacionales.</w:t>
      </w:r>
    </w:p>
    <w:p>
      <w:pPr>
        <w:numPr>
          <w:ilvl w:val="0"/>
          <w:numId w:val="1002"/>
        </w:numPr>
        <w:pStyle w:val="Compact"/>
      </w:pPr>
      <w:r>
        <w:t xml:space="preserve">Trate los datos salariales nacionales como contexto, no como una promesa personal de salario.</w:t>
      </w:r>
    </w:p>
    <w:p>
      <w:pPr>
        <w:numPr>
          <w:ilvl w:val="0"/>
          <w:numId w:val="1002"/>
        </w:numPr>
        <w:pStyle w:val="Compact"/>
      </w:pPr>
      <w:r>
        <w:t xml:space="preserve">Verifique si los empleadores que usted busca realmente solicitan una credencial antes de pagar formación o un examen.</w:t>
      </w:r>
    </w:p>
    <w:p>
      <w:pPr>
        <w:numPr>
          <w:ilvl w:val="0"/>
          <w:numId w:val="1002"/>
        </w:numPr>
        <w:pStyle w:val="Compact"/>
      </w:pPr>
      <w:r>
        <w:t xml:space="preserve">Deténgase antes de endeudarse, mudarse, comprar formación privada costosa o firmar un compromiso de servicio laboral.</w:t>
      </w:r>
    </w:p>
    <w:bookmarkEnd w:id="27"/>
    <w:bookmarkEnd w:id="28"/>
    <w:bookmarkStart w:id="31" w:name="Xded4b9e64871cbc7132962013d5edae5933fbb6"/>
    <w:p>
      <w:pPr>
        <w:pStyle w:val="Heading1"/>
      </w:pPr>
      <w:r>
        <w:t xml:space="preserve">2. En qué consiste el trabajo</w:t>
      </w:r>
    </w:p>
    <w:p>
      <w:pPr>
        <w:pStyle w:val="FirstParagraph"/>
      </w:pPr>
      <w:r>
        <w:t xml:space="preserve">Los especialistas en facturación médica generalmente trabajan con reclamaciones, pagos, denegaciones, cuentas de pacientes, requisitos de pagadores y seguimiento del ciclo de ingresos. Los especialistas en codificación médica traducen documentación clínica respaldada por evidencia en códigos estandarizados de clasificación o procedimientos conforme a las reglas de codificación aplicables. Los puestos relacionados con información de salud y registros médicos pueden incluir codificación, integridad de registros, calidad de datos, divulgación de información, cumplimiento o responsabilidades de gestión de información.</w:t>
      </w:r>
    </w:p>
    <w:p>
      <w:pPr>
        <w:pStyle w:val="BodyText"/>
      </w:pPr>
      <w:r>
        <w:t xml:space="preserve">Algunos empleadores combinan funciones de facturación y codificación. Otros las separan en puestos distintos. No suponga que un curso denominado “facturación y codificación médica” corresponde a una única ocupación estandarizada en todas partes.</w:t>
      </w:r>
    </w:p>
    <w:bookmarkStart w:id="29" w:name="títulos-comunes-en-estados-unidos"/>
    <w:p>
      <w:pPr>
        <w:pStyle w:val="Heading2"/>
      </w:pPr>
      <w:r>
        <w:t xml:space="preserve">Títulos comunes en Estados Unidos</w:t>
      </w:r>
    </w:p>
    <w:p>
      <w:pPr>
        <w:numPr>
          <w:ilvl w:val="0"/>
          <w:numId w:val="1003"/>
        </w:numPr>
        <w:pStyle w:val="Compact"/>
      </w:pPr>
      <w:r>
        <w:t xml:space="preserve">medical records specialist</w:t>
      </w:r>
    </w:p>
    <w:p>
      <w:pPr>
        <w:numPr>
          <w:ilvl w:val="0"/>
          <w:numId w:val="1003"/>
        </w:numPr>
        <w:pStyle w:val="Compact"/>
      </w:pPr>
      <w:r>
        <w:t xml:space="preserve">medical coder</w:t>
      </w:r>
    </w:p>
    <w:p>
      <w:pPr>
        <w:numPr>
          <w:ilvl w:val="0"/>
          <w:numId w:val="1003"/>
        </w:numPr>
        <w:pStyle w:val="Compact"/>
      </w:pPr>
      <w:r>
        <w:t xml:space="preserve">coding specialist</w:t>
      </w:r>
    </w:p>
    <w:p>
      <w:pPr>
        <w:numPr>
          <w:ilvl w:val="0"/>
          <w:numId w:val="1003"/>
        </w:numPr>
        <w:pStyle w:val="Compact"/>
      </w:pPr>
      <w:r>
        <w:t xml:space="preserve">medical biller</w:t>
      </w:r>
    </w:p>
    <w:p>
      <w:pPr>
        <w:numPr>
          <w:ilvl w:val="0"/>
          <w:numId w:val="1003"/>
        </w:numPr>
        <w:pStyle w:val="Compact"/>
      </w:pPr>
      <w:r>
        <w:t xml:space="preserve">billing specialist</w:t>
      </w:r>
    </w:p>
    <w:p>
      <w:pPr>
        <w:numPr>
          <w:ilvl w:val="0"/>
          <w:numId w:val="1003"/>
        </w:numPr>
        <w:pStyle w:val="Compact"/>
      </w:pPr>
      <w:r>
        <w:t xml:space="preserve">claims follow-up specialist</w:t>
      </w:r>
    </w:p>
    <w:p>
      <w:pPr>
        <w:numPr>
          <w:ilvl w:val="0"/>
          <w:numId w:val="1003"/>
        </w:numPr>
        <w:pStyle w:val="Compact"/>
      </w:pPr>
      <w:r>
        <w:t xml:space="preserve">denial management specialist</w:t>
      </w:r>
    </w:p>
    <w:p>
      <w:pPr>
        <w:numPr>
          <w:ilvl w:val="0"/>
          <w:numId w:val="1003"/>
        </w:numPr>
        <w:pStyle w:val="Compact"/>
      </w:pPr>
      <w:r>
        <w:t xml:space="preserve">revenue cycle specialist</w:t>
      </w:r>
    </w:p>
    <w:p>
      <w:pPr>
        <w:numPr>
          <w:ilvl w:val="0"/>
          <w:numId w:val="1003"/>
        </w:numPr>
        <w:pStyle w:val="Compact"/>
      </w:pPr>
      <w:r>
        <w:t xml:space="preserve">patient accounts representative</w:t>
      </w:r>
    </w:p>
    <w:p>
      <w:pPr>
        <w:numPr>
          <w:ilvl w:val="0"/>
          <w:numId w:val="1003"/>
        </w:numPr>
        <w:pStyle w:val="Compact"/>
      </w:pPr>
      <w:r>
        <w:t xml:space="preserve">health information technician o specialist</w:t>
      </w:r>
    </w:p>
    <w:p>
      <w:pPr>
        <w:pStyle w:val="FirstParagraph"/>
      </w:pPr>
      <w:r>
        <w:t xml:space="preserve">Los títulos oficiales o de mercado en inglés se conservan porque son términos útiles para buscar vacantes en Estados Unidos. Revise las funciones del puesto y no se base únicamente en el título.</w:t>
      </w:r>
    </w:p>
    <w:bookmarkEnd w:id="29"/>
    <w:bookmarkStart w:id="30" w:name="entornos-de-trabajo-comunes"/>
    <w:p>
      <w:pPr>
        <w:pStyle w:val="Heading2"/>
      </w:pPr>
      <w:r>
        <w:t xml:space="preserve">Entornos de trabajo comunes</w:t>
      </w:r>
    </w:p>
    <w:p>
      <w:pPr>
        <w:numPr>
          <w:ilvl w:val="0"/>
          <w:numId w:val="1004"/>
        </w:numPr>
        <w:pStyle w:val="Compact"/>
      </w:pPr>
      <w:r>
        <w:t xml:space="preserve">hospitales y sistemas de salud;</w:t>
      </w:r>
    </w:p>
    <w:p>
      <w:pPr>
        <w:numPr>
          <w:ilvl w:val="0"/>
          <w:numId w:val="1004"/>
        </w:numPr>
        <w:pStyle w:val="Compact"/>
      </w:pPr>
      <w:r>
        <w:t xml:space="preserve">consultorios médicos;</w:t>
      </w:r>
    </w:p>
    <w:p>
      <w:pPr>
        <w:numPr>
          <w:ilvl w:val="0"/>
          <w:numId w:val="1004"/>
        </w:numPr>
        <w:pStyle w:val="Compact"/>
      </w:pPr>
      <w:r>
        <w:t xml:space="preserve">centros ambulatorios;</w:t>
      </w:r>
    </w:p>
    <w:p>
      <w:pPr>
        <w:numPr>
          <w:ilvl w:val="0"/>
          <w:numId w:val="1004"/>
        </w:numPr>
        <w:pStyle w:val="Compact"/>
      </w:pPr>
      <w:r>
        <w:t xml:space="preserve">planes de salud y organizaciones pagadoras;</w:t>
      </w:r>
    </w:p>
    <w:p>
      <w:pPr>
        <w:numPr>
          <w:ilvl w:val="0"/>
          <w:numId w:val="1004"/>
        </w:numPr>
        <w:pStyle w:val="Compact"/>
      </w:pPr>
      <w:r>
        <w:t xml:space="preserve">empresas de facturación y ciclo de ingresos;</w:t>
      </w:r>
    </w:p>
    <w:p>
      <w:pPr>
        <w:numPr>
          <w:ilvl w:val="0"/>
          <w:numId w:val="1004"/>
        </w:numPr>
        <w:pStyle w:val="Compact"/>
      </w:pPr>
      <w:r>
        <w:t xml:space="preserve">firmas de consultoría y auditoría;</w:t>
      </w:r>
    </w:p>
    <w:p>
      <w:pPr>
        <w:numPr>
          <w:ilvl w:val="0"/>
          <w:numId w:val="1004"/>
        </w:numPr>
        <w:pStyle w:val="Compact"/>
      </w:pPr>
      <w:r>
        <w:t xml:space="preserve">departamentos de información de salud; y</w:t>
      </w:r>
    </w:p>
    <w:p>
      <w:pPr>
        <w:numPr>
          <w:ilvl w:val="0"/>
          <w:numId w:val="1004"/>
        </w:numPr>
        <w:pStyle w:val="Compact"/>
      </w:pPr>
      <w:r>
        <w:t xml:space="preserve">operaciones remotas o híbridas de ciclo de ingresos cuando el empleador lo permita.</w:t>
      </w:r>
    </w:p>
    <w:bookmarkEnd w:id="30"/>
    <w:bookmarkEnd w:id="31"/>
    <w:bookmarkStart w:id="35" w:name="Xa808ed09a8375cf326f9a0b0829e6d705b5272f"/>
    <w:p>
      <w:pPr>
        <w:pStyle w:val="Heading1"/>
      </w:pPr>
      <w:r>
        <w:t xml:space="preserve">3. Funciones, herramientas y ciclos de trabajo</w:t>
      </w:r>
    </w:p>
    <w:bookmarkStart w:id="32" w:name="funciones-principales"/>
    <w:p>
      <w:pPr>
        <w:pStyle w:val="Heading2"/>
      </w:pPr>
      <w:r>
        <w:t xml:space="preserve">Funciones principales</w:t>
      </w:r>
    </w:p>
    <w:p>
      <w:pPr>
        <w:pStyle w:val="FirstParagraph"/>
      </w:pPr>
      <w:r>
        <w:t xml:space="preserve">Según el puesto, los trabajadores pueden:</w:t>
      </w:r>
    </w:p>
    <w:p>
      <w:pPr>
        <w:numPr>
          <w:ilvl w:val="0"/>
          <w:numId w:val="1005"/>
        </w:numPr>
        <w:pStyle w:val="Compact"/>
      </w:pPr>
      <w:r>
        <w:t xml:space="preserve">revisar registros, reclamaciones e información de cuentas para verificar integridad y exactitud;</w:t>
      </w:r>
    </w:p>
    <w:p>
      <w:pPr>
        <w:numPr>
          <w:ilvl w:val="0"/>
          <w:numId w:val="1005"/>
        </w:numPr>
        <w:pStyle w:val="Compact"/>
      </w:pPr>
      <w:r>
        <w:t xml:space="preserve">asignar o validar códigos únicamente cuando la documentación y las reglas aplicables los respaldan;</w:t>
      </w:r>
    </w:p>
    <w:p>
      <w:pPr>
        <w:numPr>
          <w:ilvl w:val="0"/>
          <w:numId w:val="1005"/>
        </w:numPr>
        <w:pStyle w:val="Compact"/>
      </w:pPr>
      <w:r>
        <w:t xml:space="preserve">verificar información del paciente, encuentro, proveedor y cobertura;</w:t>
      </w:r>
    </w:p>
    <w:p>
      <w:pPr>
        <w:numPr>
          <w:ilvl w:val="0"/>
          <w:numId w:val="1005"/>
        </w:numPr>
        <w:pStyle w:val="Compact"/>
      </w:pPr>
      <w:r>
        <w:t xml:space="preserve">presentar reclamaciones mediante sistemas aprobados;</w:t>
      </w:r>
    </w:p>
    <w:p>
      <w:pPr>
        <w:numPr>
          <w:ilvl w:val="0"/>
          <w:numId w:val="1005"/>
        </w:numPr>
        <w:pStyle w:val="Compact"/>
      </w:pPr>
      <w:r>
        <w:t xml:space="preserve">registrar pagos y ajustes;</w:t>
      </w:r>
    </w:p>
    <w:p>
      <w:pPr>
        <w:numPr>
          <w:ilvl w:val="0"/>
          <w:numId w:val="1005"/>
        </w:numPr>
        <w:pStyle w:val="Compact"/>
      </w:pPr>
      <w:r>
        <w:t xml:space="preserve">investigar rechazos, denegaciones, pagos insuficientes y solicitudes de información;</w:t>
      </w:r>
    </w:p>
    <w:p>
      <w:pPr>
        <w:numPr>
          <w:ilvl w:val="0"/>
          <w:numId w:val="1005"/>
        </w:numPr>
        <w:pStyle w:val="Compact"/>
      </w:pPr>
      <w:r>
        <w:t xml:space="preserve">seguir procedimientos específicos del pagador para reclamaciones, autorizaciones y apelaciones;</w:t>
      </w:r>
    </w:p>
    <w:p>
      <w:pPr>
        <w:numPr>
          <w:ilvl w:val="0"/>
          <w:numId w:val="1005"/>
        </w:numPr>
        <w:pStyle w:val="Compact"/>
      </w:pPr>
      <w:r>
        <w:t xml:space="preserve">proteger información confidencial y de salud protegida;</w:t>
      </w:r>
    </w:p>
    <w:p>
      <w:pPr>
        <w:numPr>
          <w:ilvl w:val="0"/>
          <w:numId w:val="1005"/>
        </w:numPr>
        <w:pStyle w:val="Compact"/>
      </w:pPr>
      <w:r>
        <w:t xml:space="preserve">documentar correcciones, acciones de seguimiento y decisiones de escalamiento;</w:t>
      </w:r>
    </w:p>
    <w:p>
      <w:pPr>
        <w:numPr>
          <w:ilvl w:val="0"/>
          <w:numId w:val="1005"/>
        </w:numPr>
        <w:pStyle w:val="Compact"/>
      </w:pPr>
      <w:r>
        <w:t xml:space="preserve">identificar problemas recurrentes de denegaciones, documentación o procesos; y</w:t>
      </w:r>
    </w:p>
    <w:p>
      <w:pPr>
        <w:numPr>
          <w:ilvl w:val="0"/>
          <w:numId w:val="1005"/>
        </w:numPr>
        <w:pStyle w:val="Compact"/>
      </w:pPr>
      <w:r>
        <w:t xml:space="preserve">escalar sospechas de fraude, codificación no respaldada, preocupaciones de privacidad o problemas de cumplimiento no resueltos mediante los canales aprobados.</w:t>
      </w:r>
    </w:p>
    <w:bookmarkEnd w:id="32"/>
    <w:bookmarkStart w:id="33" w:name="Xaed701158d0ed4b33469ccffdc83975aaaca027"/>
    <w:p>
      <w:pPr>
        <w:pStyle w:val="Heading2"/>
      </w:pPr>
      <w:r>
        <w:t xml:space="preserve">Los sistemas de codificación no son intercambiables</w:t>
      </w:r>
    </w:p>
    <w:p>
      <w:pPr>
        <w:pStyle w:val="FirstParagraph"/>
      </w:pPr>
      <w:r>
        <w:t xml:space="preserve">En el trabajo en Estados Unidos se encuentran con frecuencia sistemas como:</w:t>
      </w:r>
    </w:p>
    <w:p>
      <w:pPr>
        <w:numPr>
          <w:ilvl w:val="0"/>
          <w:numId w:val="1006"/>
        </w:numPr>
        <w:pStyle w:val="Compact"/>
      </w:pPr>
      <w:r>
        <w:rPr>
          <w:bCs/>
          <w:b/>
        </w:rPr>
        <w:t xml:space="preserve">ICD-10-CM</w:t>
      </w:r>
      <w:r>
        <w:t xml:space="preserve"> </w:t>
      </w:r>
      <w:r>
        <w:t xml:space="preserve">para codificación de diagnósticos;</w:t>
      </w:r>
    </w:p>
    <w:p>
      <w:pPr>
        <w:numPr>
          <w:ilvl w:val="0"/>
          <w:numId w:val="1006"/>
        </w:numPr>
        <w:pStyle w:val="Compact"/>
      </w:pPr>
      <w:r>
        <w:rPr>
          <w:bCs/>
          <w:b/>
        </w:rPr>
        <w:t xml:space="preserve">ICD-10-PCS</w:t>
      </w:r>
      <w:r>
        <w:t xml:space="preserve"> </w:t>
      </w:r>
      <w:r>
        <w:t xml:space="preserve">para codificación de procedimientos hospitalarios en los entornos donde corresponde;</w:t>
      </w:r>
    </w:p>
    <w:p>
      <w:pPr>
        <w:numPr>
          <w:ilvl w:val="0"/>
          <w:numId w:val="1006"/>
        </w:numPr>
        <w:pStyle w:val="Compact"/>
      </w:pPr>
      <w:r>
        <w:rPr>
          <w:bCs/>
          <w:b/>
        </w:rPr>
        <w:t xml:space="preserve">CPT</w:t>
      </w:r>
      <w:r>
        <w:t xml:space="preserve">, mantenido por la American Medical Association, para muchos procedimientos y servicios médicos y ambulatorios; y</w:t>
      </w:r>
    </w:p>
    <w:p>
      <w:pPr>
        <w:numPr>
          <w:ilvl w:val="0"/>
          <w:numId w:val="1006"/>
        </w:numPr>
        <w:pStyle w:val="Compact"/>
      </w:pPr>
      <w:r>
        <w:rPr>
          <w:bCs/>
          <w:b/>
        </w:rPr>
        <w:t xml:space="preserve">HCPCS Level II</w:t>
      </w:r>
      <w:r>
        <w:t xml:space="preserve"> </w:t>
      </w:r>
      <w:r>
        <w:t xml:space="preserve">para muchos productos, suministros y servicios no representados en CPT.</w:t>
      </w:r>
    </w:p>
    <w:p>
      <w:pPr>
        <w:pStyle w:val="FirstParagraph"/>
      </w:pPr>
      <w:r>
        <w:t xml:space="preserve">Los conjuntos de códigos y las guías cambian. CMS ha publicado archivos ICD-10 con vigencia a partir del 1 de octubre de 2026, por lo que estudiantes y trabajadores deben verificar los materiales correspondientes a la fecha de vigencia correcta en lugar de tratar un solo libro de códigos como si fuera permanente.</w:t>
      </w:r>
    </w:p>
    <w:bookmarkEnd w:id="33"/>
    <w:bookmarkStart w:id="34" w:name="un-ciclo-de-trabajo-realista"/>
    <w:p>
      <w:pPr>
        <w:pStyle w:val="Heading2"/>
      </w:pPr>
      <w:r>
        <w:t xml:space="preserve">Un ciclo de trabajo realista</w:t>
      </w:r>
    </w:p>
    <w:p>
      <w:pPr>
        <w:numPr>
          <w:ilvl w:val="0"/>
          <w:numId w:val="1007"/>
        </w:numPr>
        <w:pStyle w:val="Compact"/>
      </w:pPr>
      <w:r>
        <w:t xml:space="preserve">Verifique la información del paciente, encuentro, proveedor, cobertura y autorización necesaria para la tarea.</w:t>
      </w:r>
    </w:p>
    <w:p>
      <w:pPr>
        <w:numPr>
          <w:ilvl w:val="0"/>
          <w:numId w:val="1007"/>
        </w:numPr>
        <w:pStyle w:val="Compact"/>
      </w:pPr>
      <w:r>
        <w:t xml:space="preserve">Revise la documentación y las guías aplicables de codificación, facturación o del pagador.</w:t>
      </w:r>
    </w:p>
    <w:p>
      <w:pPr>
        <w:numPr>
          <w:ilvl w:val="0"/>
          <w:numId w:val="1007"/>
        </w:numPr>
        <w:pStyle w:val="Compact"/>
      </w:pPr>
      <w:r>
        <w:t xml:space="preserve">Asigne, valide o transmita únicamente información respaldada por la documentación y el flujo de trabajo autorizado.</w:t>
      </w:r>
    </w:p>
    <w:p>
      <w:pPr>
        <w:numPr>
          <w:ilvl w:val="0"/>
          <w:numId w:val="1007"/>
        </w:numPr>
        <w:pStyle w:val="Compact"/>
      </w:pPr>
      <w:r>
        <w:t xml:space="preserve">Realice validaciones y controles de calidad.</w:t>
      </w:r>
    </w:p>
    <w:p>
      <w:pPr>
        <w:numPr>
          <w:ilvl w:val="0"/>
          <w:numId w:val="1007"/>
        </w:numPr>
        <w:pStyle w:val="Compact"/>
      </w:pPr>
      <w:r>
        <w:t xml:space="preserve">Presente o libere la reclamación mediante sistemas aprobados cuando tenga autorización.</w:t>
      </w:r>
    </w:p>
    <w:p>
      <w:pPr>
        <w:numPr>
          <w:ilvl w:val="0"/>
          <w:numId w:val="1007"/>
        </w:numPr>
        <w:pStyle w:val="Compact"/>
      </w:pPr>
      <w:r>
        <w:t xml:space="preserve">Investigue rechazos, denegaciones, pagos insuficientes o solicitudes de información.</w:t>
      </w:r>
    </w:p>
    <w:p>
      <w:pPr>
        <w:numPr>
          <w:ilvl w:val="0"/>
          <w:numId w:val="1007"/>
        </w:numPr>
        <w:pStyle w:val="Compact"/>
      </w:pPr>
      <w:r>
        <w:t xml:space="preserve">Documente la resolución y escale problemas de documentación clínica, cumplimiento, fraude o privacidad cuando corresponda.</w:t>
      </w:r>
    </w:p>
    <w:p>
      <w:pPr>
        <w:pStyle w:val="FirstParagraph"/>
      </w:pPr>
      <w:r>
        <w:t xml:space="preserve">La secuencia es ilustrativa. Los procedimientos reales deben seguir las políticas del empleador, las reglas del pagador o cliente, la ley aplicable, los controles del sistema, la supervisión y las guías de codificación vigentes.</w:t>
      </w:r>
    </w:p>
    <w:bookmarkEnd w:id="34"/>
    <w:bookmarkEnd w:id="35"/>
    <w:bookmarkStart w:id="38" w:name="Xc1f3b092a25898bae41bb5661fc3dc34957f0a5"/>
    <w:p>
      <w:pPr>
        <w:pStyle w:val="Heading1"/>
      </w:pPr>
      <w:r>
        <w:t xml:space="preserve">4. Compatibilidad, condiciones y seguridad</w:t>
      </w:r>
    </w:p>
    <w:bookmarkStart w:id="36" w:name="preguntas-de-compatibilidad-profesional"/>
    <w:p>
      <w:pPr>
        <w:pStyle w:val="Heading2"/>
      </w:pPr>
      <w:r>
        <w:t xml:space="preserve">Preguntas de compatibilidad profesional</w:t>
      </w:r>
    </w:p>
    <w:p>
      <w:pPr>
        <w:numPr>
          <w:ilvl w:val="0"/>
          <w:numId w:val="1008"/>
        </w:numPr>
        <w:pStyle w:val="Compact"/>
      </w:pPr>
      <w:r>
        <w:t xml:space="preserve">¿Las tareas repetitivas y orientadas al detalle se ajustan a su forma de prestar atención?</w:t>
      </w:r>
    </w:p>
    <w:p>
      <w:pPr>
        <w:numPr>
          <w:ilvl w:val="0"/>
          <w:numId w:val="1008"/>
        </w:numPr>
        <w:pStyle w:val="Compact"/>
      </w:pPr>
      <w:r>
        <w:t xml:space="preserve">¿Puede trabajar con precisión bajo expectativas de productividad sin sacrificar cumplimiento ni calidad de documentación?</w:t>
      </w:r>
    </w:p>
    <w:p>
      <w:pPr>
        <w:numPr>
          <w:ilvl w:val="0"/>
          <w:numId w:val="1008"/>
        </w:numPr>
        <w:pStyle w:val="Compact"/>
      </w:pPr>
      <w:r>
        <w:t xml:space="preserve">¿Se siente cómodo aprendiendo conjuntos de códigos, reglas de pagadores, terminología y software que cambian?</w:t>
      </w:r>
    </w:p>
    <w:p>
      <w:pPr>
        <w:numPr>
          <w:ilvl w:val="0"/>
          <w:numId w:val="1008"/>
        </w:numPr>
        <w:pStyle w:val="Compact"/>
      </w:pPr>
      <w:r>
        <w:t xml:space="preserve">¿Puede tolerar bastante tiempo frente a una pantalla y trabajo principalmente de escritorio?</w:t>
      </w:r>
    </w:p>
    <w:p>
      <w:pPr>
        <w:numPr>
          <w:ilvl w:val="0"/>
          <w:numId w:val="1008"/>
        </w:numPr>
        <w:pStyle w:val="Compact"/>
      </w:pPr>
      <w:r>
        <w:t xml:space="preserve">¿Puede manejar interrupciones, denegaciones, disputas de cuentas o métricas de desempeño sin tomar atajos?</w:t>
      </w:r>
    </w:p>
    <w:p>
      <w:pPr>
        <w:numPr>
          <w:ilvl w:val="0"/>
          <w:numId w:val="1008"/>
        </w:numPr>
        <w:pStyle w:val="Compact"/>
      </w:pPr>
      <w:r>
        <w:t xml:space="preserve">¿El horario, el transporte, las responsabilidades de cuidado y los requisitos del trabajo remoto son compatibles con su hogar?</w:t>
      </w:r>
    </w:p>
    <w:p>
      <w:pPr>
        <w:numPr>
          <w:ilvl w:val="0"/>
          <w:numId w:val="1008"/>
        </w:numPr>
        <w:pStyle w:val="Compact"/>
      </w:pPr>
      <w:r>
        <w:t xml:space="preserve">¿Qué adaptaciones, tecnología de apoyo, acceso lingüístico o programación predecible harían sostenible esta ruta?</w:t>
      </w:r>
    </w:p>
    <w:p>
      <w:pPr>
        <w:numPr>
          <w:ilvl w:val="0"/>
          <w:numId w:val="1008"/>
        </w:numPr>
        <w:pStyle w:val="Compact"/>
      </w:pPr>
      <w:r>
        <w:t xml:space="preserve">¿Puede ingresar al campo sin deuda insostenible ni una obligación de servicio injusta?</w:t>
      </w:r>
    </w:p>
    <w:bookmarkEnd w:id="36"/>
    <w:bookmarkStart w:id="37" w:name="cuándo-conviene-detenerse"/>
    <w:p>
      <w:pPr>
        <w:pStyle w:val="Heading2"/>
      </w:pPr>
      <w:r>
        <w:t xml:space="preserve">Cuándo conviene detenerse</w:t>
      </w:r>
    </w:p>
    <w:p>
      <w:pPr>
        <w:pStyle w:val="FirstParagraph"/>
      </w:pPr>
      <w:r>
        <w:t xml:space="preserve">Considere detenerse o cambiar de dirección cuando:</w:t>
      </w:r>
    </w:p>
    <w:p>
      <w:pPr>
        <w:numPr>
          <w:ilvl w:val="0"/>
          <w:numId w:val="1009"/>
        </w:numPr>
        <w:pStyle w:val="Compact"/>
      </w:pPr>
      <w:r>
        <w:t xml:space="preserve">las funciones reales del empleador no estén claras;</w:t>
      </w:r>
    </w:p>
    <w:p>
      <w:pPr>
        <w:numPr>
          <w:ilvl w:val="0"/>
          <w:numId w:val="1009"/>
        </w:numPr>
        <w:pStyle w:val="Compact"/>
      </w:pPr>
      <w:r>
        <w:t xml:space="preserve">una institución se niegue a proporcionar por escrito costos, resultados, acreditación, reglas de reembolso o elegibilidad para exámenes;</w:t>
      </w:r>
    </w:p>
    <w:p>
      <w:pPr>
        <w:numPr>
          <w:ilvl w:val="0"/>
          <w:numId w:val="1009"/>
        </w:numPr>
        <w:pStyle w:val="Compact"/>
      </w:pPr>
      <w:r>
        <w:t xml:space="preserve">un programa afirme sin evidencia que una sola credencial es legalmente obligatoria en todas partes;</w:t>
      </w:r>
    </w:p>
    <w:p>
      <w:pPr>
        <w:numPr>
          <w:ilvl w:val="0"/>
          <w:numId w:val="1009"/>
        </w:numPr>
        <w:pStyle w:val="Compact"/>
      </w:pPr>
      <w:r>
        <w:t xml:space="preserve">un puesto espere que usted altere documentación, codifique sin respaldo o ignore reglas del pagador o de cumplimiento;</w:t>
      </w:r>
    </w:p>
    <w:p>
      <w:pPr>
        <w:numPr>
          <w:ilvl w:val="0"/>
          <w:numId w:val="1009"/>
        </w:numPr>
        <w:pStyle w:val="Compact"/>
      </w:pPr>
      <w:r>
        <w:t xml:space="preserve">exista un conflicto no resuelto de privacidad, accesibilidad, salud, transporte o responsabilidades de cuidado; o</w:t>
      </w:r>
    </w:p>
    <w:p>
      <w:pPr>
        <w:numPr>
          <w:ilvl w:val="0"/>
          <w:numId w:val="1009"/>
        </w:numPr>
        <w:pStyle w:val="Compact"/>
      </w:pPr>
      <w:r>
        <w:t xml:space="preserve">el costo de la ruta dependa de promesas salariales especulativas.</w:t>
      </w:r>
    </w:p>
    <w:bookmarkEnd w:id="37"/>
    <w:bookmarkEnd w:id="38"/>
    <w:bookmarkStart w:id="39" w:name="X764d4dc34287bb1a09baebaaae945d72d31a602"/>
    <w:p>
      <w:pPr>
        <w:pStyle w:val="Heading1"/>
      </w:pPr>
      <w:r>
        <w:t xml:space="preserve">5. Ética, límites y escalamiento</w:t>
      </w:r>
    </w:p>
    <w:p>
      <w:pPr>
        <w:numPr>
          <w:ilvl w:val="0"/>
          <w:numId w:val="1010"/>
        </w:numPr>
        <w:pStyle w:val="Compact"/>
      </w:pPr>
      <w:r>
        <w:t xml:space="preserve">No diagnostique pacientes salvo que cuente por separado con las cualificaciones y la autorización correspondientes.</w:t>
      </w:r>
    </w:p>
    <w:p>
      <w:pPr>
        <w:numPr>
          <w:ilvl w:val="0"/>
          <w:numId w:val="1010"/>
        </w:numPr>
        <w:pStyle w:val="Compact"/>
      </w:pPr>
      <w:r>
        <w:t xml:space="preserve">No altere documentación clínica únicamente para respaldar un reembolso.</w:t>
      </w:r>
    </w:p>
    <w:p>
      <w:pPr>
        <w:numPr>
          <w:ilvl w:val="0"/>
          <w:numId w:val="1010"/>
        </w:numPr>
        <w:pStyle w:val="Compact"/>
      </w:pPr>
      <w:r>
        <w:t xml:space="preserve">No seleccione un código solo porque paga más cuando la documentación o las reglas de codificación no lo respaldan.</w:t>
      </w:r>
    </w:p>
    <w:p>
      <w:pPr>
        <w:numPr>
          <w:ilvl w:val="0"/>
          <w:numId w:val="1010"/>
        </w:numPr>
        <w:pStyle w:val="Compact"/>
      </w:pPr>
      <w:r>
        <w:t xml:space="preserve">No oculte denegaciones, hallazgos de auditoría, facturación duplicada, sospechas de fraude o errores materiales de codificación.</w:t>
      </w:r>
    </w:p>
    <w:p>
      <w:pPr>
        <w:numPr>
          <w:ilvl w:val="0"/>
          <w:numId w:val="1010"/>
        </w:numPr>
        <w:pStyle w:val="Compact"/>
      </w:pPr>
      <w:r>
        <w:t xml:space="preserve">No utilice información real de pacientes en un portafolio público ni en una herramienta pública de IA.</w:t>
      </w:r>
    </w:p>
    <w:p>
      <w:pPr>
        <w:numPr>
          <w:ilvl w:val="0"/>
          <w:numId w:val="1010"/>
        </w:numPr>
        <w:pStyle w:val="Compact"/>
      </w:pPr>
      <w:r>
        <w:t xml:space="preserve">No presente un certificado de finalización de curso como una certificación profesional cuando no lo sea.</w:t>
      </w:r>
    </w:p>
    <w:p>
      <w:pPr>
        <w:numPr>
          <w:ilvl w:val="0"/>
          <w:numId w:val="1010"/>
        </w:numPr>
        <w:pStyle w:val="Compact"/>
      </w:pPr>
      <w:r>
        <w:t xml:space="preserve">Deténgase y escale cuando falte evidencia, la autoridad no esté clara, se requiera una decisión regulada o pueda verse comprometido el cumplimiento.</w:t>
      </w:r>
    </w:p>
    <w:p>
      <w:pPr>
        <w:numPr>
          <w:ilvl w:val="0"/>
          <w:numId w:val="1010"/>
        </w:numPr>
        <w:pStyle w:val="Compact"/>
      </w:pPr>
      <w:r>
        <w:t xml:space="preserve">Documente hechos, acciones, aprobaciones y riesgos no resueltos sin exageración ni represalias.</w:t>
      </w:r>
    </w:p>
    <w:p>
      <w:pPr>
        <w:numPr>
          <w:ilvl w:val="0"/>
          <w:numId w:val="1010"/>
        </w:numPr>
        <w:pStyle w:val="Compact"/>
      </w:pPr>
      <w:r>
        <w:t xml:space="preserve">No permita que las métricas de productividad prevalezcan sobre la precisión, la privacidad, la seguridad, el trato legal o la codificación ética.</w:t>
      </w:r>
    </w:p>
    <w:bookmarkEnd w:id="39"/>
    <w:bookmarkStart w:id="45" w:name="X160a565a574a67104ef324f14bfbb332e0f40e2"/>
    <w:p>
      <w:pPr>
        <w:pStyle w:val="Heading1"/>
      </w:pPr>
      <w:r>
        <w:t xml:space="preserve">6. Remuneración, beneficios y perspectivas</w:t>
      </w:r>
    </w:p>
    <w:bookmarkStart w:id="41" w:name="X05692285a4fa947f2651b1a89b78937bf61a96f"/>
    <w:p>
      <w:pPr>
        <w:pStyle w:val="Heading2"/>
      </w:pPr>
      <w:r>
        <w:t xml:space="preserve">Estados Unidos — referencia ocupacional oficial</w:t>
      </w:r>
    </w:p>
    <w:p>
      <w:pPr>
        <w:pStyle w:val="FirstParagraph"/>
      </w:pPr>
      <w:r>
        <w:t xml:space="preserve">La categoría</w:t>
      </w:r>
      <w:r>
        <w:t xml:space="preserve"> </w:t>
      </w:r>
      <w:r>
        <w:rPr>
          <w:bCs/>
          <w:b/>
        </w:rPr>
        <w:t xml:space="preserve">Medical Records Specialists (SOC 29-2072)</w:t>
      </w:r>
      <w:r>
        <w:t xml:space="preserve"> </w:t>
      </w:r>
      <w:r>
        <w:t xml:space="preserve">del U.S. Bureau of Labor Statistics es una referencia ocupacional oficial útil para trabajos intensivos en codificación y registros de salud, pero es más amplia que el título combinado exacto “Medical Billing and Coding Specialist”. No debe presentarse como una serie salarial exacta para ese título.</w:t>
      </w:r>
    </w:p>
    <w:p>
      <w:pPr>
        <w:pStyle w:val="BodyText"/>
      </w:pPr>
      <w:r>
        <w:t xml:space="preserve">BLS informa:</w:t>
      </w:r>
    </w:p>
    <w:p>
      <w:pPr>
        <w:numPr>
          <w:ilvl w:val="0"/>
          <w:numId w:val="1011"/>
        </w:numPr>
        <w:pStyle w:val="Compact"/>
      </w:pPr>
      <w:r>
        <w:t xml:space="preserve">salario anual mediano en mayo de 2024:</w:t>
      </w:r>
      <w:r>
        <w:t xml:space="preserve"> </w:t>
      </w:r>
      <w:r>
        <w:rPr>
          <w:bCs/>
          <w:b/>
        </w:rPr>
        <w:t xml:space="preserve">US$50,250</w:t>
      </w:r>
      <w:r>
        <w:t xml:space="preserve">;</w:t>
      </w:r>
    </w:p>
    <w:p>
      <w:pPr>
        <w:numPr>
          <w:ilvl w:val="0"/>
          <w:numId w:val="1011"/>
        </w:numPr>
        <w:pStyle w:val="Compact"/>
      </w:pPr>
      <w:r>
        <w:t xml:space="preserve">aproximadamente</w:t>
      </w:r>
      <w:r>
        <w:t xml:space="preserve"> </w:t>
      </w:r>
      <w:r>
        <w:rPr>
          <w:bCs/>
          <w:b/>
        </w:rPr>
        <w:t xml:space="preserve">194,800</w:t>
      </w:r>
      <w:r>
        <w:t xml:space="preserve"> </w:t>
      </w:r>
      <w:r>
        <w:t xml:space="preserve">puestos en 2024;</w:t>
      </w:r>
    </w:p>
    <w:p>
      <w:pPr>
        <w:numPr>
          <w:ilvl w:val="0"/>
          <w:numId w:val="1011"/>
        </w:numPr>
        <w:pStyle w:val="Compact"/>
      </w:pPr>
      <w:r>
        <w:t xml:space="preserve">crecimiento proyectado del empleo de</w:t>
      </w:r>
      <w:r>
        <w:t xml:space="preserve"> </w:t>
      </w:r>
      <w:r>
        <w:rPr>
          <w:bCs/>
          <w:b/>
        </w:rPr>
        <w:t xml:space="preserve">7% entre 2024 y 2034</w:t>
      </w:r>
      <w:r>
        <w:t xml:space="preserve">; y</w:t>
      </w:r>
    </w:p>
    <w:p>
      <w:pPr>
        <w:numPr>
          <w:ilvl w:val="0"/>
          <w:numId w:val="1011"/>
        </w:numPr>
        <w:pStyle w:val="Compact"/>
      </w:pPr>
      <w:r>
        <w:t xml:space="preserve">aproximadamente</w:t>
      </w:r>
      <w:r>
        <w:t xml:space="preserve"> </w:t>
      </w:r>
      <w:r>
        <w:rPr>
          <w:bCs/>
          <w:b/>
        </w:rPr>
        <w:t xml:space="preserve">14,200 vacantes por año</w:t>
      </w:r>
      <w:r>
        <w:t xml:space="preserve"> </w:t>
      </w:r>
      <w:r>
        <w:t xml:space="preserve">en promedio durante la década.</w:t>
      </w:r>
    </w:p>
    <w:p>
      <w:pPr>
        <w:pStyle w:val="FirstParagraph"/>
      </w:pPr>
      <w:r>
        <w:t xml:space="preserve">BLS también señala que las soluciones de codificación impulsadas por IA pueden afectar la demanda. Por eso adquieren mayor importancia la calidad de la documentación, el manejo de excepciones, el cumplimiento, la conciencia de auditoría, el conocimiento de denegaciones y ciclo de ingresos y el uso responsable de la automatización.</w:t>
      </w:r>
    </w:p>
    <w:p>
      <w:pPr>
        <w:pStyle w:val="BodyText"/>
      </w:pPr>
      <w:r>
        <w:t xml:space="preserve">Fuente:</w:t>
      </w:r>
      <w:r>
        <w:t xml:space="preserve"> </w:t>
      </w:r>
      <w:hyperlink r:id="rId40">
        <w:r>
          <w:rPr>
            <w:rStyle w:val="Hyperlink"/>
          </w:rPr>
          <w:t xml:space="preserve">https://www.bls.gov/ooh/healthcare/medical-records-and-health-information-technicians.htm</w:t>
        </w:r>
      </w:hyperlink>
    </w:p>
    <w:bookmarkEnd w:id="41"/>
    <w:bookmarkStart w:id="43" w:name="Xe8e16a6b702f4cebde8459e402e1d9c519010d9"/>
    <w:p>
      <w:pPr>
        <w:pStyle w:val="Heading2"/>
      </w:pPr>
      <w:r>
        <w:t xml:space="preserve">Estados Unidos — estimación de mercado no gubernamental para el título exacto</w:t>
      </w:r>
    </w:p>
    <w:p>
      <w:pPr>
        <w:pStyle w:val="FirstParagraph"/>
      </w:pPr>
      <w:r>
        <w:t xml:space="preserve">ZipRecruiter informó</w:t>
      </w:r>
      <w:r>
        <w:t xml:space="preserve"> </w:t>
      </w:r>
      <w:r>
        <w:rPr>
          <w:bCs/>
          <w:b/>
        </w:rPr>
        <w:t xml:space="preserve">US</w:t>
      </w:r>
      <m:oMath>
        <m:r>
          <m:t>45</m:t>
        </m:r>
        <m:r>
          <m:rPr>
            <m:sty m:val="p"/>
          </m:rPr>
          <m:t>,</m:t>
        </m:r>
        <m:r>
          <m:t>672</m:t>
        </m:r>
        <m:r>
          <m:t>a</m:t>
        </m:r>
        <m:r>
          <m:t>l</m:t>
        </m:r>
        <m:r>
          <m:t>a</m:t>
        </m:r>
        <m:r>
          <m:t>ñ</m:t>
        </m:r>
        <m:r>
          <m:t>o</m:t>
        </m:r>
        <m:r>
          <m:rPr>
            <m:sty m:val="p"/>
          </m:rPr>
          <m:t>(</m:t>
        </m:r>
        <m:r>
          <m:t>U</m:t>
        </m:r>
        <m:r>
          <m:t>S</m:t>
        </m:r>
      </m:oMath>
      <w:r>
        <w:rPr>
          <w:bCs/>
          <w:b/>
        </w:rPr>
        <w:t xml:space="preserve">21.96 por hora)</w:t>
      </w:r>
      <w:r>
        <w:t xml:space="preserve"> </w:t>
      </w:r>
      <w:r>
        <w:t xml:space="preserve">para “Medical Billing Coding Specialist” al</w:t>
      </w:r>
      <w:r>
        <w:t xml:space="preserve"> </w:t>
      </w:r>
      <w:r>
        <w:rPr>
          <w:bCs/>
          <w:b/>
        </w:rPr>
        <w:t xml:space="preserve">20 de julio de 2026</w:t>
      </w:r>
      <w:r>
        <w:t xml:space="preserve">. Se trata de una estimación de mercado no gubernamental derivada de ofertas de empleo y datos de terceros, no de un salario garantizado ni de un sustituto de los datos ocupacionales de BLS.</w:t>
      </w:r>
    </w:p>
    <w:p>
      <w:pPr>
        <w:pStyle w:val="BodyText"/>
      </w:pPr>
      <w:r>
        <w:t xml:space="preserve">Fuente:</w:t>
      </w:r>
      <w:r>
        <w:t xml:space="preserve"> </w:t>
      </w:r>
      <w:hyperlink r:id="rId42">
        <w:r>
          <w:rPr>
            <w:rStyle w:val="Hyperlink"/>
          </w:rPr>
          <w:t xml:space="preserve">https://www.ziprecruiter.com/Salaries/Medical-Billing-Coding-Specialist-Salary</w:t>
        </w:r>
      </w:hyperlink>
    </w:p>
    <w:bookmarkEnd w:id="43"/>
    <w:bookmarkStart w:id="44" w:name="investigación-salarial-local"/>
    <w:p>
      <w:pPr>
        <w:pStyle w:val="Heading2"/>
      </w:pPr>
      <w:r>
        <w:t xml:space="preserve">Investigación salarial local</w:t>
      </w:r>
    </w:p>
    <w:p>
      <w:pPr>
        <w:pStyle w:val="FirstParagraph"/>
      </w:pPr>
      <w:r>
        <w:t xml:space="preserve">Para cualquier país o región:</w:t>
      </w:r>
    </w:p>
    <w:p>
      <w:pPr>
        <w:numPr>
          <w:ilvl w:val="0"/>
          <w:numId w:val="1012"/>
        </w:numPr>
        <w:pStyle w:val="Compact"/>
      </w:pPr>
      <w:r>
        <w:t xml:space="preserve">compare remuneración por hora y anual para el título y las funciones exactas;</w:t>
      </w:r>
    </w:p>
    <w:p>
      <w:pPr>
        <w:numPr>
          <w:ilvl w:val="0"/>
          <w:numId w:val="1012"/>
        </w:numPr>
        <w:pStyle w:val="Compact"/>
      </w:pPr>
      <w:r>
        <w:t xml:space="preserve">registre fecha de publicación, ubicación, horario, situación laboral, experiencia y requisitos de credenciales;</w:t>
      </w:r>
    </w:p>
    <w:p>
      <w:pPr>
        <w:numPr>
          <w:ilvl w:val="0"/>
          <w:numId w:val="1012"/>
        </w:numPr>
        <w:pStyle w:val="Compact"/>
      </w:pPr>
      <w:r>
        <w:t xml:space="preserve">separe salario base de horas extra, bonos, diferenciales, comisiones y tarifas de contratista;</w:t>
      </w:r>
    </w:p>
    <w:p>
      <w:pPr>
        <w:numPr>
          <w:ilvl w:val="0"/>
          <w:numId w:val="1012"/>
        </w:numPr>
        <w:pStyle w:val="Compact"/>
      </w:pPr>
      <w:r>
        <w:t xml:space="preserve">estime beneficios y costos obligatorios no remunerados; y</w:t>
      </w:r>
    </w:p>
    <w:p>
      <w:pPr>
        <w:numPr>
          <w:ilvl w:val="0"/>
          <w:numId w:val="1012"/>
        </w:numPr>
        <w:pStyle w:val="Compact"/>
      </w:pPr>
      <w:r>
        <w:t xml:space="preserve">no utilice el salario de una ocupación más amplia o mejor pagada como si estuviera garantizado para un puesto inicial de facturación o codificación.</w:t>
      </w:r>
    </w:p>
    <w:bookmarkEnd w:id="44"/>
    <w:bookmarkEnd w:id="45"/>
    <w:bookmarkStart w:id="55" w:name="Xf4f67b1240ef4303d7f8c0dab878073022503d3"/>
    <w:p>
      <w:pPr>
        <w:pStyle w:val="Heading1"/>
      </w:pPr>
      <w:r>
        <w:t xml:space="preserve">7. Educación y credenciales</w:t>
      </w:r>
    </w:p>
    <w:bookmarkStart w:id="52" w:name="estados-unidos"/>
    <w:p>
      <w:pPr>
        <w:pStyle w:val="Heading2"/>
      </w:pPr>
      <w:r>
        <w:t xml:space="preserve">Estados Unidos</w:t>
      </w:r>
    </w:p>
    <w:p>
      <w:pPr>
        <w:pStyle w:val="FirstParagraph"/>
      </w:pPr>
      <w:r>
        <w:t xml:space="preserve">BLS informa que los medical records specialists normalmente necesitan una credencial postsecundaria que no es un título universitario, aunque algunas personas califican con diploma de secundaria y otras necesitan un grado asociado o una licenciatura universitaria. Algunos empleadores pueden preferir o exigir una certificación.</w:t>
      </w:r>
    </w:p>
    <w:p>
      <w:pPr>
        <w:pStyle w:val="BodyText"/>
      </w:pPr>
      <w:r>
        <w:t xml:space="preserve">Esto no significa que una sola credencial sea legalmente obligatoria en todo el país.</w:t>
      </w:r>
    </w:p>
    <w:bookmarkStart w:id="49" w:name="ejemplos-de-ahima"/>
    <w:p>
      <w:pPr>
        <w:pStyle w:val="Heading3"/>
      </w:pPr>
      <w:r>
        <w:t xml:space="preserve">Ejemplos de AHIMA</w:t>
      </w:r>
    </w:p>
    <w:p>
      <w:pPr>
        <w:numPr>
          <w:ilvl w:val="0"/>
          <w:numId w:val="1013"/>
        </w:numPr>
        <w:pStyle w:val="Compact"/>
      </w:pPr>
      <w:r>
        <w:rPr>
          <w:bCs/>
          <w:b/>
        </w:rPr>
        <w:t xml:space="preserve">CCA — Certified Coding Associate:</w:t>
      </w:r>
      <w:r>
        <w:t xml:space="preserve"> </w:t>
      </w:r>
      <w:r>
        <w:t xml:space="preserve">AHIMA indica que se requiere diploma de secundaria para presentar el examen; la experiencia en codificación o determinada formación se recomienda, pero no es un requisito universal.</w:t>
      </w:r>
    </w:p>
    <w:p>
      <w:pPr>
        <w:numPr>
          <w:ilvl w:val="0"/>
          <w:numId w:val="1013"/>
        </w:numPr>
        <w:pStyle w:val="Compact"/>
      </w:pPr>
      <w:r>
        <w:rPr>
          <w:bCs/>
          <w:b/>
        </w:rPr>
        <w:t xml:space="preserve">CCS — Certified Coding Specialist:</w:t>
      </w:r>
      <w:r>
        <w:t xml:space="preserve"> </w:t>
      </w:r>
      <w:r>
        <w:t xml:space="preserve">orientada a profesionales con experiencia en codificación, con rutas de preparación que combinan cursos avanzados y/o experiencia.</w:t>
      </w:r>
    </w:p>
    <w:p>
      <w:pPr>
        <w:numPr>
          <w:ilvl w:val="0"/>
          <w:numId w:val="1013"/>
        </w:numPr>
        <w:pStyle w:val="Compact"/>
      </w:pPr>
      <w:r>
        <w:rPr>
          <w:bCs/>
          <w:b/>
        </w:rPr>
        <w:t xml:space="preserve">CCS-P — Certified Coding Specialist–Physician-based:</w:t>
      </w:r>
      <w:r>
        <w:t xml:space="preserve"> </w:t>
      </w:r>
      <w:r>
        <w:t xml:space="preserve">enfocada en codificación basada en servicios de médicos y atención ambulatoria.</w:t>
      </w:r>
    </w:p>
    <w:p>
      <w:pPr>
        <w:pStyle w:val="FirstParagraph"/>
      </w:pPr>
      <w:r>
        <w:t xml:space="preserve">AHIMA exige que quienes presenten exámenes a partir del 1 de mayo de 2026 utilicen la lista aplicable de libros de códigos de 2026 para los exámenes que requieren dichos libros.</w:t>
      </w:r>
    </w:p>
    <w:p>
      <w:pPr>
        <w:pStyle w:val="BodyText"/>
      </w:pPr>
      <w:r>
        <w:t xml:space="preserve">Fuentes:</w:t>
      </w:r>
    </w:p>
    <w:p>
      <w:pPr>
        <w:numPr>
          <w:ilvl w:val="0"/>
          <w:numId w:val="1014"/>
        </w:numPr>
        <w:pStyle w:val="Compact"/>
      </w:pPr>
      <w:hyperlink r:id="rId46">
        <w:r>
          <w:rPr>
            <w:rStyle w:val="Hyperlink"/>
          </w:rPr>
          <w:t xml:space="preserve">https://www.ahima.org/certification-careers/certifications-overview/cca/</w:t>
        </w:r>
      </w:hyperlink>
    </w:p>
    <w:p>
      <w:pPr>
        <w:numPr>
          <w:ilvl w:val="0"/>
          <w:numId w:val="1014"/>
        </w:numPr>
        <w:pStyle w:val="Compact"/>
      </w:pPr>
      <w:hyperlink r:id="rId47">
        <w:r>
          <w:rPr>
            <w:rStyle w:val="Hyperlink"/>
          </w:rPr>
          <w:t xml:space="preserve">https://www.ahima.org/certification-careers/certifications-overview/ccs/</w:t>
        </w:r>
      </w:hyperlink>
    </w:p>
    <w:p>
      <w:pPr>
        <w:numPr>
          <w:ilvl w:val="0"/>
          <w:numId w:val="1014"/>
        </w:numPr>
        <w:pStyle w:val="Compact"/>
      </w:pPr>
      <w:hyperlink r:id="rId48">
        <w:r>
          <w:rPr>
            <w:rStyle w:val="Hyperlink"/>
          </w:rPr>
          <w:t xml:space="preserve">https://www.ahima.org/certification-careers/certifications-overview/ccs-p/</w:t>
        </w:r>
      </w:hyperlink>
    </w:p>
    <w:bookmarkEnd w:id="49"/>
    <w:bookmarkStart w:id="51" w:name="ejemplos-de-aapc"/>
    <w:p>
      <w:pPr>
        <w:pStyle w:val="Heading3"/>
      </w:pPr>
      <w:r>
        <w:t xml:space="preserve">Ejemplos de AAPC</w:t>
      </w:r>
    </w:p>
    <w:p>
      <w:pPr>
        <w:pStyle w:val="FirstParagraph"/>
      </w:pPr>
      <w:r>
        <w:t xml:space="preserve">AAPC ofrece credenciales de codificación, facturación, auditoría y especialidad, incluidas CPC, COC, CIC, CRC, CPB y CPMA. Son credenciales profesionales privadas, no licencias gubernamentales. Verifique directamente las reglas actuales de examen, membresía, libros de códigos, educación continua y condición de aprendiz antes de pagar.</w:t>
      </w:r>
    </w:p>
    <w:p>
      <w:pPr>
        <w:pStyle w:val="BodyText"/>
      </w:pPr>
      <w:r>
        <w:t xml:space="preserve">Fuente:</w:t>
      </w:r>
      <w:r>
        <w:t xml:space="preserve"> </w:t>
      </w:r>
      <w:hyperlink r:id="rId50">
        <w:r>
          <w:rPr>
            <w:rStyle w:val="Hyperlink"/>
          </w:rPr>
          <w:t xml:space="preserve">https://www.aapc.com/</w:t>
        </w:r>
      </w:hyperlink>
    </w:p>
    <w:bookmarkEnd w:id="51"/>
    <w:bookmarkEnd w:id="52"/>
    <w:bookmarkStart w:id="53" w:name="ruta-gratuita-primero"/>
    <w:p>
      <w:pPr>
        <w:pStyle w:val="Heading2"/>
      </w:pPr>
      <w:r>
        <w:t xml:space="preserve">Ruta gratuita primero</w:t>
      </w:r>
    </w:p>
    <w:p>
      <w:pPr>
        <w:pStyle w:val="FirstParagraph"/>
      </w:pPr>
      <w:r>
        <w:t xml:space="preserve">Antes de comprar un programa privado:</w:t>
      </w:r>
    </w:p>
    <w:p>
      <w:pPr>
        <w:numPr>
          <w:ilvl w:val="0"/>
          <w:numId w:val="1015"/>
        </w:numPr>
        <w:pStyle w:val="Compact"/>
      </w:pPr>
      <w:r>
        <w:t xml:space="preserve">estudie terminología, anatomía y fundamentos del ciclo de ingresos mediante recursos gratuitos confiables o bibliotecas;</w:t>
      </w:r>
    </w:p>
    <w:p>
      <w:pPr>
        <w:numPr>
          <w:ilvl w:val="0"/>
          <w:numId w:val="1015"/>
        </w:numPr>
        <w:pStyle w:val="Compact"/>
      </w:pPr>
      <w:r>
        <w:t xml:space="preserve">revise ofertas reales de empleadores en el mercado donde pretende trabajar;</w:t>
      </w:r>
    </w:p>
    <w:p>
      <w:pPr>
        <w:numPr>
          <w:ilvl w:val="0"/>
          <w:numId w:val="1015"/>
        </w:numPr>
        <w:pStyle w:val="Compact"/>
      </w:pPr>
      <w:r>
        <w:t xml:space="preserve">compruebe si los empleadores valoran una credencial determinada;</w:t>
      </w:r>
    </w:p>
    <w:p>
      <w:pPr>
        <w:numPr>
          <w:ilvl w:val="0"/>
          <w:numId w:val="1015"/>
        </w:numPr>
        <w:pStyle w:val="Compact"/>
      </w:pPr>
      <w:r>
        <w:t xml:space="preserve">compare community colleges, technical colleges, instituciones públicas, formación del empleador, programas financiados por el sistema laboral y Registered Apprenticeship cuando estén disponibles;</w:t>
      </w:r>
    </w:p>
    <w:p>
      <w:pPr>
        <w:numPr>
          <w:ilvl w:val="0"/>
          <w:numId w:val="1015"/>
        </w:numPr>
        <w:pStyle w:val="Compact"/>
      </w:pPr>
      <w:r>
        <w:t xml:space="preserve">verifique elegibilidad para examen, libros de códigos incluidos, acceso a software, expectativas de práctica y costo total; y</w:t>
      </w:r>
    </w:p>
    <w:p>
      <w:pPr>
        <w:numPr>
          <w:ilvl w:val="0"/>
          <w:numId w:val="1015"/>
        </w:numPr>
        <w:pStyle w:val="Compact"/>
      </w:pPr>
      <w:r>
        <w:t xml:space="preserve">pague únicamente cuando el programa produzca un siguiente paso verificado, como preparación reconocida por empleadores, elegibilidad para examen, crédito transferible, práctica supervisada o una credencial que los empleadores realmente soliciten.</w:t>
      </w:r>
    </w:p>
    <w:bookmarkEnd w:id="53"/>
    <w:bookmarkStart w:id="54" w:name="Xda42e2eae0539ad7c2ca55433bd88cfbce94dbf"/>
    <w:p>
      <w:pPr>
        <w:pStyle w:val="Heading2"/>
      </w:pPr>
      <w:r>
        <w:t xml:space="preserve">Verificación de instituciones y credenciales</w:t>
      </w:r>
    </w:p>
    <w:p>
      <w:pPr>
        <w:pStyle w:val="FirstParagraph"/>
      </w:pPr>
      <w:r>
        <w:t xml:space="preserve">Confirme:</w:t>
      </w:r>
    </w:p>
    <w:p>
      <w:pPr>
        <w:numPr>
          <w:ilvl w:val="0"/>
          <w:numId w:val="1016"/>
        </w:numPr>
        <w:pStyle w:val="Compact"/>
      </w:pPr>
      <w:r>
        <w:t xml:space="preserve">acreditación institucional cuando corresponda;</w:t>
      </w:r>
    </w:p>
    <w:p>
      <w:pPr>
        <w:numPr>
          <w:ilvl w:val="0"/>
          <w:numId w:val="1016"/>
        </w:numPr>
        <w:pStyle w:val="Compact"/>
      </w:pPr>
      <w:r>
        <w:t xml:space="preserve">aprobación del programa o reconocimiento por un organismo de credenciales cuando se afirme;</w:t>
      </w:r>
    </w:p>
    <w:p>
      <w:pPr>
        <w:numPr>
          <w:ilvl w:val="0"/>
          <w:numId w:val="1016"/>
        </w:numPr>
        <w:pStyle w:val="Compact"/>
      </w:pPr>
      <w:r>
        <w:t xml:space="preserve">elegibilidad para examen por escrito;</w:t>
      </w:r>
    </w:p>
    <w:p>
      <w:pPr>
        <w:numPr>
          <w:ilvl w:val="0"/>
          <w:numId w:val="1016"/>
        </w:numPr>
        <w:pStyle w:val="Compact"/>
      </w:pPr>
      <w:r>
        <w:t xml:space="preserve">si están incluidos libros, conjuntos de códigos vigentes, software, membresía y tarifas de examen;</w:t>
      </w:r>
    </w:p>
    <w:p>
      <w:pPr>
        <w:numPr>
          <w:ilvl w:val="0"/>
          <w:numId w:val="1016"/>
        </w:numPr>
        <w:pStyle w:val="Compact"/>
      </w:pPr>
      <w:r>
        <w:t xml:space="preserve">posibilidad de transferir créditos académicos;</w:t>
      </w:r>
    </w:p>
    <w:p>
      <w:pPr>
        <w:numPr>
          <w:ilvl w:val="0"/>
          <w:numId w:val="1016"/>
        </w:numPr>
        <w:pStyle w:val="Compact"/>
      </w:pPr>
      <w:r>
        <w:t xml:space="preserve">metodología de finalización y colocación laboral;</w:t>
      </w:r>
    </w:p>
    <w:p>
      <w:pPr>
        <w:numPr>
          <w:ilvl w:val="0"/>
          <w:numId w:val="1016"/>
        </w:numPr>
        <w:pStyle w:val="Compact"/>
      </w:pPr>
      <w:r>
        <w:t xml:space="preserve">reglas de reembolso y cancelación;</w:t>
      </w:r>
    </w:p>
    <w:p>
      <w:pPr>
        <w:numPr>
          <w:ilvl w:val="0"/>
          <w:numId w:val="1016"/>
        </w:numPr>
        <w:pStyle w:val="Compact"/>
      </w:pPr>
      <w:r>
        <w:t xml:space="preserve">procedimientos de quejas;</w:t>
      </w:r>
    </w:p>
    <w:p>
      <w:pPr>
        <w:numPr>
          <w:ilvl w:val="0"/>
          <w:numId w:val="1016"/>
        </w:numPr>
        <w:pStyle w:val="Compact"/>
      </w:pPr>
      <w:r>
        <w:t xml:space="preserve">protecciones en caso de cierre de la institución; y</w:t>
      </w:r>
    </w:p>
    <w:p>
      <w:pPr>
        <w:numPr>
          <w:ilvl w:val="0"/>
          <w:numId w:val="1016"/>
        </w:numPr>
        <w:pStyle w:val="Compact"/>
      </w:pPr>
      <w:r>
        <w:t xml:space="preserve">si cualquier práctica o experiencia laboral está garantizada, es competitiva o es responsabilidad del estudiante.</w:t>
      </w:r>
    </w:p>
    <w:bookmarkEnd w:id="54"/>
    <w:bookmarkEnd w:id="55"/>
    <w:bookmarkStart w:id="63" w:name="X1a1b52cb9e424cef5605435a652f547f72c5eec"/>
    <w:p>
      <w:pPr>
        <w:pStyle w:val="Heading1"/>
      </w:pPr>
      <w:r>
        <w:t xml:space="preserve">8. Aprendizaje apoyado por el empleador y apoyo del sistema público de empleo</w:t>
      </w:r>
    </w:p>
    <w:bookmarkStart w:id="59" w:name="american-job-centers-y-wioa"/>
    <w:p>
      <w:pPr>
        <w:pStyle w:val="Heading2"/>
      </w:pPr>
      <w:r>
        <w:t xml:space="preserve">American Job Centers y WIOA</w:t>
      </w:r>
    </w:p>
    <w:p>
      <w:pPr>
        <w:pStyle w:val="FirstParagraph"/>
      </w:pPr>
      <w:r>
        <w:t xml:space="preserve">Los American Job Centers del U.S. Department of Labor ofrecen asistencia para la búsqueda de empleo, orientación profesional, remisiones a formación y servicios relacionados. Los programas WIOA pueden financiar aprendizaje en aula o basado en el trabajo para participantes elegibles, sujeto a elegibilidad local, prioridades y reglas de proveedores aprobados.</w:t>
      </w:r>
    </w:p>
    <w:p>
      <w:pPr>
        <w:pStyle w:val="BodyText"/>
      </w:pPr>
      <w:r>
        <w:t xml:space="preserve">Fuentes:</w:t>
      </w:r>
    </w:p>
    <w:p>
      <w:pPr>
        <w:numPr>
          <w:ilvl w:val="0"/>
          <w:numId w:val="1017"/>
        </w:numPr>
        <w:pStyle w:val="Compact"/>
      </w:pPr>
      <w:hyperlink r:id="rId56">
        <w:r>
          <w:rPr>
            <w:rStyle w:val="Hyperlink"/>
          </w:rPr>
          <w:t xml:space="preserve">https://www.dol.gov/general/topic/training/onestop</w:t>
        </w:r>
      </w:hyperlink>
    </w:p>
    <w:p>
      <w:pPr>
        <w:numPr>
          <w:ilvl w:val="0"/>
          <w:numId w:val="1017"/>
        </w:numPr>
        <w:pStyle w:val="Compact"/>
      </w:pPr>
      <w:hyperlink r:id="rId57">
        <w:r>
          <w:rPr>
            <w:rStyle w:val="Hyperlink"/>
          </w:rPr>
          <w:t xml:space="preserve">https://www.dol.gov/agencies/eta/wioa/programs</w:t>
        </w:r>
      </w:hyperlink>
    </w:p>
    <w:p>
      <w:pPr>
        <w:numPr>
          <w:ilvl w:val="0"/>
          <w:numId w:val="1017"/>
        </w:numPr>
        <w:pStyle w:val="Compact"/>
      </w:pPr>
      <w:hyperlink r:id="rId58">
        <w:r>
          <w:rPr>
            <w:rStyle w:val="Hyperlink"/>
          </w:rPr>
          <w:t xml:space="preserve">https://www.careeronestop.org/LocalHelp/EmploymentAndTraining/find-WIOA-training-programs.aspx</w:t>
        </w:r>
      </w:hyperlink>
    </w:p>
    <w:bookmarkEnd w:id="59"/>
    <w:bookmarkStart w:id="61" w:name="registered-apprenticeship"/>
    <w:p>
      <w:pPr>
        <w:pStyle w:val="Heading2"/>
      </w:pPr>
      <w:r>
        <w:t xml:space="preserve">Registered Apprenticeship</w:t>
      </w:r>
    </w:p>
    <w:p>
      <w:pPr>
        <w:pStyle w:val="FirstParagraph"/>
      </w:pPr>
      <w:r>
        <w:t xml:space="preserve">Registered Apprenticeship en el sector salud es una ruta establecida, y Apprenticeship.gov identifica un marco ocupacional basado en competencias para</w:t>
      </w:r>
      <w:r>
        <w:t xml:space="preserve"> </w:t>
      </w:r>
      <w:r>
        <w:rPr>
          <w:bCs/>
          <w:b/>
        </w:rPr>
        <w:t xml:space="preserve">Medical Records and Health Information Technicians and Medical Coders</w:t>
      </w:r>
      <w:r>
        <w:t xml:space="preserve">. Esto no significa que exista un programa adecuado en todos los estados o localidades.</w:t>
      </w:r>
    </w:p>
    <w:p>
      <w:pPr>
        <w:pStyle w:val="BodyText"/>
      </w:pPr>
      <w:r>
        <w:t xml:space="preserve">Utilice el buscador de apprenticeships vigente y verifique patrocinador, condición de registro, salarios, instrucción relacionada, supervisión, desarrollo progresivo de habilidades y resultados de credenciales.</w:t>
      </w:r>
    </w:p>
    <w:p>
      <w:pPr>
        <w:pStyle w:val="BodyText"/>
      </w:pPr>
      <w:r>
        <w:t xml:space="preserve">Fuente:</w:t>
      </w:r>
      <w:r>
        <w:t xml:space="preserve"> </w:t>
      </w:r>
      <w:hyperlink r:id="rId60">
        <w:r>
          <w:rPr>
            <w:rStyle w:val="Hyperlink"/>
          </w:rPr>
          <w:t xml:space="preserve">https://www.apprenticeship.gov/apprenticeship-industries/healthcare</w:t>
        </w:r>
      </w:hyperlink>
    </w:p>
    <w:bookmarkEnd w:id="61"/>
    <w:bookmarkStart w:id="62" w:name="X0d34d9b9658cd99e8a55f9465e07a95c30e9917"/>
    <w:p>
      <w:pPr>
        <w:pStyle w:val="Heading2"/>
      </w:pPr>
      <w:r>
        <w:t xml:space="preserve">Asistencia educativa y acuerdos de reembolso</w:t>
      </w:r>
    </w:p>
    <w:p>
      <w:pPr>
        <w:pStyle w:val="FirstParagraph"/>
      </w:pPr>
      <w:r>
        <w:t xml:space="preserve">Los empleadores pueden ofrecer pago directo de matrícula, reembolso, apoyo para tarifas de examen, becas u otros beneficios educativos. Antes de aceptar:</w:t>
      </w:r>
    </w:p>
    <w:p>
      <w:pPr>
        <w:numPr>
          <w:ilvl w:val="0"/>
          <w:numId w:val="1018"/>
        </w:numPr>
        <w:pStyle w:val="Compact"/>
      </w:pPr>
      <w:r>
        <w:t xml:space="preserve">obtenga aprobación por escrito;</w:t>
      </w:r>
    </w:p>
    <w:p>
      <w:pPr>
        <w:numPr>
          <w:ilvl w:val="0"/>
          <w:numId w:val="1018"/>
        </w:numPr>
        <w:pStyle w:val="Compact"/>
      </w:pPr>
      <w:r>
        <w:t xml:space="preserve">confirme límites de cobertura y programas elegibles;</w:t>
      </w:r>
    </w:p>
    <w:p>
      <w:pPr>
        <w:numPr>
          <w:ilvl w:val="0"/>
          <w:numId w:val="1018"/>
        </w:numPr>
        <w:pStyle w:val="Compact"/>
      </w:pPr>
      <w:r>
        <w:t xml:space="preserve">verifique requisitos de calificación, examen o finalización;</w:t>
      </w:r>
    </w:p>
    <w:p>
      <w:pPr>
        <w:numPr>
          <w:ilvl w:val="0"/>
          <w:numId w:val="1018"/>
        </w:numPr>
        <w:pStyle w:val="Compact"/>
      </w:pPr>
      <w:r>
        <w:t xml:space="preserve">identifique cuándo empieza cualquier período de permanencia laboral;</w:t>
      </w:r>
    </w:p>
    <w:p>
      <w:pPr>
        <w:numPr>
          <w:ilvl w:val="0"/>
          <w:numId w:val="1018"/>
        </w:numPr>
        <w:pStyle w:val="Compact"/>
      </w:pPr>
      <w:r>
        <w:t xml:space="preserve">comprenda las fórmulas de reembolso proporcional o total;</w:t>
      </w:r>
    </w:p>
    <w:p>
      <w:pPr>
        <w:numPr>
          <w:ilvl w:val="0"/>
          <w:numId w:val="1018"/>
        </w:numPr>
        <w:pStyle w:val="Compact"/>
      </w:pPr>
      <w:r>
        <w:t xml:space="preserve">confirme cómo se tratan despido, eliminación del puesto, discapacidad, activación militar, jubilación, muerte, reestructuración y transferencia ordenada por el empleador;</w:t>
      </w:r>
    </w:p>
    <w:p>
      <w:pPr>
        <w:numPr>
          <w:ilvl w:val="0"/>
          <w:numId w:val="1018"/>
        </w:numPr>
        <w:pStyle w:val="Compact"/>
      </w:pPr>
      <w:r>
        <w:t xml:space="preserve">pregunte quién conserva la titularidad de registros académicos y documentación de credenciales; y</w:t>
      </w:r>
    </w:p>
    <w:p>
      <w:pPr>
        <w:numPr>
          <w:ilvl w:val="0"/>
          <w:numId w:val="1018"/>
        </w:numPr>
        <w:pStyle w:val="Compact"/>
      </w:pPr>
      <w:r>
        <w:t xml:space="preserve">verifique si los descuentos en nómina o salario final están autorizados y son legales donde usted trabaja.</w:t>
      </w:r>
    </w:p>
    <w:bookmarkEnd w:id="62"/>
    <w:bookmarkEnd w:id="63"/>
    <w:bookmarkStart w:id="64" w:name="X6a3fdf5c7fec428ce99dcaf3e395b93823a800b"/>
    <w:p>
      <w:pPr>
        <w:pStyle w:val="Heading1"/>
      </w:pPr>
      <w:r>
        <w:t xml:space="preserve">9. Accesibilidad e inclusión</w:t>
      </w:r>
    </w:p>
    <w:p>
      <w:pPr>
        <w:pStyle w:val="FirstParagraph"/>
      </w:pPr>
      <w:r>
        <w:t xml:space="preserve">Verifique las adaptaciones en toda la ruta, incluidas:</w:t>
      </w:r>
    </w:p>
    <w:p>
      <w:pPr>
        <w:numPr>
          <w:ilvl w:val="0"/>
          <w:numId w:val="1019"/>
        </w:numPr>
        <w:pStyle w:val="Compact"/>
      </w:pPr>
      <w:r>
        <w:t xml:space="preserve">admisión e inscripción;</w:t>
      </w:r>
    </w:p>
    <w:p>
      <w:pPr>
        <w:numPr>
          <w:ilvl w:val="0"/>
          <w:numId w:val="1019"/>
        </w:numPr>
        <w:pStyle w:val="Compact"/>
      </w:pPr>
      <w:r>
        <w:t xml:space="preserve">plataformas de aprendizaje en línea;</w:t>
      </w:r>
    </w:p>
    <w:p>
      <w:pPr>
        <w:numPr>
          <w:ilvl w:val="0"/>
          <w:numId w:val="1019"/>
        </w:numPr>
        <w:pStyle w:val="Compact"/>
      </w:pPr>
      <w:r>
        <w:t xml:space="preserve">libros de texto y documentos electrónicos;</w:t>
      </w:r>
    </w:p>
    <w:p>
      <w:pPr>
        <w:numPr>
          <w:ilvl w:val="0"/>
          <w:numId w:val="1019"/>
        </w:numPr>
        <w:pStyle w:val="Compact"/>
      </w:pPr>
      <w:r>
        <w:t xml:space="preserve">clases y laboratorios;</w:t>
      </w:r>
    </w:p>
    <w:p>
      <w:pPr>
        <w:numPr>
          <w:ilvl w:val="0"/>
          <w:numId w:val="1019"/>
        </w:numPr>
        <w:pStyle w:val="Compact"/>
      </w:pPr>
      <w:r>
        <w:t xml:space="preserve">pruebas de certificación;</w:t>
      </w:r>
    </w:p>
    <w:p>
      <w:pPr>
        <w:numPr>
          <w:ilvl w:val="0"/>
          <w:numId w:val="1019"/>
        </w:numPr>
        <w:pStyle w:val="Compact"/>
      </w:pPr>
      <w:r>
        <w:t xml:space="preserve">prácticas o apprenticeships;</w:t>
      </w:r>
    </w:p>
    <w:p>
      <w:pPr>
        <w:numPr>
          <w:ilvl w:val="0"/>
          <w:numId w:val="1019"/>
        </w:numPr>
        <w:pStyle w:val="Compact"/>
      </w:pPr>
      <w:r>
        <w:t xml:space="preserve">software y sistemas de productividad del lugar de trabajo; y</w:t>
      </w:r>
    </w:p>
    <w:p>
      <w:pPr>
        <w:numPr>
          <w:ilvl w:val="0"/>
          <w:numId w:val="1019"/>
        </w:numPr>
        <w:pStyle w:val="Compact"/>
      </w:pPr>
      <w:r>
        <w:t xml:space="preserve">tecnología de trabajo remoto cuando corresponda.</w:t>
      </w:r>
    </w:p>
    <w:p>
      <w:pPr>
        <w:pStyle w:val="FirstParagraph"/>
      </w:pPr>
      <w:r>
        <w:t xml:space="preserve">Una institución, un empleador, un patrocinador de apprenticeship y un organismo de certificación pueden utilizar procesos de adaptación diferentes. Ser admitido en un programa no garantiza que todas las etapas posteriores sean accesibles.</w:t>
      </w:r>
    </w:p>
    <w:p>
      <w:pPr>
        <w:pStyle w:val="BodyText"/>
      </w:pPr>
      <w:r>
        <w:t xml:space="preserve">Los posibles apoyos pueden incluir documentos accesibles, subtítulos, intérpretes, compatibilidad con lectores de pantalla, equipos ergonómicos, espacio tranquilo para exámenes, pausas adicionales cuando estén aprobadas, horarios flexibles o métodos alternativos de formación.</w:t>
      </w:r>
    </w:p>
    <w:bookmarkEnd w:id="64"/>
    <w:bookmarkStart w:id="70" w:name="Xda1c4bdb6bc8e901c43e7630837c0b65994fb11"/>
    <w:p>
      <w:pPr>
        <w:pStyle w:val="Heading1"/>
      </w:pPr>
      <w:r>
        <w:t xml:space="preserve">10. Privacidad, ciberseguridad e IA ética</w:t>
      </w:r>
    </w:p>
    <w:bookmarkStart w:id="67" w:name="alcance-de-hipaa"/>
    <w:p>
      <w:pPr>
        <w:pStyle w:val="Heading2"/>
      </w:pPr>
      <w:r>
        <w:t xml:space="preserve">Alcance de HIPAA</w:t>
      </w:r>
    </w:p>
    <w:p>
      <w:pPr>
        <w:pStyle w:val="FirstParagraph"/>
      </w:pPr>
      <w:r>
        <w:t xml:space="preserve">La HIPAA Privacy Rule protege los registros médicos y otra información de salud individualmente identificable en poder de covered entities y se aplica a determinados business associates. Las actividades de facturación y pago pueden involucrar protected health information, pero no todo empleador, persona o dato está automáticamente sujeto a HIPAA. Las leyes estatales, los contratos y otros requisitos de privacidad pueden añadir obligaciones.</w:t>
      </w:r>
    </w:p>
    <w:p>
      <w:pPr>
        <w:pStyle w:val="BodyText"/>
      </w:pPr>
      <w:r>
        <w:t xml:space="preserve">Para actividades de pago y health-care operations, las covered entities generalmente deben utilizar políticas razonables para limitar usos, divulgaciones y solicitudes de protected health information al</w:t>
      </w:r>
      <w:r>
        <w:t xml:space="preserve"> </w:t>
      </w:r>
      <w:r>
        <w:rPr>
          <w:bCs/>
          <w:b/>
        </w:rPr>
        <w:t xml:space="preserve">mínimo necesario</w:t>
      </w:r>
      <w:r>
        <w:t xml:space="preserve"> </w:t>
      </w:r>
      <w:r>
        <w:t xml:space="preserve">para el propósito previsto, sujeto a las excepciones regulatorias aplicables.</w:t>
      </w:r>
    </w:p>
    <w:p>
      <w:pPr>
        <w:pStyle w:val="BodyText"/>
      </w:pPr>
      <w:r>
        <w:t xml:space="preserve">Fuentes:</w:t>
      </w:r>
    </w:p>
    <w:p>
      <w:pPr>
        <w:numPr>
          <w:ilvl w:val="0"/>
          <w:numId w:val="1020"/>
        </w:numPr>
        <w:pStyle w:val="Compact"/>
      </w:pPr>
      <w:hyperlink r:id="rId65">
        <w:r>
          <w:rPr>
            <w:rStyle w:val="Hyperlink"/>
          </w:rPr>
          <w:t xml:space="preserve">https://www.hhs.gov/hipaa/for-professionals/privacy/index.html</w:t>
        </w:r>
      </w:hyperlink>
    </w:p>
    <w:p>
      <w:pPr>
        <w:numPr>
          <w:ilvl w:val="0"/>
          <w:numId w:val="1020"/>
        </w:numPr>
        <w:pStyle w:val="Compact"/>
      </w:pPr>
      <w:hyperlink r:id="rId66">
        <w:r>
          <w:rPr>
            <w:rStyle w:val="Hyperlink"/>
          </w:rPr>
          <w:t xml:space="preserve">https://www.hhs.gov/hipaa/for-professionals/privacy/guidance/minimum-necessary-requirement/index.html</w:t>
        </w:r>
      </w:hyperlink>
    </w:p>
    <w:bookmarkEnd w:id="67"/>
    <w:bookmarkStart w:id="68" w:name="controles-prácticos-de-seguridad"/>
    <w:p>
      <w:pPr>
        <w:pStyle w:val="Heading2"/>
      </w:pPr>
      <w:r>
        <w:t xml:space="preserve">Controles prácticos de seguridad</w:t>
      </w:r>
    </w:p>
    <w:p>
      <w:pPr>
        <w:numPr>
          <w:ilvl w:val="0"/>
          <w:numId w:val="1021"/>
        </w:numPr>
        <w:pStyle w:val="Compact"/>
      </w:pPr>
      <w:r>
        <w:t xml:space="preserve">Utilice únicamente sistemas, cuentas, dispositivos, almacenamiento y canales de comunicación aprobados.</w:t>
      </w:r>
    </w:p>
    <w:p>
      <w:pPr>
        <w:numPr>
          <w:ilvl w:val="0"/>
          <w:numId w:val="1021"/>
        </w:numPr>
        <w:pStyle w:val="Compact"/>
      </w:pPr>
      <w:r>
        <w:t xml:space="preserve">Siga las reglas de acceso basado en roles y de mínimo necesario establecidas por la organización.</w:t>
      </w:r>
    </w:p>
    <w:p>
      <w:pPr>
        <w:numPr>
          <w:ilvl w:val="0"/>
          <w:numId w:val="1021"/>
        </w:numPr>
        <w:pStyle w:val="Compact"/>
      </w:pPr>
      <w:r>
        <w:t xml:space="preserve">Proteja contraseñas y autenticación multifactor.</w:t>
      </w:r>
    </w:p>
    <w:p>
      <w:pPr>
        <w:numPr>
          <w:ilvl w:val="0"/>
          <w:numId w:val="1021"/>
        </w:numPr>
        <w:pStyle w:val="Compact"/>
      </w:pPr>
      <w:r>
        <w:t xml:space="preserve">No copie datos de pacientes a dispositivos personales ni servicios de nube no aprobados.</w:t>
      </w:r>
    </w:p>
    <w:p>
      <w:pPr>
        <w:numPr>
          <w:ilvl w:val="0"/>
          <w:numId w:val="1021"/>
        </w:numPr>
        <w:pStyle w:val="Compact"/>
      </w:pPr>
      <w:r>
        <w:t xml:space="preserve">Verifique destinatarios antes de enviar registros, anexos de reclamaciones o información de cuentas.</w:t>
      </w:r>
    </w:p>
    <w:p>
      <w:pPr>
        <w:numPr>
          <w:ilvl w:val="0"/>
          <w:numId w:val="1021"/>
        </w:numPr>
        <w:pStyle w:val="Compact"/>
      </w:pPr>
      <w:r>
        <w:t xml:space="preserve">Reporte con rapidez sospechas de phishing, compromiso de cuentas o información enviada al destinatario equivocado.</w:t>
      </w:r>
    </w:p>
    <w:bookmarkEnd w:id="68"/>
    <w:bookmarkStart w:id="69" w:name="ia-responsable"/>
    <w:p>
      <w:pPr>
        <w:pStyle w:val="Heading2"/>
      </w:pPr>
      <w:r>
        <w:t xml:space="preserve">IA responsable</w:t>
      </w:r>
    </w:p>
    <w:p>
      <w:pPr>
        <w:numPr>
          <w:ilvl w:val="0"/>
          <w:numId w:val="1022"/>
        </w:numPr>
        <w:pStyle w:val="Compact"/>
      </w:pPr>
      <w:r>
        <w:t xml:space="preserve">No introduzca protected health information ni otros datos confidenciales en un servicio público de IA salvo que la organización haya aprobado expresamente ese uso y existan las salvaguardas legales y contractuales requeridas.</w:t>
      </w:r>
    </w:p>
    <w:p>
      <w:pPr>
        <w:numPr>
          <w:ilvl w:val="0"/>
          <w:numId w:val="1022"/>
        </w:numPr>
        <w:pStyle w:val="Compact"/>
      </w:pPr>
      <w:r>
        <w:t xml:space="preserve">Trate la codificación o facturación asistida por IA como un borrador o apoyo para decisiones, no como una autoridad incuestionable.</w:t>
      </w:r>
    </w:p>
    <w:p>
      <w:pPr>
        <w:numPr>
          <w:ilvl w:val="0"/>
          <w:numId w:val="1022"/>
        </w:numPr>
        <w:pStyle w:val="Compact"/>
      </w:pPr>
      <w:r>
        <w:t xml:space="preserve">Verifique códigos, fechas de vigencia, requisitos de pagadores y respaldo documental con fuentes autorizadas vigentes.</w:t>
      </w:r>
    </w:p>
    <w:p>
      <w:pPr>
        <w:numPr>
          <w:ilvl w:val="0"/>
          <w:numId w:val="1022"/>
        </w:numPr>
        <w:pStyle w:val="Compact"/>
      </w:pPr>
      <w:r>
        <w:t xml:space="preserve">Preserve la responsabilidad humana en decisiones que afecten reembolso, cumplimiento, privacidad o registros del paciente.</w:t>
      </w:r>
    </w:p>
    <w:p>
      <w:pPr>
        <w:numPr>
          <w:ilvl w:val="0"/>
          <w:numId w:val="1022"/>
        </w:numPr>
        <w:pStyle w:val="Compact"/>
      </w:pPr>
      <w:r>
        <w:t xml:space="preserve">No invente credenciales, muestras de trabajo, referencias ni experiencia de codificación.</w:t>
      </w:r>
    </w:p>
    <w:bookmarkEnd w:id="69"/>
    <w:bookmarkEnd w:id="70"/>
    <w:bookmarkStart w:id="71" w:name="Xc8e0b98f43967ea249e1c6b4b5047c7d8504bef"/>
    <w:p>
      <w:pPr>
        <w:pStyle w:val="Heading1"/>
      </w:pPr>
      <w:r>
        <w:t xml:space="preserve">11. Construir evidencia de capacidad</w:t>
      </w:r>
    </w:p>
    <w:p>
      <w:pPr>
        <w:pStyle w:val="FirstParagraph"/>
      </w:pPr>
      <w:r>
        <w:t xml:space="preserve">Utilice únicamente información ficticia, pública, materiales educativos obtenidos legalmente o información completamente anonimizada.</w:t>
      </w:r>
    </w:p>
    <w:p>
      <w:pPr>
        <w:pStyle w:val="BodyText"/>
      </w:pPr>
      <w:r>
        <w:t xml:space="preserve">Posibles ejercicios de portafolio:</w:t>
      </w:r>
    </w:p>
    <w:p>
      <w:pPr>
        <w:numPr>
          <w:ilvl w:val="0"/>
          <w:numId w:val="1023"/>
        </w:numPr>
        <w:pStyle w:val="Compact"/>
      </w:pPr>
      <w:r>
        <w:t xml:space="preserve">codificar casos educativos ficticios y explicar el razonamiento sin reproducir contenido protegido de libros de códigos más allá de lo permitido legalmente;</w:t>
      </w:r>
    </w:p>
    <w:p>
      <w:pPr>
        <w:numPr>
          <w:ilvl w:val="0"/>
          <w:numId w:val="1023"/>
        </w:numPr>
        <w:pStyle w:val="Compact"/>
      </w:pPr>
      <w:r>
        <w:t xml:space="preserve">crear un rastreador ficticio del ciclo de vida de una reclamación que muestre ediciones, presentación, rechazo, denegación, apelación y pago;</w:t>
      </w:r>
    </w:p>
    <w:p>
      <w:pPr>
        <w:numPr>
          <w:ilvl w:val="0"/>
          <w:numId w:val="1023"/>
        </w:numPr>
        <w:pStyle w:val="Compact"/>
      </w:pPr>
      <w:r>
        <w:t xml:space="preserve">crear un análisis de denegaciones que proteja la privacidad y muestre causa raíz y acción correctiva;</w:t>
      </w:r>
    </w:p>
    <w:p>
      <w:pPr>
        <w:numPr>
          <w:ilvl w:val="0"/>
          <w:numId w:val="1023"/>
        </w:numPr>
        <w:pStyle w:val="Compact"/>
      </w:pPr>
      <w:r>
        <w:t xml:space="preserve">documentar cómo verificaría un cambio de conjunto de códigos por fecha de vigencia;</w:t>
      </w:r>
    </w:p>
    <w:p>
      <w:pPr>
        <w:numPr>
          <w:ilvl w:val="0"/>
          <w:numId w:val="1023"/>
        </w:numPr>
        <w:pStyle w:val="Compact"/>
      </w:pPr>
      <w:r>
        <w:t xml:space="preserve">mapear un flujo sencillo de ciclo de ingresos e identificar puntos de control; y</w:t>
      </w:r>
    </w:p>
    <w:p>
      <w:pPr>
        <w:numPr>
          <w:ilvl w:val="0"/>
          <w:numId w:val="1023"/>
        </w:numPr>
        <w:pStyle w:val="Compact"/>
      </w:pPr>
      <w:r>
        <w:t xml:space="preserve">crear una lista breve de controles de privacidad y seguridad para trabajo remoto de facturación o codificación.</w:t>
      </w:r>
    </w:p>
    <w:p>
      <w:pPr>
        <w:pStyle w:val="FirstParagraph"/>
      </w:pPr>
      <w:r>
        <w:t xml:space="preserve">Explique el problema, su función, el proceso, los controles, el resultado y lo que aprendió. No atribuya resultados del equipo como trabajo individual ni muestre materiales propietarios.</w:t>
      </w:r>
    </w:p>
    <w:bookmarkEnd w:id="71"/>
    <w:bookmarkStart w:id="72" w:name="X7c8709cd50728ae539596502f6023f80621b406"/>
    <w:p>
      <w:pPr>
        <w:pStyle w:val="Heading1"/>
      </w:pPr>
      <w:r>
        <w:t xml:space="preserve">12. Preparación para entrevistas</w:t>
      </w:r>
    </w:p>
    <w:p>
      <w:pPr>
        <w:pStyle w:val="FirstParagraph"/>
      </w:pPr>
      <w:r>
        <w:t xml:space="preserve">Prepare ejemplos breves para preguntas como:</w:t>
      </w:r>
    </w:p>
    <w:p>
      <w:pPr>
        <w:numPr>
          <w:ilvl w:val="0"/>
          <w:numId w:val="1024"/>
        </w:numPr>
        <w:pStyle w:val="Compact"/>
      </w:pPr>
      <w:r>
        <w:t xml:space="preserve">¿Qué haría cuando la documentación no respalde el código solicitado?</w:t>
      </w:r>
    </w:p>
    <w:p>
      <w:pPr>
        <w:numPr>
          <w:ilvl w:val="0"/>
          <w:numId w:val="1024"/>
        </w:numPr>
        <w:pStyle w:val="Compact"/>
      </w:pPr>
      <w:r>
        <w:t xml:space="preserve">¿Cuál es la diferencia entre el rechazo de una reclamación y una denegación?</w:t>
      </w:r>
    </w:p>
    <w:p>
      <w:pPr>
        <w:numPr>
          <w:ilvl w:val="0"/>
          <w:numId w:val="1024"/>
        </w:numPr>
        <w:pStyle w:val="Compact"/>
      </w:pPr>
      <w:r>
        <w:t xml:space="preserve">¿Cómo verificaría que utiliza el conjunto de códigos correspondiente a la fecha de vigencia correcta?</w:t>
      </w:r>
    </w:p>
    <w:p>
      <w:pPr>
        <w:numPr>
          <w:ilvl w:val="0"/>
          <w:numId w:val="1024"/>
        </w:numPr>
        <w:pStyle w:val="Compact"/>
      </w:pPr>
      <w:r>
        <w:t xml:space="preserve">¿Cómo protege protected health information cuando trabaja de forma remota?</w:t>
      </w:r>
    </w:p>
    <w:p>
      <w:pPr>
        <w:numPr>
          <w:ilvl w:val="0"/>
          <w:numId w:val="1024"/>
        </w:numPr>
        <w:pStyle w:val="Compact"/>
      </w:pPr>
      <w:r>
        <w:t xml:space="preserve">¿Qué haría si las expectativas de productividad parecieran entrar en conflicto con la precisión de la codificación?</w:t>
      </w:r>
    </w:p>
    <w:p>
      <w:pPr>
        <w:numPr>
          <w:ilvl w:val="0"/>
          <w:numId w:val="1024"/>
        </w:numPr>
        <w:pStyle w:val="Compact"/>
      </w:pPr>
      <w:r>
        <w:t xml:space="preserve">¿Cómo investigaría una regla de pagador que no haya visto antes?</w:t>
      </w:r>
    </w:p>
    <w:p>
      <w:pPr>
        <w:pStyle w:val="FirstParagraph"/>
      </w:pPr>
      <w:r>
        <w:t xml:space="preserve">Una respuesta sólida debe mostrar la situación, su responsabilidad, la acción realizada, la evidencia utilizada, el límite o punto de escalamiento y el resultado.</w:t>
      </w:r>
    </w:p>
    <w:bookmarkEnd w:id="72"/>
    <w:bookmarkStart w:id="73" w:name="Xb8a95dc9a754fb0349e88c1fb98e406147b6c8c"/>
    <w:p>
      <w:pPr>
        <w:pStyle w:val="Heading1"/>
      </w:pPr>
      <w:r>
        <w:t xml:space="preserve">13. Primeros 30, 60 y 90 días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Período</w:t>
            </w:r>
          </w:p>
        </w:tc>
        <w:tc>
          <w:tcPr/>
          <w:p>
            <w:pPr>
              <w:pStyle w:val="Compact"/>
              <w:jc w:val="left"/>
            </w:pPr>
            <w:r>
              <w:t xml:space="preserve">Prioridades</w:t>
            </w:r>
          </w:p>
        </w:tc>
      </w:tr>
      <w:tr>
        <w:tc>
          <w:tcPr/>
          <w:p>
            <w:pPr>
              <w:pStyle w:val="Compact"/>
              <w:jc w:val="left"/>
            </w:pPr>
            <w:r>
              <w:t xml:space="preserve">Primeros 30 días</w:t>
            </w:r>
          </w:p>
        </w:tc>
        <w:tc>
          <w:tcPr/>
          <w:p>
            <w:pPr>
              <w:pStyle w:val="Compact"/>
              <w:jc w:val="left"/>
            </w:pPr>
            <w:r>
              <w:t xml:space="preserve">Aprenda políticas, sistemas, terminología, requisitos de privacidad y seguridad, límites del rol, reglas de pagadores o clientes, estándares de calidad, rutas de escalamiento y procesos de adaptación.</w:t>
            </w:r>
          </w:p>
        </w:tc>
      </w:tr>
      <w:tr>
        <w:tc>
          <w:tcPr/>
          <w:p>
            <w:pPr>
              <w:pStyle w:val="Compact"/>
              <w:jc w:val="left"/>
            </w:pPr>
            <w:r>
              <w:t xml:space="preserve">Días 31–60</w:t>
            </w:r>
          </w:p>
        </w:tc>
        <w:tc>
          <w:tcPr/>
          <w:p>
            <w:pPr>
              <w:pStyle w:val="Compact"/>
              <w:jc w:val="left"/>
            </w:pPr>
            <w:r>
              <w:t xml:space="preserve">Realice trabajo rutinario con revisión, documente decisiones, fortalezca la precisión, solicite retroalimentación, siga excepciones recurrentes y aprenda cómo se resuelven denegaciones y rechazos.</w:t>
            </w:r>
          </w:p>
        </w:tc>
      </w:tr>
      <w:tr>
        <w:tc>
          <w:tcPr/>
          <w:p>
            <w:pPr>
              <w:pStyle w:val="Compact"/>
              <w:jc w:val="left"/>
            </w:pPr>
            <w:r>
              <w:t xml:space="preserve">Días 61–90</w:t>
            </w:r>
          </w:p>
        </w:tc>
        <w:tc>
          <w:tcPr/>
          <w:p>
            <w:pPr>
              <w:pStyle w:val="Compact"/>
              <w:jc w:val="left"/>
            </w:pPr>
            <w:r>
              <w:t xml:space="preserve">Maneje una carga de trabajo más amplia dentro de su autoridad, identifique una mejora basada en evidencia, documente metas de desarrollo y verifique la siguiente etapa de formación o credencial antes de pagar por ella.</w:t>
            </w:r>
          </w:p>
        </w:tc>
      </w:tr>
    </w:tbl>
    <w:bookmarkEnd w:id="73"/>
    <w:bookmarkStart w:id="74" w:name="X23f92235064b8a5b04c7f464c98e894d10dd3fa"/>
    <w:p>
      <w:pPr>
        <w:pStyle w:val="Heading1"/>
      </w:pPr>
      <w:r>
        <w:t xml:space="preserve">14. Avance, portabilidad y planificación de salida</w:t>
      </w:r>
    </w:p>
    <w:p>
      <w:pPr>
        <w:pStyle w:val="FirstParagraph"/>
      </w:pPr>
      <w:r>
        <w:t xml:space="preserve">Las posibles direcciones incluyen:</w:t>
      </w:r>
    </w:p>
    <w:p>
      <w:pPr>
        <w:numPr>
          <w:ilvl w:val="0"/>
          <w:numId w:val="1025"/>
        </w:numPr>
        <w:pStyle w:val="Compact"/>
      </w:pPr>
      <w:r>
        <w:t xml:space="preserve">puestos sénior de codificación o facturación;</w:t>
      </w:r>
    </w:p>
    <w:p>
      <w:pPr>
        <w:numPr>
          <w:ilvl w:val="0"/>
          <w:numId w:val="1025"/>
        </w:numPr>
        <w:pStyle w:val="Compact"/>
      </w:pPr>
      <w:r>
        <w:t xml:space="preserve">gestión de denegaciones o apelaciones;</w:t>
      </w:r>
    </w:p>
    <w:p>
      <w:pPr>
        <w:numPr>
          <w:ilvl w:val="0"/>
          <w:numId w:val="1025"/>
        </w:numPr>
        <w:pStyle w:val="Compact"/>
      </w:pPr>
      <w:r>
        <w:t xml:space="preserve">análisis del ciclo de ingresos;</w:t>
      </w:r>
    </w:p>
    <w:p>
      <w:pPr>
        <w:numPr>
          <w:ilvl w:val="0"/>
          <w:numId w:val="1025"/>
        </w:numPr>
        <w:pStyle w:val="Compact"/>
      </w:pPr>
      <w:r>
        <w:t xml:space="preserve">calidad o auditoría de codificación;</w:t>
      </w:r>
    </w:p>
    <w:p>
      <w:pPr>
        <w:numPr>
          <w:ilvl w:val="0"/>
          <w:numId w:val="1025"/>
        </w:numPr>
        <w:pStyle w:val="Compact"/>
      </w:pPr>
      <w:r>
        <w:t xml:space="preserve">apoyo a documentación clínica cuando las cualificaciones lo permitan;</w:t>
      </w:r>
    </w:p>
    <w:p>
      <w:pPr>
        <w:numPr>
          <w:ilvl w:val="0"/>
          <w:numId w:val="1025"/>
        </w:numPr>
        <w:pStyle w:val="Compact"/>
      </w:pPr>
      <w:r>
        <w:t xml:space="preserve">gestión de información de salud;</w:t>
      </w:r>
    </w:p>
    <w:p>
      <w:pPr>
        <w:numPr>
          <w:ilvl w:val="0"/>
          <w:numId w:val="1025"/>
        </w:numPr>
        <w:pStyle w:val="Compact"/>
      </w:pPr>
      <w:r>
        <w:t xml:space="preserve">apoyo de cumplimiento;</w:t>
      </w:r>
    </w:p>
    <w:p>
      <w:pPr>
        <w:numPr>
          <w:ilvl w:val="0"/>
          <w:numId w:val="1025"/>
        </w:numPr>
        <w:pStyle w:val="Compact"/>
      </w:pPr>
      <w:r>
        <w:t xml:space="preserve">operaciones de pagadores o proveedores;</w:t>
      </w:r>
    </w:p>
    <w:p>
      <w:pPr>
        <w:numPr>
          <w:ilvl w:val="0"/>
          <w:numId w:val="1025"/>
        </w:numPr>
        <w:pStyle w:val="Compact"/>
      </w:pPr>
      <w:r>
        <w:t xml:space="preserve">formación o educación;</w:t>
      </w:r>
    </w:p>
    <w:p>
      <w:pPr>
        <w:numPr>
          <w:ilvl w:val="0"/>
          <w:numId w:val="1025"/>
        </w:numPr>
        <w:pStyle w:val="Compact"/>
      </w:pPr>
      <w:r>
        <w:t xml:space="preserve">supervisión cuando la persona esté cualificada; y</w:t>
      </w:r>
    </w:p>
    <w:p>
      <w:pPr>
        <w:numPr>
          <w:ilvl w:val="0"/>
          <w:numId w:val="1025"/>
        </w:numPr>
        <w:pStyle w:val="Compact"/>
      </w:pPr>
      <w:r>
        <w:t xml:space="preserve">estudios adicionales en información de salud, administración de servicios de salud, analítica o campos relacionados.</w:t>
      </w:r>
    </w:p>
    <w:p>
      <w:pPr>
        <w:pStyle w:val="FirstParagraph"/>
      </w:pPr>
      <w:r>
        <w:t xml:space="preserve">Para cada siguiente paso, verifique educación, experiencia, credencial, conocimientos de software y cambio salarial real requeridos. Conserve históricos académicos, registros de certificación, registros de educación continua, evaluaciones y acuerdos de reembolso.</w:t>
      </w:r>
    </w:p>
    <w:bookmarkEnd w:id="74"/>
    <w:bookmarkStart w:id="80" w:name="X996db507641bfe2e3266ffa6e0c2b91459a617e"/>
    <w:p>
      <w:pPr>
        <w:pStyle w:val="Heading1"/>
      </w:pPr>
      <w:r>
        <w:t xml:space="preserve">15. Canadá</w:t>
      </w:r>
    </w:p>
    <w:p>
      <w:pPr>
        <w:pStyle w:val="FirstParagraph"/>
      </w:pPr>
      <w:r>
        <w:t xml:space="preserve">El título combinado exacto utilizado en Estados Unidos no corresponde de forma limpia a un solo NOC canadiense. Utilice grupos ocupacionales oficiales según las funciones en lugar de forzar una equivalencia falsa.</w:t>
      </w:r>
    </w:p>
    <w:bookmarkStart w:id="76" w:name="X567c416767156bef4642ef3ac5ef64f70658ab1"/>
    <w:p>
      <w:pPr>
        <w:pStyle w:val="Heading2"/>
      </w:pPr>
      <w:r>
        <w:t xml:space="preserve">Health information management occupations — NOC 12111</w:t>
      </w:r>
    </w:p>
    <w:p>
      <w:pPr>
        <w:pStyle w:val="FirstParagraph"/>
      </w:pPr>
      <w:r>
        <w:t xml:space="preserve">Esta es la referencia oficial canadiense más sólida para trabajos intensivos en registros y codificación. Canada Job Bank informa salarios nacionales aproximados de:</w:t>
      </w:r>
    </w:p>
    <w:p>
      <w:pPr>
        <w:numPr>
          <w:ilvl w:val="0"/>
          <w:numId w:val="1026"/>
        </w:numPr>
        <w:pStyle w:val="Compact"/>
      </w:pPr>
      <w:r>
        <w:rPr>
          <w:bCs/>
          <w:b/>
        </w:rPr>
        <w:t xml:space="preserve">C$22.00 por hora, nivel bajo</w:t>
      </w:r>
    </w:p>
    <w:p>
      <w:pPr>
        <w:numPr>
          <w:ilvl w:val="0"/>
          <w:numId w:val="1026"/>
        </w:numPr>
        <w:pStyle w:val="Compact"/>
      </w:pPr>
      <w:r>
        <w:rPr>
          <w:bCs/>
          <w:b/>
        </w:rPr>
        <w:t xml:space="preserve">C$30.51 por hora, mediana</w:t>
      </w:r>
    </w:p>
    <w:p>
      <w:pPr>
        <w:numPr>
          <w:ilvl w:val="0"/>
          <w:numId w:val="1026"/>
        </w:numPr>
        <w:pStyle w:val="Compact"/>
      </w:pPr>
      <w:r>
        <w:rPr>
          <w:bCs/>
          <w:b/>
        </w:rPr>
        <w:t xml:space="preserve">C$46.19 por hora, nivel alto</w:t>
      </w:r>
    </w:p>
    <w:p>
      <w:pPr>
        <w:pStyle w:val="FirstParagraph"/>
      </w:pPr>
      <w:r>
        <w:t xml:space="preserve">La ocupación más amplia incluye recopilar, codificar, registrar, revisar y gestionar información de salud. No concluya que todos los puestos de facturación médica pertenecen al NOC 12111.</w:t>
      </w:r>
    </w:p>
    <w:p>
      <w:pPr>
        <w:pStyle w:val="BodyText"/>
      </w:pPr>
      <w:r>
        <w:t xml:space="preserve">Fuente:</w:t>
      </w:r>
      <w:r>
        <w:t xml:space="preserve"> </w:t>
      </w:r>
      <w:hyperlink r:id="rId75">
        <w:r>
          <w:rPr>
            <w:rStyle w:val="Hyperlink"/>
          </w:rPr>
          <w:t xml:space="preserve">https://www.jobbank.gc.ca/marketreport/summary-occupation/25614/ca</w:t>
        </w:r>
      </w:hyperlink>
    </w:p>
    <w:bookmarkEnd w:id="76"/>
    <w:bookmarkStart w:id="78" w:name="X5f180bfc3edc0ca0396e18bbde03c6295f02ba6"/>
    <w:p>
      <w:pPr>
        <w:pStyle w:val="Heading2"/>
      </w:pPr>
      <w:r>
        <w:t xml:space="preserve">Patient-billing clerk — comparador orientado a facturación</w:t>
      </w:r>
    </w:p>
    <w:p>
      <w:pPr>
        <w:pStyle w:val="FirstParagraph"/>
      </w:pPr>
      <w:r>
        <w:t xml:space="preserve">Canada Job Bank informa salarios nacionales para patient-billing clerk de:</w:t>
      </w:r>
    </w:p>
    <w:p>
      <w:pPr>
        <w:numPr>
          <w:ilvl w:val="0"/>
          <w:numId w:val="1027"/>
        </w:numPr>
        <w:pStyle w:val="Compact"/>
      </w:pPr>
      <w:r>
        <w:rPr>
          <w:bCs/>
          <w:b/>
        </w:rPr>
        <w:t xml:space="preserve">C$18.46 por hora, nivel bajo</w:t>
      </w:r>
    </w:p>
    <w:p>
      <w:pPr>
        <w:numPr>
          <w:ilvl w:val="0"/>
          <w:numId w:val="1027"/>
        </w:numPr>
        <w:pStyle w:val="Compact"/>
      </w:pPr>
      <w:r>
        <w:rPr>
          <w:bCs/>
          <w:b/>
        </w:rPr>
        <w:t xml:space="preserve">C$25.00 por hora, mediana</w:t>
      </w:r>
    </w:p>
    <w:p>
      <w:pPr>
        <w:numPr>
          <w:ilvl w:val="0"/>
          <w:numId w:val="1027"/>
        </w:numPr>
        <w:pStyle w:val="Compact"/>
      </w:pPr>
      <w:r>
        <w:rPr>
          <w:bCs/>
          <w:b/>
        </w:rPr>
        <w:t xml:space="preserve">C$35.71 por hora, nivel alto</w:t>
      </w:r>
    </w:p>
    <w:p>
      <w:pPr>
        <w:pStyle w:val="FirstParagraph"/>
      </w:pPr>
      <w:r>
        <w:t xml:space="preserve">La tabla salarial fue actualizada el 19 de noviembre de 2025 y utiliza un período de referencia 2023–2024. Este es un comparador orientado a facturación, no un salario de especialista en codificación.</w:t>
      </w:r>
    </w:p>
    <w:p>
      <w:pPr>
        <w:pStyle w:val="BodyText"/>
      </w:pPr>
      <w:r>
        <w:t xml:space="preserve">Fuente:</w:t>
      </w:r>
      <w:r>
        <w:t xml:space="preserve"> </w:t>
      </w:r>
      <w:hyperlink r:id="rId77">
        <w:r>
          <w:rPr>
            <w:rStyle w:val="Hyperlink"/>
          </w:rPr>
          <w:t xml:space="preserve">https://www.jobbank.gc.ca/marketreport/wages-occupation/14119/ca</w:t>
        </w:r>
      </w:hyperlink>
    </w:p>
    <w:bookmarkEnd w:id="78"/>
    <w:bookmarkStart w:id="79" w:name="regla-para-la-ruta-canadiense"/>
    <w:p>
      <w:pPr>
        <w:pStyle w:val="Heading2"/>
      </w:pPr>
      <w:r>
        <w:t xml:space="preserve">Regla para la ruta canadiense</w:t>
      </w:r>
    </w:p>
    <w:p>
      <w:pPr>
        <w:pStyle w:val="FirstParagraph"/>
      </w:pPr>
      <w:r>
        <w:t xml:space="preserve">Verifique el título exacto, grupo NOC, provincia, empleador y requisitos de formación. No importe supuestos de credenciales estadounidenses a Canadá sin evidencia.</w:t>
      </w:r>
    </w:p>
    <w:bookmarkEnd w:id="79"/>
    <w:bookmarkEnd w:id="80"/>
    <w:bookmarkStart w:id="84" w:name="X803f10d12e51712d8302ba94a5ad31d9934f15b"/>
    <w:p>
      <w:pPr>
        <w:pStyle w:val="Heading1"/>
      </w:pPr>
      <w:r>
        <w:t xml:space="preserve">16. Colombia y el resto de América Latina</w:t>
      </w:r>
    </w:p>
    <w:p>
      <w:pPr>
        <w:pStyle w:val="FirstParagraph"/>
      </w:pPr>
      <w:r>
        <w:t xml:space="preserve">La facturación médica, la codificación, los registros de salud y el trabajo de ciclo de ingresos varían considerablemente en América Latina. HIPAA de Estados Unidos, las reglas de facturación de Medicare/Medicaid, CPT/HCPCS y las credenciales profesionales estadounidenses no rigen automáticamente el empleo local en Colombia.</w:t>
      </w:r>
    </w:p>
    <w:p>
      <w:pPr>
        <w:pStyle w:val="BodyText"/>
      </w:pPr>
      <w:r>
        <w:t xml:space="preserve">El conocimiento de codificación orientada a Estados Unidos puede ser relevante en puestos colombianos o latinoamericanos de outsourcing/BPO que atienden clientes del sector salud estadounidense, pero esa es una ruta específica del empleador o cliente y debe identificarse como tal.</w:t>
      </w:r>
    </w:p>
    <w:bookmarkStart w:id="83" w:name="Xe1847030922e8d12c76a5adc3c2cc52f6c478d4"/>
    <w:p>
      <w:pPr>
        <w:pStyle w:val="Heading2"/>
      </w:pPr>
      <w:r>
        <w:t xml:space="preserve">Colombia — formación pública complementaria</w:t>
      </w:r>
    </w:p>
    <w:p>
      <w:pPr>
        <w:pStyle w:val="FirstParagraph"/>
      </w:pPr>
      <w:r>
        <w:t xml:space="preserve">SENA ofrece formación complementaria titulada</w:t>
      </w:r>
      <w:r>
        <w:t xml:space="preserve"> </w:t>
      </w:r>
      <w:r>
        <w:rPr>
          <w:bCs/>
          <w:b/>
        </w:rPr>
        <w:t xml:space="preserve">Facturación de los servicios en salud</w:t>
      </w:r>
      <w:r>
        <w:t xml:space="preserve">, incluida una versión virtual de aproximadamente</w:t>
      </w:r>
      <w:r>
        <w:t xml:space="preserve"> </w:t>
      </w:r>
      <w:r>
        <w:rPr>
          <w:bCs/>
          <w:b/>
        </w:rPr>
        <w:t xml:space="preserve">40 horas</w:t>
      </w:r>
      <w:r>
        <w:t xml:space="preserve"> </w:t>
      </w:r>
      <w:r>
        <w:t xml:space="preserve">y una versión presencial de aproximadamente</w:t>
      </w:r>
      <w:r>
        <w:t xml:space="preserve"> </w:t>
      </w:r>
      <w:r>
        <w:rPr>
          <w:bCs/>
          <w:b/>
        </w:rPr>
        <w:t xml:space="preserve">48 horas</w:t>
      </w:r>
      <w:r>
        <w:t xml:space="preserve">, sujeta a disponibilidad y condiciones de admisión vigentes. Es formación complementaria útil para facturación de servicios de salud en Colombia. No equivale a CPC, CCA, CCS ni otra credencial profesional extranjera.</w:t>
      </w:r>
    </w:p>
    <w:p>
      <w:pPr>
        <w:pStyle w:val="BodyText"/>
      </w:pPr>
      <w:r>
        <w:t xml:space="preserve">Fuentes:</w:t>
      </w:r>
    </w:p>
    <w:p>
      <w:pPr>
        <w:numPr>
          <w:ilvl w:val="0"/>
          <w:numId w:val="1028"/>
        </w:numPr>
        <w:pStyle w:val="Compact"/>
      </w:pPr>
      <w:hyperlink r:id="rId81">
        <w:r>
          <w:rPr>
            <w:rStyle w:val="Hyperlink"/>
          </w:rPr>
          <w:t xml:space="preserve">https://betowa.sena.edu.co/oferta/facturacion-de-los-servicios-en-salud?modality=V&amp;programId=110493</w:t>
        </w:r>
      </w:hyperlink>
    </w:p>
    <w:p>
      <w:pPr>
        <w:numPr>
          <w:ilvl w:val="0"/>
          <w:numId w:val="1028"/>
        </w:numPr>
        <w:pStyle w:val="Compact"/>
      </w:pPr>
      <w:hyperlink r:id="rId82">
        <w:r>
          <w:rPr>
            <w:rStyle w:val="Hyperlink"/>
          </w:rPr>
          <w:t xml:space="preserve">https://betowa.sena.edu.co/oferta/facturacion-de-los-servicios-en-salud?programId=110492</w:t>
        </w:r>
      </w:hyperlink>
    </w:p>
    <w:p>
      <w:pPr>
        <w:pStyle w:val="FirstParagraph"/>
      </w:pPr>
      <w:r>
        <w:t xml:space="preserve">No se ha verificado para esta revisión una serie salarial nacional oficial colombiana directamente comparable para el título combinado exacto de Estados Unidos.</w:t>
      </w:r>
      <w:r>
        <w:t xml:space="preserve"> </w:t>
      </w:r>
      <w:r>
        <w:rPr>
          <w:bCs/>
          <w:b/>
        </w:rPr>
        <w:t xml:space="preserve">No invente una.</w:t>
      </w:r>
      <w:r>
        <w:t xml:space="preserve"> </w:t>
      </w:r>
      <w:r>
        <w:t xml:space="preserve">Utilice ofertas de empleo colombianas actuales y fuentes oficiales de empleo o trabajo para el título local real.</w:t>
      </w:r>
    </w:p>
    <w:p>
      <w:pPr>
        <w:pStyle w:val="BodyText"/>
      </w:pPr>
      <w:r>
        <w:t xml:space="preserve">Para otros países latinoamericanos, verifique por separado la terminología del sistema de salud local, reglas de facturación, sistemas de codificación o clasificación, ley de privacidad, rutas de formación, expectativas de credenciales y requisitos del empleador.</w:t>
      </w:r>
    </w:p>
    <w:bookmarkEnd w:id="83"/>
    <w:bookmarkEnd w:id="84"/>
    <w:bookmarkStart w:id="85" w:name="Xd506860e05647038ee1ef95613dab4f9b0ebd8f"/>
    <w:p>
      <w:pPr>
        <w:pStyle w:val="Heading1"/>
      </w:pPr>
      <w:r>
        <w:t xml:space="preserve">17. Antes de inscribirse o firmar</w:t>
      </w:r>
    </w:p>
    <w:p>
      <w:pPr>
        <w:pStyle w:val="FirstParagraph"/>
      </w:pPr>
      <w:r>
        <w:t xml:space="preserve">Verifique por escrito:</w:t>
      </w:r>
    </w:p>
    <w:p>
      <w:pPr>
        <w:numPr>
          <w:ilvl w:val="0"/>
          <w:numId w:val="1029"/>
        </w:numPr>
        <w:pStyle w:val="Compact"/>
      </w:pPr>
      <w:r>
        <w:t xml:space="preserve">el puesto exacto para el que se prepara;</w:t>
      </w:r>
    </w:p>
    <w:p>
      <w:pPr>
        <w:numPr>
          <w:ilvl w:val="0"/>
          <w:numId w:val="1029"/>
        </w:numPr>
        <w:pStyle w:val="Compact"/>
      </w:pPr>
      <w:r>
        <w:t xml:space="preserve">requisitos legales, del pagador o cliente y del empleador;</w:t>
      </w:r>
    </w:p>
    <w:p>
      <w:pPr>
        <w:numPr>
          <w:ilvl w:val="0"/>
          <w:numId w:val="1029"/>
        </w:numPr>
        <w:pStyle w:val="Compact"/>
      </w:pPr>
      <w:r>
        <w:t xml:space="preserve">matrícula y tarifas completas;</w:t>
      </w:r>
    </w:p>
    <w:p>
      <w:pPr>
        <w:numPr>
          <w:ilvl w:val="0"/>
          <w:numId w:val="1029"/>
        </w:numPr>
        <w:pStyle w:val="Compact"/>
      </w:pPr>
      <w:r>
        <w:t xml:space="preserve">costos de libros, conjuntos de códigos vigentes, software, membresía y exámenes;</w:t>
      </w:r>
    </w:p>
    <w:p>
      <w:pPr>
        <w:numPr>
          <w:ilvl w:val="0"/>
          <w:numId w:val="1029"/>
        </w:numPr>
        <w:pStyle w:val="Compact"/>
      </w:pPr>
      <w:r>
        <w:t xml:space="preserve">acreditación o reconocimiento del programa cuando corresponda;</w:t>
      </w:r>
    </w:p>
    <w:p>
      <w:pPr>
        <w:numPr>
          <w:ilvl w:val="0"/>
          <w:numId w:val="1029"/>
        </w:numPr>
        <w:pStyle w:val="Compact"/>
      </w:pPr>
      <w:r>
        <w:t xml:space="preserve">elegibilidad para examen;</w:t>
      </w:r>
    </w:p>
    <w:p>
      <w:pPr>
        <w:numPr>
          <w:ilvl w:val="0"/>
          <w:numId w:val="1029"/>
        </w:numPr>
        <w:pStyle w:val="Compact"/>
      </w:pPr>
      <w:r>
        <w:t xml:space="preserve">si se requiere experiencia para la credencial que desea;</w:t>
      </w:r>
    </w:p>
    <w:p>
      <w:pPr>
        <w:numPr>
          <w:ilvl w:val="0"/>
          <w:numId w:val="1029"/>
        </w:numPr>
        <w:pStyle w:val="Compact"/>
      </w:pPr>
      <w:r>
        <w:t xml:space="preserve">transferibilidad del crédito académico;</w:t>
      </w:r>
    </w:p>
    <w:p>
      <w:pPr>
        <w:numPr>
          <w:ilvl w:val="0"/>
          <w:numId w:val="1029"/>
        </w:numPr>
        <w:pStyle w:val="Compact"/>
      </w:pPr>
      <w:r>
        <w:t xml:space="preserve">términos de colocación laboral y metodología de resultados;</w:t>
      </w:r>
    </w:p>
    <w:p>
      <w:pPr>
        <w:numPr>
          <w:ilvl w:val="0"/>
          <w:numId w:val="1029"/>
        </w:numPr>
        <w:pStyle w:val="Compact"/>
      </w:pPr>
      <w:r>
        <w:t xml:space="preserve">procedimientos de reembolso, cancelación y quejas;</w:t>
      </w:r>
    </w:p>
    <w:p>
      <w:pPr>
        <w:numPr>
          <w:ilvl w:val="0"/>
          <w:numId w:val="1029"/>
        </w:numPr>
        <w:pStyle w:val="Compact"/>
      </w:pPr>
      <w:r>
        <w:t xml:space="preserve">cobertura del empleador y obligaciones de reembolso;</w:t>
      </w:r>
    </w:p>
    <w:p>
      <w:pPr>
        <w:numPr>
          <w:ilvl w:val="0"/>
          <w:numId w:val="1029"/>
        </w:numPr>
        <w:pStyle w:val="Compact"/>
      </w:pPr>
      <w:r>
        <w:t xml:space="preserve">accesibilidad durante formación y pruebas;</w:t>
      </w:r>
    </w:p>
    <w:p>
      <w:pPr>
        <w:numPr>
          <w:ilvl w:val="0"/>
          <w:numId w:val="1029"/>
        </w:numPr>
        <w:pStyle w:val="Compact"/>
      </w:pPr>
      <w:r>
        <w:t xml:space="preserve">impacto del horario, transporte y responsabilidades de cuidado; y</w:t>
      </w:r>
    </w:p>
    <w:p>
      <w:pPr>
        <w:numPr>
          <w:ilvl w:val="0"/>
          <w:numId w:val="1029"/>
        </w:numPr>
        <w:pStyle w:val="Compact"/>
      </w:pPr>
      <w:r>
        <w:t xml:space="preserve">qué registros, créditos y credenciales conserva si deja el programa.</w:t>
      </w:r>
    </w:p>
    <w:bookmarkEnd w:id="85"/>
    <w:bookmarkStart w:id="88" w:name="Xe1e1a17a219c14050a24bfb04e8df79f3c7404e"/>
    <w:p>
      <w:pPr>
        <w:pStyle w:val="Heading1"/>
      </w:pPr>
      <w:r>
        <w:t xml:space="preserve">18. ¿Es esta carrera adecuada para mí? y plan de acción de doce semanas</w:t>
      </w:r>
    </w:p>
    <w:bookmarkStart w:id="86" w:name="cuadro-de-decisión"/>
    <w:p>
      <w:pPr>
        <w:pStyle w:val="Heading2"/>
      </w:pPr>
      <w:r>
        <w:t xml:space="preserve">Cuadro de decisión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Pregunta</w:t>
            </w:r>
          </w:p>
        </w:tc>
        <w:tc>
          <w:tcPr/>
          <w:p>
            <w:pPr>
              <w:pStyle w:val="Compact"/>
              <w:jc w:val="left"/>
            </w:pPr>
            <w:r>
              <w:t xml:space="preserve">Sí</w:t>
            </w:r>
          </w:p>
        </w:tc>
        <w:tc>
          <w:tcPr/>
          <w:p>
            <w:pPr>
              <w:pStyle w:val="Compact"/>
              <w:jc w:val="left"/>
            </w:pPr>
            <w:r>
              <w:t xml:space="preserve">Aún no</w:t>
            </w:r>
          </w:p>
        </w:tc>
        <w:tc>
          <w:tcPr/>
          <w:p>
            <w:pPr>
              <w:pStyle w:val="Compact"/>
              <w:jc w:val="left"/>
            </w:pPr>
            <w:r>
              <w:t xml:space="preserve">Preocupación importante</w:t>
            </w:r>
          </w:p>
        </w:tc>
      </w:tr>
      <w:tr>
        <w:tc>
          <w:tcPr/>
          <w:p>
            <w:pPr>
              <w:pStyle w:val="Compact"/>
              <w:jc w:val="left"/>
            </w:pPr>
            <w:r>
              <w:t xml:space="preserve">Comprendo la diferencia entre facturación, codificación y el trabajo más amplio de información de salud.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Revisé requisitos actuales de empleadores en mi mercado objetivo.</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Verifiqué salarios locales realistas en lugar de depender de publicidad.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La ruta completa es asequible.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Comprendo los requisitos de credenciales y exámenes.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Comprendo las condiciones de reembolso al empleador, si existen.</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Toda la ruta es accesible.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El horario y el impacto familiar son viables.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Tengo un plan de avance y salida.</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6"/>
    <w:bookmarkStart w:id="87" w:name="plan-de-acción-de-doce-semanas"/>
    <w:p>
      <w:pPr>
        <w:pStyle w:val="Heading2"/>
      </w:pPr>
      <w:r>
        <w:t xml:space="preserve">Plan de acción de doce semanas</w:t>
      </w:r>
    </w:p>
    <w:p>
      <w:pPr>
        <w:pStyle w:val="FirstParagraph"/>
      </w:pPr>
      <w:r>
        <w:rPr>
          <w:bCs/>
          <w:b/>
        </w:rPr>
        <w:t xml:space="preserve">Semanas 1–2:</w:t>
      </w:r>
      <w:r>
        <w:t xml:space="preserve"> </w:t>
      </w:r>
      <w:r>
        <w:t xml:space="preserve">Defina fortalezas, restricciones, necesidades de acceso, necesidades de idioma y condiciones no negociables.</w:t>
      </w:r>
    </w:p>
    <w:p>
      <w:pPr>
        <w:pStyle w:val="BodyText"/>
      </w:pPr>
      <w:r>
        <w:rPr>
          <w:bCs/>
          <w:b/>
        </w:rPr>
        <w:t xml:space="preserve">Semanas 3–4:</w:t>
      </w:r>
      <w:r>
        <w:t xml:space="preserve"> </w:t>
      </w:r>
      <w:r>
        <w:t xml:space="preserve">Estudie funciones de facturación, codificación, información de salud y ciclo de ingresos; aprenda terminología básica y límites de privacidad y seguridad.</w:t>
      </w:r>
    </w:p>
    <w:p>
      <w:pPr>
        <w:pStyle w:val="BodyText"/>
      </w:pPr>
      <w:r>
        <w:rPr>
          <w:bCs/>
          <w:b/>
        </w:rPr>
        <w:t xml:space="preserve">Semanas 5–6:</w:t>
      </w:r>
      <w:r>
        <w:t xml:space="preserve"> </w:t>
      </w:r>
      <w:r>
        <w:t xml:space="preserve">Revise ofertas locales actuales, salarios, beneficios, horarios y requisitos comunes de empleadores.</w:t>
      </w:r>
    </w:p>
    <w:p>
      <w:pPr>
        <w:pStyle w:val="BodyText"/>
      </w:pPr>
      <w:r>
        <w:rPr>
          <w:bCs/>
          <w:b/>
        </w:rPr>
        <w:t xml:space="preserve">Semanas 7–8:</w:t>
      </w:r>
      <w:r>
        <w:t xml:space="preserve"> </w:t>
      </w:r>
      <w:r>
        <w:t xml:space="preserve">Compare opciones educativas públicas, apoyadas por empleadores y privadas; verifique rutas de credenciales y exámenes.</w:t>
      </w:r>
    </w:p>
    <w:p>
      <w:pPr>
        <w:pStyle w:val="BodyText"/>
      </w:pPr>
      <w:r>
        <w:rPr>
          <w:bCs/>
          <w:b/>
        </w:rPr>
        <w:t xml:space="preserve">Semanas 9–10:</w:t>
      </w:r>
      <w:r>
        <w:t xml:space="preserve"> </w:t>
      </w:r>
      <w:r>
        <w:t xml:space="preserve">Verifique financiamiento, costo total, cuestiones tributarias, acuerdos de reembolso, adaptaciones y consecuencias de salida.</w:t>
      </w:r>
    </w:p>
    <w:p>
      <w:pPr>
        <w:pStyle w:val="BodyText"/>
      </w:pPr>
      <w:r>
        <w:rPr>
          <w:bCs/>
          <w:b/>
        </w:rPr>
        <w:t xml:space="preserve">Semanas 11–12:</w:t>
      </w:r>
      <w:r>
        <w:t xml:space="preserve"> </w:t>
      </w:r>
      <w:r>
        <w:t xml:space="preserve">Complete muestras de trabajo éticas, prepare evidencia para su currículo e historias para entrevistas y decida si continuar, detenerse o cambiar de dirección.</w:t>
      </w:r>
    </w:p>
    <w:bookmarkEnd w:id="87"/>
    <w:bookmarkEnd w:id="88"/>
    <w:bookmarkStart w:id="99" w:name="X14669982ea998dc00dad6289481e899ebe86b6d"/>
    <w:p>
      <w:pPr>
        <w:pStyle w:val="Heading1"/>
      </w:pPr>
      <w:r>
        <w:t xml:space="preserve">19. Hojas de trabajo, fuentes, versiones y mantenimiento</w:t>
      </w:r>
    </w:p>
    <w:bookmarkStart w:id="89" w:name="hoja-de-costos"/>
    <w:p>
      <w:pPr>
        <w:pStyle w:val="Heading2"/>
      </w:pPr>
      <w:r>
        <w:t xml:space="preserve">Hoja de costos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Categoría de costo</w:t>
            </w:r>
          </w:p>
        </w:tc>
        <w:tc>
          <w:tcPr/>
          <w:p>
            <w:pPr>
              <w:pStyle w:val="Compact"/>
              <w:jc w:val="right"/>
            </w:pPr>
            <w:r>
              <w:t xml:space="preserve">Estimación</w:t>
            </w:r>
          </w:p>
        </w:tc>
        <w:tc>
          <w:tcPr/>
          <w:p>
            <w:pPr>
              <w:pStyle w:val="Compact"/>
              <w:jc w:val="left"/>
            </w:pPr>
            <w:r>
              <w:t xml:space="preserve">¿Quién podría pagar?</w:t>
            </w:r>
          </w:p>
        </w:tc>
        <w:tc>
          <w:tcPr/>
          <w:p>
            <w:pPr>
              <w:pStyle w:val="Compact"/>
              <w:jc w:val="left"/>
            </w:pPr>
            <w:r>
              <w:t xml:space="preserve">Fuente/fecha verificada</w:t>
            </w:r>
          </w:p>
        </w:tc>
      </w:tr>
      <w:tr>
        <w:tc>
          <w:tcPr/>
          <w:p>
            <w:pPr>
              <w:pStyle w:val="Compact"/>
              <w:jc w:val="left"/>
            </w:pPr>
            <w:r>
              <w:t xml:space="preserve">Matrícula y tarifas</w:t>
            </w:r>
          </w:p>
        </w:tc>
        <w:tc>
          <w:tcPr/>
          <w:p>
            <w:pPr>
              <w:pStyle w:val="Compact"/>
            </w:pPr>
          </w:p>
        </w:tc>
        <w:tc>
          <w:tcPr/>
          <w:p>
            <w:pPr>
              <w:pStyle w:val="Compact"/>
            </w:pPr>
          </w:p>
        </w:tc>
        <w:tc>
          <w:tcPr/>
          <w:p>
            <w:pPr>
              <w:pStyle w:val="Compact"/>
            </w:pPr>
          </w:p>
        </w:tc>
      </w:tr>
      <w:tr>
        <w:tc>
          <w:tcPr/>
          <w:p>
            <w:pPr>
              <w:pStyle w:val="Compact"/>
              <w:jc w:val="left"/>
            </w:pPr>
            <w:r>
              <w:t xml:space="preserve">Libros y conjuntos de códigos vigentes</w:t>
            </w:r>
          </w:p>
        </w:tc>
        <w:tc>
          <w:tcPr/>
          <w:p>
            <w:pPr>
              <w:pStyle w:val="Compact"/>
            </w:pPr>
          </w:p>
        </w:tc>
        <w:tc>
          <w:tcPr/>
          <w:p>
            <w:pPr>
              <w:pStyle w:val="Compact"/>
            </w:pPr>
          </w:p>
        </w:tc>
        <w:tc>
          <w:tcPr/>
          <w:p>
            <w:pPr>
              <w:pStyle w:val="Compact"/>
            </w:pPr>
          </w:p>
        </w:tc>
      </w:tr>
      <w:tr>
        <w:tc>
          <w:tcPr/>
          <w:p>
            <w:pPr>
              <w:pStyle w:val="Compact"/>
              <w:jc w:val="left"/>
            </w:pPr>
            <w:r>
              <w:t xml:space="preserve">Software y tecnología</w:t>
            </w:r>
          </w:p>
        </w:tc>
        <w:tc>
          <w:tcPr/>
          <w:p>
            <w:pPr>
              <w:pStyle w:val="Compact"/>
            </w:pPr>
          </w:p>
        </w:tc>
        <w:tc>
          <w:tcPr/>
          <w:p>
            <w:pPr>
              <w:pStyle w:val="Compact"/>
            </w:pPr>
          </w:p>
        </w:tc>
        <w:tc>
          <w:tcPr/>
          <w:p>
            <w:pPr>
              <w:pStyle w:val="Compact"/>
            </w:pPr>
          </w:p>
        </w:tc>
      </w:tr>
      <w:tr>
        <w:tc>
          <w:tcPr/>
          <w:p>
            <w:pPr>
              <w:pStyle w:val="Compact"/>
              <w:jc w:val="left"/>
            </w:pPr>
            <w:r>
              <w:t xml:space="preserve">Examen de certificación y membresía</w:t>
            </w:r>
          </w:p>
        </w:tc>
        <w:tc>
          <w:tcPr/>
          <w:p>
            <w:pPr>
              <w:pStyle w:val="Compact"/>
            </w:pPr>
          </w:p>
        </w:tc>
        <w:tc>
          <w:tcPr/>
          <w:p>
            <w:pPr>
              <w:pStyle w:val="Compact"/>
            </w:pPr>
          </w:p>
        </w:tc>
        <w:tc>
          <w:tcPr/>
          <w:p>
            <w:pPr>
              <w:pStyle w:val="Compact"/>
            </w:pPr>
          </w:p>
        </w:tc>
      </w:tr>
      <w:tr>
        <w:tc>
          <w:tcPr/>
          <w:p>
            <w:pPr>
              <w:pStyle w:val="Compact"/>
              <w:jc w:val="left"/>
            </w:pPr>
            <w:r>
              <w:t xml:space="preserve">Viajes, estacionamiento, alojamiento y comidas</w:t>
            </w:r>
          </w:p>
        </w:tc>
        <w:tc>
          <w:tcPr/>
          <w:p>
            <w:pPr>
              <w:pStyle w:val="Compact"/>
            </w:pPr>
          </w:p>
        </w:tc>
        <w:tc>
          <w:tcPr/>
          <w:p>
            <w:pPr>
              <w:pStyle w:val="Compact"/>
            </w:pPr>
          </w:p>
        </w:tc>
        <w:tc>
          <w:tcPr/>
          <w:p>
            <w:pPr>
              <w:pStyle w:val="Compact"/>
            </w:pPr>
          </w:p>
        </w:tc>
      </w:tr>
      <w:tr>
        <w:tc>
          <w:tcPr/>
          <w:p>
            <w:pPr>
              <w:pStyle w:val="Compact"/>
              <w:jc w:val="left"/>
            </w:pPr>
            <w:r>
              <w:t xml:space="preserve">Cuidado infantil o de adultos mayores</w:t>
            </w:r>
          </w:p>
        </w:tc>
        <w:tc>
          <w:tcPr/>
          <w:p>
            <w:pPr>
              <w:pStyle w:val="Compact"/>
            </w:pPr>
          </w:p>
        </w:tc>
        <w:tc>
          <w:tcPr/>
          <w:p>
            <w:pPr>
              <w:pStyle w:val="Compact"/>
            </w:pPr>
          </w:p>
        </w:tc>
        <w:tc>
          <w:tcPr/>
          <w:p>
            <w:pPr>
              <w:pStyle w:val="Compact"/>
            </w:pPr>
          </w:p>
        </w:tc>
      </w:tr>
      <w:tr>
        <w:tc>
          <w:tcPr/>
          <w:p>
            <w:pPr>
              <w:pStyle w:val="Compact"/>
              <w:jc w:val="left"/>
            </w:pPr>
            <w:r>
              <w:t xml:space="preserve">Salarios perdidos o reducción de horas</w:t>
            </w:r>
          </w:p>
        </w:tc>
        <w:tc>
          <w:tcPr/>
          <w:p>
            <w:pPr>
              <w:pStyle w:val="Compact"/>
            </w:pPr>
          </w:p>
        </w:tc>
        <w:tc>
          <w:tcPr/>
          <w:p>
            <w:pPr>
              <w:pStyle w:val="Compact"/>
            </w:pPr>
          </w:p>
        </w:tc>
        <w:tc>
          <w:tcPr/>
          <w:p>
            <w:pPr>
              <w:pStyle w:val="Compact"/>
            </w:pPr>
          </w:p>
        </w:tc>
      </w:tr>
      <w:tr>
        <w:tc>
          <w:tcPr/>
          <w:p>
            <w:pPr>
              <w:pStyle w:val="Compact"/>
              <w:jc w:val="left"/>
            </w:pPr>
            <w:r>
              <w:t xml:space="preserve">Otros costos</w:t>
            </w:r>
          </w:p>
        </w:tc>
        <w:tc>
          <w:tcPr/>
          <w:p>
            <w:pPr>
              <w:pStyle w:val="Compact"/>
            </w:pPr>
          </w:p>
        </w:tc>
        <w:tc>
          <w:tcPr/>
          <w:p>
            <w:pPr>
              <w:pStyle w:val="Compact"/>
            </w:pPr>
          </w:p>
        </w:tc>
        <w:tc>
          <w:tcPr/>
          <w:p>
            <w:pPr>
              <w:pStyle w:val="Compact"/>
            </w:pPr>
          </w:p>
        </w:tc>
      </w:tr>
    </w:tbl>
    <w:bookmarkEnd w:id="89"/>
    <w:bookmarkStart w:id="90" w:name="Xad071f615f6273b202f9b2fc5269b6f7b0f7a50"/>
    <w:p>
      <w:pPr>
        <w:pStyle w:val="Heading2"/>
      </w:pPr>
      <w:r>
        <w:t xml:space="preserve">Hoja de educación financiada por el empleador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Pregunta</w:t>
            </w:r>
          </w:p>
        </w:tc>
        <w:tc>
          <w:tcPr/>
          <w:p>
            <w:pPr>
              <w:pStyle w:val="Compact"/>
              <w:jc w:val="left"/>
            </w:pPr>
            <w:r>
              <w:t xml:space="preserve">Respuesta por escrito</w:t>
            </w:r>
          </w:p>
        </w:tc>
      </w:tr>
      <w:tr>
        <w:tc>
          <w:tcPr/>
          <w:p>
            <w:pPr>
              <w:pStyle w:val="Compact"/>
              <w:jc w:val="left"/>
            </w:pPr>
            <w:r>
              <w:t xml:space="preserve">¿Qué cubre?</w:t>
            </w:r>
          </w:p>
        </w:tc>
        <w:tc>
          <w:tcPr/>
          <w:p>
            <w:pPr>
              <w:pStyle w:val="Compact"/>
            </w:pPr>
          </w:p>
        </w:tc>
      </w:tr>
      <w:tr>
        <w:tc>
          <w:tcPr/>
          <w:p>
            <w:pPr>
              <w:pStyle w:val="Compact"/>
              <w:jc w:val="left"/>
            </w:pPr>
            <w:r>
              <w:t xml:space="preserve">¿Pago directo o reembolso?</w:t>
            </w:r>
          </w:p>
        </w:tc>
        <w:tc>
          <w:tcPr/>
          <w:p>
            <w:pPr>
              <w:pStyle w:val="Compact"/>
            </w:pPr>
          </w:p>
        </w:tc>
      </w:tr>
      <w:tr>
        <w:tc>
          <w:tcPr/>
          <w:p>
            <w:pPr>
              <w:pStyle w:val="Compact"/>
              <w:jc w:val="left"/>
            </w:pPr>
            <w:r>
              <w:t xml:space="preserve">¿Requisito de nota, examen o desempeño?</w:t>
            </w:r>
          </w:p>
        </w:tc>
        <w:tc>
          <w:tcPr/>
          <w:p>
            <w:pPr>
              <w:pStyle w:val="Compact"/>
            </w:pPr>
          </w:p>
        </w:tc>
      </w:tr>
      <w:tr>
        <w:tc>
          <w:tcPr/>
          <w:p>
            <w:pPr>
              <w:pStyle w:val="Compact"/>
              <w:jc w:val="left"/>
            </w:pPr>
            <w:r>
              <w:t xml:space="preserve">¿Período obligatorio de empleo?</w:t>
            </w:r>
          </w:p>
        </w:tc>
        <w:tc>
          <w:tcPr/>
          <w:p>
            <w:pPr>
              <w:pStyle w:val="Compact"/>
            </w:pPr>
          </w:p>
        </w:tc>
      </w:tr>
      <w:tr>
        <w:tc>
          <w:tcPr/>
          <w:p>
            <w:pPr>
              <w:pStyle w:val="Compact"/>
              <w:jc w:val="left"/>
            </w:pPr>
            <w:r>
              <w:t xml:space="preserve">¿Fórmula de reembolso proporcional?</w:t>
            </w:r>
          </w:p>
        </w:tc>
        <w:tc>
          <w:tcPr/>
          <w:p>
            <w:pPr>
              <w:pStyle w:val="Compact"/>
            </w:pPr>
          </w:p>
        </w:tc>
      </w:tr>
      <w:tr>
        <w:tc>
          <w:tcPr/>
          <w:p>
            <w:pPr>
              <w:pStyle w:val="Compact"/>
              <w:jc w:val="left"/>
            </w:pPr>
            <w:r>
              <w:t xml:space="preserve">¿Tratamiento de despido y eliminación del puesto?</w:t>
            </w:r>
          </w:p>
        </w:tc>
        <w:tc>
          <w:tcPr/>
          <w:p>
            <w:pPr>
              <w:pStyle w:val="Compact"/>
            </w:pPr>
          </w:p>
        </w:tc>
      </w:tr>
      <w:tr>
        <w:tc>
          <w:tcPr/>
          <w:p>
            <w:pPr>
              <w:pStyle w:val="Compact"/>
              <w:jc w:val="left"/>
            </w:pPr>
            <w:r>
              <w:t xml:space="preserve">¿Tratamiento de discapacidad, servicio militar, jubilación, transferencia o cierre?</w:t>
            </w:r>
          </w:p>
        </w:tc>
        <w:tc>
          <w:tcPr/>
          <w:p>
            <w:pPr>
              <w:pStyle w:val="Compact"/>
            </w:pPr>
          </w:p>
        </w:tc>
      </w:tr>
      <w:tr>
        <w:tc>
          <w:tcPr/>
          <w:p>
            <w:pPr>
              <w:pStyle w:val="Compact"/>
              <w:jc w:val="left"/>
            </w:pPr>
            <w:r>
              <w:t xml:space="preserve">¿Quién conserva los históricos académicos y registros de credenciales?</w:t>
            </w:r>
          </w:p>
        </w:tc>
        <w:tc>
          <w:tcPr/>
          <w:p>
            <w:pPr>
              <w:pStyle w:val="Compact"/>
            </w:pPr>
          </w:p>
        </w:tc>
      </w:tr>
      <w:tr>
        <w:tc>
          <w:tcPr/>
          <w:p>
            <w:pPr>
              <w:pStyle w:val="Compact"/>
              <w:jc w:val="left"/>
            </w:pPr>
            <w:r>
              <w:t xml:space="preserve">¿Los descuentos de nómina/salario final están autorizados y son legales?</w:t>
            </w:r>
          </w:p>
        </w:tc>
        <w:tc>
          <w:tcPr/>
          <w:p>
            <w:pPr>
              <w:pStyle w:val="Compact"/>
            </w:pPr>
          </w:p>
        </w:tc>
      </w:tr>
    </w:tbl>
    <w:bookmarkEnd w:id="90"/>
    <w:bookmarkStart w:id="97" w:name="fuentes-principales"/>
    <w:p>
      <w:pPr>
        <w:pStyle w:val="Heading2"/>
      </w:pPr>
      <w:r>
        <w:t xml:space="preserve">Fuentes principales</w:t>
      </w:r>
    </w:p>
    <w:bookmarkStart w:id="94" w:name="estados-unidos-1"/>
    <w:p>
      <w:pPr>
        <w:pStyle w:val="Heading3"/>
      </w:pPr>
      <w:r>
        <w:t xml:space="preserve">Estados Unidos</w:t>
      </w:r>
    </w:p>
    <w:p>
      <w:pPr>
        <w:numPr>
          <w:ilvl w:val="0"/>
          <w:numId w:val="1030"/>
        </w:numPr>
        <w:pStyle w:val="Compact"/>
      </w:pPr>
      <w:r>
        <w:t xml:space="preserve">U.S. Bureau of Labor Statistics — Medical Records Specialists:</w:t>
      </w:r>
      <w:r>
        <w:t xml:space="preserve"> </w:t>
      </w:r>
      <w:hyperlink r:id="rId40">
        <w:r>
          <w:rPr>
            <w:rStyle w:val="Hyperlink"/>
          </w:rPr>
          <w:t xml:space="preserve">https://www.bls.gov/ooh/healthcare/medical-records-and-health-information-technicians.htm</w:t>
        </w:r>
      </w:hyperlink>
    </w:p>
    <w:p>
      <w:pPr>
        <w:numPr>
          <w:ilvl w:val="0"/>
          <w:numId w:val="1030"/>
        </w:numPr>
        <w:pStyle w:val="Compact"/>
      </w:pPr>
      <w:r>
        <w:t xml:space="preserve">CMS — ICD-10:</w:t>
      </w:r>
      <w:r>
        <w:t xml:space="preserve"> </w:t>
      </w:r>
      <w:hyperlink r:id="rId91">
        <w:r>
          <w:rPr>
            <w:rStyle w:val="Hyperlink"/>
          </w:rPr>
          <w:t xml:space="preserve">https://www.cms.gov/medicare/coding-billing/icd-10-codes</w:t>
        </w:r>
      </w:hyperlink>
    </w:p>
    <w:p>
      <w:pPr>
        <w:numPr>
          <w:ilvl w:val="0"/>
          <w:numId w:val="1030"/>
        </w:numPr>
        <w:pStyle w:val="Compact"/>
      </w:pPr>
      <w:r>
        <w:t xml:space="preserve">CMS — HCPCS:</w:t>
      </w:r>
      <w:r>
        <w:t xml:space="preserve"> </w:t>
      </w:r>
      <w:hyperlink r:id="rId92">
        <w:r>
          <w:rPr>
            <w:rStyle w:val="Hyperlink"/>
          </w:rPr>
          <w:t xml:space="preserve">https://www.cms.gov/medicare/coding-billing/healthcare-common-procedure-system</w:t>
        </w:r>
      </w:hyperlink>
    </w:p>
    <w:p>
      <w:pPr>
        <w:numPr>
          <w:ilvl w:val="0"/>
          <w:numId w:val="1030"/>
        </w:numPr>
        <w:pStyle w:val="Compact"/>
      </w:pPr>
      <w:r>
        <w:t xml:space="preserve">HHS Office for Civil Rights — HIPAA Privacy Rule:</w:t>
      </w:r>
      <w:r>
        <w:t xml:space="preserve"> </w:t>
      </w:r>
      <w:hyperlink r:id="rId65">
        <w:r>
          <w:rPr>
            <w:rStyle w:val="Hyperlink"/>
          </w:rPr>
          <w:t xml:space="preserve">https://www.hhs.gov/hipaa/for-professionals/privacy/index.html</w:t>
        </w:r>
      </w:hyperlink>
    </w:p>
    <w:p>
      <w:pPr>
        <w:numPr>
          <w:ilvl w:val="0"/>
          <w:numId w:val="1030"/>
        </w:numPr>
        <w:pStyle w:val="Compact"/>
      </w:pPr>
      <w:r>
        <w:t xml:space="preserve">HHS — Minimum Necessary Requirement:</w:t>
      </w:r>
      <w:r>
        <w:t xml:space="preserve"> </w:t>
      </w:r>
      <w:hyperlink r:id="rId66">
        <w:r>
          <w:rPr>
            <w:rStyle w:val="Hyperlink"/>
          </w:rPr>
          <w:t xml:space="preserve">https://www.hhs.gov/hipaa/for-professionals/privacy/guidance/minimum-necessary-requirement/index.html</w:t>
        </w:r>
      </w:hyperlink>
    </w:p>
    <w:p>
      <w:pPr>
        <w:numPr>
          <w:ilvl w:val="0"/>
          <w:numId w:val="1030"/>
        </w:numPr>
        <w:pStyle w:val="Compact"/>
      </w:pPr>
      <w:r>
        <w:t xml:space="preserve">AHIMA — certificaciones:</w:t>
      </w:r>
      <w:r>
        <w:t xml:space="preserve"> </w:t>
      </w:r>
      <w:hyperlink r:id="rId93">
        <w:r>
          <w:rPr>
            <w:rStyle w:val="Hyperlink"/>
          </w:rPr>
          <w:t xml:space="preserve">https://www.ahima.org/certification-careers/certifications-overview/</w:t>
        </w:r>
      </w:hyperlink>
    </w:p>
    <w:p>
      <w:pPr>
        <w:numPr>
          <w:ilvl w:val="0"/>
          <w:numId w:val="1030"/>
        </w:numPr>
        <w:pStyle w:val="Compact"/>
      </w:pPr>
      <w:r>
        <w:t xml:space="preserve">AAPC:</w:t>
      </w:r>
      <w:r>
        <w:t xml:space="preserve"> </w:t>
      </w:r>
      <w:hyperlink r:id="rId50">
        <w:r>
          <w:rPr>
            <w:rStyle w:val="Hyperlink"/>
          </w:rPr>
          <w:t xml:space="preserve">https://www.aapc.com/</w:t>
        </w:r>
      </w:hyperlink>
    </w:p>
    <w:p>
      <w:pPr>
        <w:numPr>
          <w:ilvl w:val="0"/>
          <w:numId w:val="1030"/>
        </w:numPr>
        <w:pStyle w:val="Compact"/>
      </w:pPr>
      <w:r>
        <w:t xml:space="preserve">Apprenticeship.gov — salud:</w:t>
      </w:r>
      <w:r>
        <w:t xml:space="preserve"> </w:t>
      </w:r>
      <w:hyperlink r:id="rId60">
        <w:r>
          <w:rPr>
            <w:rStyle w:val="Hyperlink"/>
          </w:rPr>
          <w:t xml:space="preserve">https://www.apprenticeship.gov/apprenticeship-industries/healthcare</w:t>
        </w:r>
      </w:hyperlink>
    </w:p>
    <w:p>
      <w:pPr>
        <w:numPr>
          <w:ilvl w:val="0"/>
          <w:numId w:val="1030"/>
        </w:numPr>
        <w:pStyle w:val="Compact"/>
      </w:pPr>
      <w:r>
        <w:t xml:space="preserve">U.S. Department of Labor — American Job Centers:</w:t>
      </w:r>
      <w:r>
        <w:t xml:space="preserve"> </w:t>
      </w:r>
      <w:hyperlink r:id="rId56">
        <w:r>
          <w:rPr>
            <w:rStyle w:val="Hyperlink"/>
          </w:rPr>
          <w:t xml:space="preserve">https://www.dol.gov/general/topic/training/onestop</w:t>
        </w:r>
      </w:hyperlink>
    </w:p>
    <w:p>
      <w:pPr>
        <w:numPr>
          <w:ilvl w:val="0"/>
          <w:numId w:val="1030"/>
        </w:numPr>
        <w:pStyle w:val="Compact"/>
      </w:pPr>
      <w:r>
        <w:t xml:space="preserve">U.S. Department of Labor — programas WIOA:</w:t>
      </w:r>
      <w:r>
        <w:t xml:space="preserve"> </w:t>
      </w:r>
      <w:hyperlink r:id="rId57">
        <w:r>
          <w:rPr>
            <w:rStyle w:val="Hyperlink"/>
          </w:rPr>
          <w:t xml:space="preserve">https://www.dol.gov/agencies/eta/wioa/programs</w:t>
        </w:r>
      </w:hyperlink>
    </w:p>
    <w:p>
      <w:pPr>
        <w:numPr>
          <w:ilvl w:val="0"/>
          <w:numId w:val="1030"/>
        </w:numPr>
        <w:pStyle w:val="Compact"/>
      </w:pPr>
      <w:r>
        <w:t xml:space="preserve">CareerOneStop — buscador de formación elegible para WIOA:</w:t>
      </w:r>
      <w:r>
        <w:t xml:space="preserve"> </w:t>
      </w:r>
      <w:hyperlink r:id="rId58">
        <w:r>
          <w:rPr>
            <w:rStyle w:val="Hyperlink"/>
          </w:rPr>
          <w:t xml:space="preserve">https://www.careeronestop.org/LocalHelp/EmploymentAndTraining/find-WIOA-training-programs.aspx</w:t>
        </w:r>
      </w:hyperlink>
    </w:p>
    <w:p>
      <w:pPr>
        <w:numPr>
          <w:ilvl w:val="0"/>
          <w:numId w:val="1030"/>
        </w:numPr>
        <w:pStyle w:val="Compact"/>
      </w:pPr>
      <w:r>
        <w:t xml:space="preserve">ZipRecruiter — estimación de mercado para el título exacto:</w:t>
      </w:r>
      <w:r>
        <w:t xml:space="preserve"> </w:t>
      </w:r>
      <w:hyperlink r:id="rId42">
        <w:r>
          <w:rPr>
            <w:rStyle w:val="Hyperlink"/>
          </w:rPr>
          <w:t xml:space="preserve">https://www.ziprecruiter.com/Salaries/Medical-Billing-Coding-Specialist-Salary</w:t>
        </w:r>
      </w:hyperlink>
    </w:p>
    <w:bookmarkEnd w:id="94"/>
    <w:bookmarkStart w:id="95" w:name="canadá"/>
    <w:p>
      <w:pPr>
        <w:pStyle w:val="Heading3"/>
      </w:pPr>
      <w:r>
        <w:t xml:space="preserve">Canadá</w:t>
      </w:r>
    </w:p>
    <w:p>
      <w:pPr>
        <w:numPr>
          <w:ilvl w:val="0"/>
          <w:numId w:val="1031"/>
        </w:numPr>
        <w:pStyle w:val="Compact"/>
      </w:pPr>
      <w:r>
        <w:t xml:space="preserve">Canada Job Bank — Health information management occupations:</w:t>
      </w:r>
      <w:r>
        <w:t xml:space="preserve"> </w:t>
      </w:r>
      <w:hyperlink r:id="rId75">
        <w:r>
          <w:rPr>
            <w:rStyle w:val="Hyperlink"/>
          </w:rPr>
          <w:t xml:space="preserve">https://www.jobbank.gc.ca/marketreport/summary-occupation/25614/ca</w:t>
        </w:r>
      </w:hyperlink>
    </w:p>
    <w:p>
      <w:pPr>
        <w:numPr>
          <w:ilvl w:val="0"/>
          <w:numId w:val="1031"/>
        </w:numPr>
        <w:pStyle w:val="Compact"/>
      </w:pPr>
      <w:r>
        <w:t xml:space="preserve">Canada Job Bank — salarios de Patient-billing clerk:</w:t>
      </w:r>
      <w:r>
        <w:t xml:space="preserve"> </w:t>
      </w:r>
      <w:hyperlink r:id="rId77">
        <w:r>
          <w:rPr>
            <w:rStyle w:val="Hyperlink"/>
          </w:rPr>
          <w:t xml:space="preserve">https://www.jobbank.gc.ca/marketreport/wages-occupation/14119/ca</w:t>
        </w:r>
      </w:hyperlink>
    </w:p>
    <w:bookmarkEnd w:id="95"/>
    <w:bookmarkStart w:id="96" w:name="colombia"/>
    <w:p>
      <w:pPr>
        <w:pStyle w:val="Heading3"/>
      </w:pPr>
      <w:r>
        <w:t xml:space="preserve">Colombia</w:t>
      </w:r>
    </w:p>
    <w:p>
      <w:pPr>
        <w:numPr>
          <w:ilvl w:val="0"/>
          <w:numId w:val="1032"/>
        </w:numPr>
        <w:pStyle w:val="Compact"/>
      </w:pPr>
      <w:r>
        <w:t xml:space="preserve">SENA — Facturación de los servicios en salud, virtual:</w:t>
      </w:r>
      <w:r>
        <w:t xml:space="preserve"> </w:t>
      </w:r>
      <w:hyperlink r:id="rId81">
        <w:r>
          <w:rPr>
            <w:rStyle w:val="Hyperlink"/>
          </w:rPr>
          <w:t xml:space="preserve">https://betowa.sena.edu.co/oferta/facturacion-de-los-servicios-en-salud?modality=V&amp;programId=110493</w:t>
        </w:r>
      </w:hyperlink>
    </w:p>
    <w:p>
      <w:pPr>
        <w:numPr>
          <w:ilvl w:val="0"/>
          <w:numId w:val="1032"/>
        </w:numPr>
        <w:pStyle w:val="Compact"/>
      </w:pPr>
      <w:r>
        <w:t xml:space="preserve">SENA — Facturación de los servicios en salud, presencial:</w:t>
      </w:r>
      <w:r>
        <w:t xml:space="preserve"> </w:t>
      </w:r>
      <w:hyperlink r:id="rId82">
        <w:r>
          <w:rPr>
            <w:rStyle w:val="Hyperlink"/>
          </w:rPr>
          <w:t xml:space="preserve">https://betowa.sena.edu.co/oferta/facturacion-de-los-servicios-en-salud?programId=110492</w:t>
        </w:r>
      </w:hyperlink>
    </w:p>
    <w:bookmarkEnd w:id="96"/>
    <w:bookmarkEnd w:id="97"/>
    <w:bookmarkStart w:id="98" w:name="política-de-mantenimiento"/>
    <w:p>
      <w:pPr>
        <w:pStyle w:val="Heading2"/>
      </w:pPr>
      <w:r>
        <w:t xml:space="preserve">Política de mantenimiento</w:t>
      </w:r>
    </w:p>
    <w:p>
      <w:pPr>
        <w:pStyle w:val="FirstParagraph"/>
      </w:pPr>
      <w:r>
        <w:t xml:space="preserve">Revise información sobre salarios, perspectivas, conjuntos de códigos, privacidad, certificación, educación, apprenticeships, financiamiento y enlaces al menos una vez al año y antes de cada nueva publicación. Marque la información incierta o dependiente de la jurisdicción para verificación en lugar de adivinar.</w:t>
      </w:r>
    </w:p>
    <w:p>
      <w:pPr>
        <w:pStyle w:val="BodyText"/>
      </w:pPr>
      <w:r>
        <w:rPr>
          <w:bCs/>
          <w:b/>
        </w:rPr>
        <w:t xml:space="preserve">Principio rector:</w:t>
      </w:r>
      <w:r>
        <w:t xml:space="preserve"> </w:t>
      </w:r>
      <w:r>
        <w:t xml:space="preserve">Cuando la rapidez y la integridad entren en conflicto, gana la integridad. Cuando la confianza y la incertidumbre entren en conflicto, debe declararse la incertidumbre. Cuando el interés de una institución entre en conflicto con la protección del lector, el lector va primero.</w:t>
      </w:r>
    </w:p>
    <w:bookmarkEnd w:id="98"/>
    <w:bookmarkEnd w:id="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419"/>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1" Target="https://betowa.sena.edu.co/oferta/facturacion-de-los-servicios-en-salud?modality=V&amp;programId=110493" TargetMode="External" /><Relationship Type="http://schemas.openxmlformats.org/officeDocument/2006/relationships/hyperlink" Id="rId82" Target="https://betowa.sena.edu.co/oferta/facturacion-de-los-servicios-en-salud?programId=110492" TargetMode="External" /><Relationship Type="http://schemas.openxmlformats.org/officeDocument/2006/relationships/hyperlink" Id="rId50" Target="https://www.aapc.com/" TargetMode="External" /><Relationship Type="http://schemas.openxmlformats.org/officeDocument/2006/relationships/hyperlink" Id="rId93" Target="https://www.ahima.org/certification-careers/certifications-overview/" TargetMode="External" /><Relationship Type="http://schemas.openxmlformats.org/officeDocument/2006/relationships/hyperlink" Id="rId46" Target="https://www.ahima.org/certification-careers/certifications-overview/cca/" TargetMode="External" /><Relationship Type="http://schemas.openxmlformats.org/officeDocument/2006/relationships/hyperlink" Id="rId48" Target="https://www.ahima.org/certification-careers/certifications-overview/ccs-p/" TargetMode="External" /><Relationship Type="http://schemas.openxmlformats.org/officeDocument/2006/relationships/hyperlink" Id="rId47" Target="https://www.ahima.org/certification-careers/certifications-overview/ccs/" TargetMode="External" /><Relationship Type="http://schemas.openxmlformats.org/officeDocument/2006/relationships/hyperlink" Id="rId60" Target="https://www.apprenticeship.gov/apprenticeship-industries/healthcare" TargetMode="External" /><Relationship Type="http://schemas.openxmlformats.org/officeDocument/2006/relationships/hyperlink" Id="rId40" Target="https://www.bls.gov/ooh/healthcare/medical-records-and-health-information-technicians.htm" TargetMode="External" /><Relationship Type="http://schemas.openxmlformats.org/officeDocument/2006/relationships/hyperlink" Id="rId58" Target="https://www.careeronestop.org/LocalHelp/EmploymentAndTraining/find-WIOA-training-programs.aspx" TargetMode="External" /><Relationship Type="http://schemas.openxmlformats.org/officeDocument/2006/relationships/hyperlink" Id="rId92" Target="https://www.cms.gov/medicare/coding-billing/healthcare-common-procedure-system" TargetMode="External" /><Relationship Type="http://schemas.openxmlformats.org/officeDocument/2006/relationships/hyperlink" Id="rId91" Target="https://www.cms.gov/medicare/coding-billing/icd-10-codes" TargetMode="External" /><Relationship Type="http://schemas.openxmlformats.org/officeDocument/2006/relationships/hyperlink" Id="rId57" Target="https://www.dol.gov/agencies/eta/wioa/programs" TargetMode="External" /><Relationship Type="http://schemas.openxmlformats.org/officeDocument/2006/relationships/hyperlink" Id="rId56" Target="https://www.dol.gov/general/topic/training/onestop" TargetMode="External" /><Relationship Type="http://schemas.openxmlformats.org/officeDocument/2006/relationships/hyperlink" Id="rId66" Target="https://www.hhs.gov/hipaa/for-professionals/privacy/guidance/minimum-necessary-requirement/index.html" TargetMode="External" /><Relationship Type="http://schemas.openxmlformats.org/officeDocument/2006/relationships/hyperlink" Id="rId65" Target="https://www.hhs.gov/hipaa/for-professionals/privacy/index.html" TargetMode="External" /><Relationship Type="http://schemas.openxmlformats.org/officeDocument/2006/relationships/hyperlink" Id="rId75" Target="https://www.jobbank.gc.ca/marketreport/summary-occupation/25614/ca" TargetMode="External" /><Relationship Type="http://schemas.openxmlformats.org/officeDocument/2006/relationships/hyperlink" Id="rId77" Target="https://www.jobbank.gc.ca/marketreport/wages-occupation/14119/ca" TargetMode="External" /><Relationship Type="http://schemas.openxmlformats.org/officeDocument/2006/relationships/hyperlink" Id="rId42" Target="https://www.ziprecruiter.com/Salaries/Medical-Billing-Coding-Specialist-Salary" TargetMode="External" /></Relationships>
</file>

<file path=word/_rels/footnotes.xml.rels><?xml version="1.0" encoding="UTF-8"?><Relationships xmlns="http://schemas.openxmlformats.org/package/2006/relationships"><Relationship Type="http://schemas.openxmlformats.org/officeDocument/2006/relationships/hyperlink" Id="rId81" Target="https://betowa.sena.edu.co/oferta/facturacion-de-los-servicios-en-salud?modality=V&amp;programId=110493" TargetMode="External" /><Relationship Type="http://schemas.openxmlformats.org/officeDocument/2006/relationships/hyperlink" Id="rId82" Target="https://betowa.sena.edu.co/oferta/facturacion-de-los-servicios-en-salud?programId=110492" TargetMode="External" /><Relationship Type="http://schemas.openxmlformats.org/officeDocument/2006/relationships/hyperlink" Id="rId50" Target="https://www.aapc.com/" TargetMode="External" /><Relationship Type="http://schemas.openxmlformats.org/officeDocument/2006/relationships/hyperlink" Id="rId93" Target="https://www.ahima.org/certification-careers/certifications-overview/" TargetMode="External" /><Relationship Type="http://schemas.openxmlformats.org/officeDocument/2006/relationships/hyperlink" Id="rId46" Target="https://www.ahima.org/certification-careers/certifications-overview/cca/" TargetMode="External" /><Relationship Type="http://schemas.openxmlformats.org/officeDocument/2006/relationships/hyperlink" Id="rId48" Target="https://www.ahima.org/certification-careers/certifications-overview/ccs-p/" TargetMode="External" /><Relationship Type="http://schemas.openxmlformats.org/officeDocument/2006/relationships/hyperlink" Id="rId47" Target="https://www.ahima.org/certification-careers/certifications-overview/ccs/" TargetMode="External" /><Relationship Type="http://schemas.openxmlformats.org/officeDocument/2006/relationships/hyperlink" Id="rId60" Target="https://www.apprenticeship.gov/apprenticeship-industries/healthcare" TargetMode="External" /><Relationship Type="http://schemas.openxmlformats.org/officeDocument/2006/relationships/hyperlink" Id="rId40" Target="https://www.bls.gov/ooh/healthcare/medical-records-and-health-information-technicians.htm" TargetMode="External" /><Relationship Type="http://schemas.openxmlformats.org/officeDocument/2006/relationships/hyperlink" Id="rId58" Target="https://www.careeronestop.org/LocalHelp/EmploymentAndTraining/find-WIOA-training-programs.aspx" TargetMode="External" /><Relationship Type="http://schemas.openxmlformats.org/officeDocument/2006/relationships/hyperlink" Id="rId92" Target="https://www.cms.gov/medicare/coding-billing/healthcare-common-procedure-system" TargetMode="External" /><Relationship Type="http://schemas.openxmlformats.org/officeDocument/2006/relationships/hyperlink" Id="rId91" Target="https://www.cms.gov/medicare/coding-billing/icd-10-codes" TargetMode="External" /><Relationship Type="http://schemas.openxmlformats.org/officeDocument/2006/relationships/hyperlink" Id="rId57" Target="https://www.dol.gov/agencies/eta/wioa/programs" TargetMode="External" /><Relationship Type="http://schemas.openxmlformats.org/officeDocument/2006/relationships/hyperlink" Id="rId56" Target="https://www.dol.gov/general/topic/training/onestop" TargetMode="External" /><Relationship Type="http://schemas.openxmlformats.org/officeDocument/2006/relationships/hyperlink" Id="rId66" Target="https://www.hhs.gov/hipaa/for-professionals/privacy/guidance/minimum-necessary-requirement/index.html" TargetMode="External" /><Relationship Type="http://schemas.openxmlformats.org/officeDocument/2006/relationships/hyperlink" Id="rId65" Target="https://www.hhs.gov/hipaa/for-professionals/privacy/index.html" TargetMode="External" /><Relationship Type="http://schemas.openxmlformats.org/officeDocument/2006/relationships/hyperlink" Id="rId75" Target="https://www.jobbank.gc.ca/marketreport/summary-occupation/25614/ca" TargetMode="External" /><Relationship Type="http://schemas.openxmlformats.org/officeDocument/2006/relationships/hyperlink" Id="rId77" Target="https://www.jobbank.gc.ca/marketreport/wages-occupation/14119/ca" TargetMode="External" /><Relationship Type="http://schemas.openxmlformats.org/officeDocument/2006/relationships/hyperlink" Id="rId42" Target="https://www.ziprecruiter.com/Salaries/Medical-Billing-Coding-Specialis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es-419</dc:language>
  <cp:keywords/>
  <dcterms:created xsi:type="dcterms:W3CDTF">2026-08-08T00:31:12Z</dcterms:created>
  <dcterms:modified xsi:type="dcterms:W3CDTF">2026-08-08T00:31:12Z</dcterms:modified>
</cp:coreProperties>
</file>

<file path=docProps/custom.xml><?xml version="1.0" encoding="utf-8"?>
<Properties xmlns="http://schemas.openxmlformats.org/officeDocument/2006/custom-properties" xmlns:vt="http://schemas.openxmlformats.org/officeDocument/2006/docPropsVTypes"/>
</file>