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438b888fd67b6d4fce2021f83dcbde652561954"/>
    <w:p>
      <w:pPr>
        <w:pStyle w:val="Heading1"/>
      </w:pPr>
      <w:r>
        <w:t xml:space="preserve">Guia de Oportunidades para Toda a Vida 84 — Analista de Business Intelligence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— mestre de trabalho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português brasileiro (</w:t>
      </w:r>
      <w:r>
        <w:rPr>
          <w:rStyle w:val="VerbatimChar"/>
        </w:rPr>
        <w:t xml:space="preserve">pt-BR</w:t>
      </w:r>
      <w:r>
        <w:t xml:space="preserve">)</w:t>
      </w:r>
      <w:r>
        <w:br/>
      </w:r>
      <w:r>
        <w:rPr>
          <w:bCs/>
          <w:b/>
        </w:rPr>
        <w:t xml:space="preserve">Referência principal dos EUA:</w:t>
      </w:r>
      <w:r>
        <w:t xml:space="preserve"> </w:t>
      </w:r>
      <w:r>
        <w:t xml:space="preserve">O*NET-SOC 15-2051.01 — Business Intelligence Analysts</w:t>
      </w:r>
      <w:r>
        <w:br/>
      </w:r>
      <w:r>
        <w:rPr>
          <w:bCs/>
          <w:b/>
        </w:rPr>
        <w:t xml:space="preserve">Comparação com o Canadá:</w:t>
      </w:r>
      <w:r>
        <w:t xml:space="preserve"> </w:t>
      </w:r>
      <w:r>
        <w:t xml:space="preserve">NOC 21221 — Business systems specialists</w:t>
      </w:r>
      <w:r>
        <w:br/>
      </w:r>
      <w:r>
        <w:rPr>
          <w:bCs/>
          <w:b/>
        </w:rPr>
        <w:t xml:space="preserve">Comparação com a Colômbia:</w:t>
      </w:r>
      <w:r>
        <w:t xml:space="preserve"> </w:t>
      </w:r>
      <w:r>
        <w:t xml:space="preserve">CUOC 25110 — Analistas de sistemas</w:t>
      </w:r>
      <w:r>
        <w:br/>
      </w:r>
      <w:r>
        <w:rPr>
          <w:bCs/>
          <w:b/>
        </w:rPr>
        <w:t xml:space="preserve">Data de revisão:</w:t>
      </w:r>
      <w:r>
        <w:t xml:space="preserve"> </w:t>
      </w:r>
      <w:r>
        <w:t xml:space="preserve">2026-08-21</w:t>
      </w:r>
    </w:p>
    <w:bookmarkStart w:id="20" w:name="o-que-é-esta-carreira"/>
    <w:p>
      <w:pPr>
        <w:pStyle w:val="Heading2"/>
      </w:pPr>
      <w:r>
        <w:t xml:space="preserve">O que é esta carreira</w:t>
      </w:r>
    </w:p>
    <w:p>
      <w:pPr>
        <w:pStyle w:val="FirstParagraph"/>
      </w:pPr>
      <w:r>
        <w:t xml:space="preserve">Um analista de Business Intelligence (BI) transforma perguntas de negócio em métricas, relatórios, dashboards e informações confiáveis para apoiar decisões. O trabalho normalmente exige entender qual decisão o stakeholder precisa tomar, localizar os dados relevantes, validar definições, consultar e transformar informações, criar resultados compreensíveis, reconciliar os resultados com fontes autorizadas e explicar o que os dados mostram — e o que não mostram.</w:t>
      </w:r>
    </w:p>
    <w:p>
      <w:pPr>
        <w:pStyle w:val="BodyText"/>
      </w:pPr>
      <w:r>
        <w:t xml:space="preserve">Este guia usa</w:t>
      </w:r>
      <w:r>
        <w:t xml:space="preserve"> </w:t>
      </w:r>
      <w:r>
        <w:rPr>
          <w:bCs/>
          <w:b/>
        </w:rPr>
        <w:t xml:space="preserve">O*NET-SOC 15-2051.01 — Business Intelligence Analysts</w:t>
      </w:r>
      <w:r>
        <w:t xml:space="preserve"> </w:t>
      </w:r>
      <w:r>
        <w:t xml:space="preserve">como principal referência dos Estados Unidos. O Canada Job Bank associa o título orientado a TI</w:t>
      </w:r>
      <w:r>
        <w:t xml:space="preserve"> </w:t>
      </w:r>
      <w:r>
        <w:rPr>
          <w:bCs/>
          <w:b/>
        </w:rPr>
        <w:t xml:space="preserve">Business Intelligence Analyst - Information Technology (IT)</w:t>
      </w:r>
      <w:r>
        <w:t xml:space="preserve"> </w:t>
      </w:r>
      <w:r>
        <w:t xml:space="preserve">ao</w:t>
      </w:r>
      <w:r>
        <w:t xml:space="preserve"> </w:t>
      </w:r>
      <w:r>
        <w:rPr>
          <w:bCs/>
          <w:b/>
        </w:rPr>
        <w:t xml:space="preserve">NOC 21221 — Business systems specialists</w:t>
      </w:r>
      <w:r>
        <w:t xml:space="preserve">. Na Colômbia há correspondência direta dentro de</w:t>
      </w:r>
      <w:r>
        <w:t xml:space="preserve"> </w:t>
      </w:r>
      <w:r>
        <w:rPr>
          <w:bCs/>
          <w:b/>
        </w:rPr>
        <w:t xml:space="preserve">CUOC 25110 — Analistas de sistemas</w:t>
      </w:r>
      <w:r>
        <w:t xml:space="preserve">, cujas denominações oficiais incluem</w:t>
      </w:r>
      <w:r>
        <w:t xml:space="preserve"> </w:t>
      </w:r>
      <w:r>
        <w:rPr>
          <w:bCs/>
          <w:b/>
        </w:rPr>
        <w:t xml:space="preserve">Analista de inteligencia de negocios</w:t>
      </w:r>
      <w:r>
        <w:t xml:space="preserve">,</w:t>
      </w:r>
      <w:r>
        <w:t xml:space="preserve"> </w:t>
      </w:r>
      <w:r>
        <w:rPr>
          <w:bCs/>
          <w:b/>
        </w:rPr>
        <w:t xml:space="preserve">Analista de inteligencia de negocio TI</w:t>
      </w:r>
      <w:r>
        <w:t xml:space="preserve">,</w:t>
      </w:r>
      <w:r>
        <w:t xml:space="preserve"> </w:t>
      </w:r>
      <w:r>
        <w:rPr>
          <w:bCs/>
          <w:b/>
        </w:rPr>
        <w:t xml:space="preserve">Analista de Power BI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Analista de analytics</w:t>
      </w:r>
      <w:r>
        <w:t xml:space="preserve">.</w:t>
      </w:r>
    </w:p>
    <w:p>
      <w:pPr>
        <w:pStyle w:val="BodyText"/>
      </w:pPr>
      <w:r>
        <w:t xml:space="preserve">BI fica entre negócio, dados, tecnologia e comunicação. Um bom analista não é apenas alguém que monta dashboards. Ele precisa saber de onde veio cada número, quais regras o produziram, se os dados estão completos e atualizados e como uma pessoa razoável poderia interpretar o resultado de forma incorreta.</w:t>
      </w:r>
    </w:p>
    <w:bookmarkEnd w:id="20"/>
    <w:bookmarkStart w:id="21" w:name="por-que-pode-ser-uma-boa-oportunidade"/>
    <w:p>
      <w:pPr>
        <w:pStyle w:val="Heading2"/>
      </w:pPr>
      <w:r>
        <w:t xml:space="preserve">Por que pode ser uma boa oportunidade</w:t>
      </w:r>
    </w:p>
    <w:p>
      <w:pPr>
        <w:pStyle w:val="FirstParagraph"/>
      </w:pPr>
      <w:r>
        <w:t xml:space="preserve">As organizações coletam cada vez mais dados de finanças, vendas, marketing, operações, cadeia de suprimentos, atendimento, RH, tecnologia e risco. Elas precisam de profissionais capazes de converter esses dados em informação confiável, e não apenas em mais gráficos.</w:t>
      </w:r>
    </w:p>
    <w:p>
      <w:pPr>
        <w:pStyle w:val="BodyText"/>
      </w:pPr>
      <w:r>
        <w:t xml:space="preserve">BI pode ser uma rota a partir de:</w:t>
      </w:r>
    </w:p>
    <w:p>
      <w:pPr>
        <w:numPr>
          <w:ilvl w:val="0"/>
          <w:numId w:val="1001"/>
        </w:numPr>
        <w:pStyle w:val="Compact"/>
      </w:pPr>
      <w:r>
        <w:t xml:space="preserve">operações de negócio;</w:t>
      </w:r>
    </w:p>
    <w:p>
      <w:pPr>
        <w:numPr>
          <w:ilvl w:val="0"/>
          <w:numId w:val="1001"/>
        </w:numPr>
        <w:pStyle w:val="Compact"/>
      </w:pPr>
      <w:r>
        <w:t xml:space="preserve">apoio financeiro ou contábil;</w:t>
      </w:r>
    </w:p>
    <w:p>
      <w:pPr>
        <w:numPr>
          <w:ilvl w:val="0"/>
          <w:numId w:val="1001"/>
        </w:numPr>
        <w:pStyle w:val="Compact"/>
      </w:pPr>
      <w:r>
        <w:t xml:space="preserve">reporting;</w:t>
      </w:r>
    </w:p>
    <w:p>
      <w:pPr>
        <w:numPr>
          <w:ilvl w:val="0"/>
          <w:numId w:val="1001"/>
        </w:numPr>
        <w:pStyle w:val="Compact"/>
      </w:pPr>
      <w:r>
        <w:t xml:space="preserve">entrada de dados ou registros;</w:t>
      </w:r>
    </w:p>
    <w:p>
      <w:pPr>
        <w:numPr>
          <w:ilvl w:val="0"/>
          <w:numId w:val="1001"/>
        </w:numPr>
        <w:pStyle w:val="Compact"/>
      </w:pPr>
      <w:r>
        <w:t xml:space="preserve">operações de clientes;</w:t>
      </w:r>
    </w:p>
    <w:p>
      <w:pPr>
        <w:numPr>
          <w:ilvl w:val="0"/>
          <w:numId w:val="1001"/>
        </w:numPr>
        <w:pStyle w:val="Compact"/>
      </w:pPr>
      <w:r>
        <w:t xml:space="preserve">suporte de TI;</w:t>
      </w:r>
    </w:p>
    <w:p>
      <w:pPr>
        <w:numPr>
          <w:ilvl w:val="0"/>
          <w:numId w:val="1001"/>
        </w:numPr>
        <w:pStyle w:val="Compact"/>
      </w:pPr>
      <w:r>
        <w:t xml:space="preserve">bancos de dados e relatórios;</w:t>
      </w:r>
    </w:p>
    <w:p>
      <w:pPr>
        <w:numPr>
          <w:ilvl w:val="0"/>
          <w:numId w:val="1001"/>
        </w:numPr>
        <w:pStyle w:val="Compact"/>
      </w:pPr>
      <w:r>
        <w:t xml:space="preserve">qualidade/melhoria de processos;</w:t>
      </w:r>
    </w:p>
    <w:p>
      <w:pPr>
        <w:numPr>
          <w:ilvl w:val="0"/>
          <w:numId w:val="1001"/>
        </w:numPr>
        <w:pStyle w:val="Compact"/>
      </w:pPr>
      <w:r>
        <w:t xml:space="preserve">análise ou pesquisa.</w:t>
      </w:r>
    </w:p>
    <w:p>
      <w:pPr>
        <w:pStyle w:val="FirstParagraph"/>
      </w:pPr>
      <w:r>
        <w:t xml:space="preserve">Uma progressão possível é:</w:t>
      </w:r>
    </w:p>
    <w:p>
      <w:pPr>
        <w:pStyle w:val="BodyText"/>
      </w:pPr>
      <w:r>
        <w:rPr>
          <w:bCs/>
          <w:b/>
        </w:rPr>
        <w:t xml:space="preserve">suporte de reporting/dados → analista BI → analista BI sênior / analytics engineer / desenvolvedor BI → liderança de analytics, data product, engenharia de dados, ciência de dados, sistemas de negócio ou gestão.</w:t>
      </w:r>
    </w:p>
    <w:p>
      <w:pPr>
        <w:pStyle w:val="BodyText"/>
      </w:pPr>
      <w:r>
        <w:t xml:space="preserve">A trajetória depende de profundidade técnica, conhecimento do domínio, educação, expectativas do empregador e capacidade de entregar suporte confiável à decisão.</w:t>
      </w:r>
    </w:p>
    <w:bookmarkEnd w:id="21"/>
    <w:bookmarkStart w:id="27" w:name="X7964c39461705d3ce87175ad96d029a71477655"/>
    <w:p>
      <w:pPr>
        <w:pStyle w:val="Heading2"/>
      </w:pPr>
      <w:r>
        <w:t xml:space="preserve">Analista BI, analista de dados, desenvolvedor BI, analytics engineer e cientista de dados não são a mesma coisa</w:t>
      </w:r>
    </w:p>
    <w:bookmarkStart w:id="22" w:name="analista-de-business-intelligence"/>
    <w:p>
      <w:pPr>
        <w:pStyle w:val="Heading3"/>
      </w:pPr>
      <w:r>
        <w:t xml:space="preserve">Analista de Business Intelligence</w:t>
      </w:r>
    </w:p>
    <w:p>
      <w:pPr>
        <w:pStyle w:val="FirstParagraph"/>
      </w:pPr>
      <w:r>
        <w:t xml:space="preserve">Normalmente enfatiza:</w:t>
      </w:r>
    </w:p>
    <w:p>
      <w:pPr>
        <w:numPr>
          <w:ilvl w:val="0"/>
          <w:numId w:val="1002"/>
        </w:numPr>
        <w:pStyle w:val="Compact"/>
      </w:pPr>
      <w:r>
        <w:t xml:space="preserve">requisitos de negócio;</w:t>
      </w:r>
    </w:p>
    <w:p>
      <w:pPr>
        <w:numPr>
          <w:ilvl w:val="0"/>
          <w:numId w:val="1002"/>
        </w:numPr>
        <w:pStyle w:val="Compact"/>
      </w:pPr>
      <w:r>
        <w:t xml:space="preserve">definição de KPI/métricas;</w:t>
      </w:r>
    </w:p>
    <w:p>
      <w:pPr>
        <w:numPr>
          <w:ilvl w:val="0"/>
          <w:numId w:val="1002"/>
        </w:numPr>
        <w:pStyle w:val="Compact"/>
      </w:pPr>
      <w:r>
        <w:t xml:space="preserve">SQL/consultas;</w:t>
      </w:r>
    </w:p>
    <w:p>
      <w:pPr>
        <w:numPr>
          <w:ilvl w:val="0"/>
          <w:numId w:val="1002"/>
        </w:numPr>
        <w:pStyle w:val="Compact"/>
      </w:pPr>
      <w:r>
        <w:t xml:space="preserve">relatórios recorrentes;</w:t>
      </w:r>
    </w:p>
    <w:p>
      <w:pPr>
        <w:numPr>
          <w:ilvl w:val="0"/>
          <w:numId w:val="1002"/>
        </w:numPr>
        <w:pStyle w:val="Compact"/>
      </w:pPr>
      <w:r>
        <w:t xml:space="preserve">dashboards e visualização;</w:t>
      </w:r>
    </w:p>
    <w:p>
      <w:pPr>
        <w:numPr>
          <w:ilvl w:val="0"/>
          <w:numId w:val="1002"/>
        </w:numPr>
        <w:pStyle w:val="Compact"/>
      </w:pPr>
      <w:r>
        <w:t xml:space="preserve">tendências;</w:t>
      </w:r>
    </w:p>
    <w:p>
      <w:pPr>
        <w:numPr>
          <w:ilvl w:val="0"/>
          <w:numId w:val="1002"/>
        </w:numPr>
        <w:pStyle w:val="Compact"/>
      </w:pPr>
      <w:r>
        <w:t xml:space="preserve">comunicação com stakeholders;</w:t>
      </w:r>
    </w:p>
    <w:p>
      <w:pPr>
        <w:numPr>
          <w:ilvl w:val="0"/>
          <w:numId w:val="1002"/>
        </w:numPr>
        <w:pStyle w:val="Compact"/>
      </w:pPr>
      <w:r>
        <w:t xml:space="preserve">validação e reconciliação;</w:t>
      </w:r>
    </w:p>
    <w:p>
      <w:pPr>
        <w:numPr>
          <w:ilvl w:val="0"/>
          <w:numId w:val="1002"/>
        </w:numPr>
        <w:pStyle w:val="Compact"/>
      </w:pPr>
      <w:r>
        <w:t xml:space="preserve">suporte à decisão.</w:t>
      </w:r>
    </w:p>
    <w:bookmarkEnd w:id="22"/>
    <w:bookmarkStart w:id="23" w:name="analista-de-dados"/>
    <w:p>
      <w:pPr>
        <w:pStyle w:val="Heading3"/>
      </w:pPr>
      <w:r>
        <w:t xml:space="preserve">Analista de dados</w:t>
      </w:r>
    </w:p>
    <w:p>
      <w:pPr>
        <w:pStyle w:val="FirstParagraph"/>
      </w:pPr>
      <w:r>
        <w:t xml:space="preserve">Pode ter grande sobreposição com BI e incluir análise ad hoc, estatística, experimentação, análise operacional ou pesquisa.</w:t>
      </w:r>
    </w:p>
    <w:bookmarkEnd w:id="23"/>
    <w:bookmarkStart w:id="24" w:name="desenvolvedor-bi"/>
    <w:p>
      <w:pPr>
        <w:pStyle w:val="Heading3"/>
      </w:pPr>
      <w:r>
        <w:t xml:space="preserve">Desenvolvedor BI</w:t>
      </w:r>
    </w:p>
    <w:p>
      <w:pPr>
        <w:pStyle w:val="FirstParagraph"/>
      </w:pPr>
      <w:r>
        <w:t xml:space="preserve">Pode aprofundar-se em:</w:t>
      </w:r>
    </w:p>
    <w:p>
      <w:pPr>
        <w:numPr>
          <w:ilvl w:val="0"/>
          <w:numId w:val="1003"/>
        </w:numPr>
        <w:pStyle w:val="Compact"/>
      </w:pPr>
      <w:r>
        <w:t xml:space="preserve">modelos semânticos;</w:t>
      </w:r>
    </w:p>
    <w:p>
      <w:pPr>
        <w:numPr>
          <w:ilvl w:val="0"/>
          <w:numId w:val="1003"/>
        </w:numPr>
        <w:pStyle w:val="Compact"/>
      </w:pPr>
      <w:r>
        <w:t xml:space="preserve">arquitetura de relatórios;</w:t>
      </w:r>
    </w:p>
    <w:p>
      <w:pPr>
        <w:numPr>
          <w:ilvl w:val="0"/>
          <w:numId w:val="1003"/>
        </w:numPr>
        <w:pStyle w:val="Compact"/>
      </w:pPr>
      <w:r>
        <w:t xml:space="preserve">DAX/camadas de cálculo;</w:t>
      </w:r>
    </w:p>
    <w:p>
      <w:pPr>
        <w:numPr>
          <w:ilvl w:val="0"/>
          <w:numId w:val="1003"/>
        </w:numPr>
        <w:pStyle w:val="Compact"/>
      </w:pPr>
      <w:r>
        <w:t xml:space="preserve">ETL/ELT;</w:t>
      </w:r>
    </w:p>
    <w:p>
      <w:pPr>
        <w:numPr>
          <w:ilvl w:val="0"/>
          <w:numId w:val="1003"/>
        </w:numPr>
        <w:pStyle w:val="Compact"/>
      </w:pPr>
      <w:r>
        <w:t xml:space="preserve">implantação e desempenho;</w:t>
      </w:r>
    </w:p>
    <w:p>
      <w:pPr>
        <w:numPr>
          <w:ilvl w:val="0"/>
          <w:numId w:val="1003"/>
        </w:numPr>
        <w:pStyle w:val="Compact"/>
      </w:pPr>
      <w:r>
        <w:t xml:space="preserve">administração da plataforma BI.</w:t>
      </w:r>
    </w:p>
    <w:bookmarkEnd w:id="24"/>
    <w:bookmarkStart w:id="25" w:name="analytics-engineer"/>
    <w:p>
      <w:pPr>
        <w:pStyle w:val="Heading3"/>
      </w:pPr>
      <w:r>
        <w:t xml:space="preserve">Analytics engineer</w:t>
      </w:r>
    </w:p>
    <w:p>
      <w:pPr>
        <w:pStyle w:val="FirstParagraph"/>
      </w:pPr>
      <w:r>
        <w:t xml:space="preserve">Frequentemente transforma dados brutos do warehouse em modelos analíticos documentados, testados e reutilizáveis.</w:t>
      </w:r>
    </w:p>
    <w:bookmarkEnd w:id="25"/>
    <w:bookmarkStart w:id="26" w:name="cientista-de-dados"/>
    <w:p>
      <w:pPr>
        <w:pStyle w:val="Heading3"/>
      </w:pPr>
      <w:r>
        <w:t xml:space="preserve">Cientista de dados</w:t>
      </w:r>
    </w:p>
    <w:p>
      <w:pPr>
        <w:pStyle w:val="FirstParagraph"/>
      </w:pPr>
      <w:r>
        <w:t xml:space="preserve">Pode trabalhar com estatística avançada, machine learning, experimentação e modelagem preditiva. O*NET atualmente coleta os dados oficiais de salários e emprego para Business Intelligence Analysts a partir de</w:t>
      </w:r>
      <w:r>
        <w:t xml:space="preserve"> </w:t>
      </w:r>
      <w:r>
        <w:rPr>
          <w:bCs/>
          <w:b/>
        </w:rPr>
        <w:t xml:space="preserve">Data Scientists</w:t>
      </w:r>
      <w:r>
        <w:t xml:space="preserve">, mas esse crosswalk estatístico não torna as duas funções equivalentes.</w:t>
      </w:r>
    </w:p>
    <w:bookmarkEnd w:id="26"/>
    <w:bookmarkEnd w:id="27"/>
    <w:bookmarkStart w:id="28" w:name="X4cf2b219bad4cefef95db3a1607c4bd3c5ba086"/>
    <w:p>
      <w:pPr>
        <w:pStyle w:val="Heading2"/>
      </w:pPr>
      <w:r>
        <w:t xml:space="preserve">Regra central: comece pela pergunta de negócio</w:t>
      </w:r>
    </w:p>
    <w:p>
      <w:pPr>
        <w:pStyle w:val="FirstParagraph"/>
      </w:pPr>
      <w:r>
        <w:t xml:space="preserve">Um dashboard não deve começar com “qual gráfico eu posso criar?”.</w:t>
      </w:r>
    </w:p>
    <w:p>
      <w:pPr>
        <w:pStyle w:val="BodyText"/>
      </w:pPr>
      <w:r>
        <w:t xml:space="preserve">Pergunte:</w:t>
      </w:r>
    </w:p>
    <w:p>
      <w:pPr>
        <w:numPr>
          <w:ilvl w:val="0"/>
          <w:numId w:val="1004"/>
        </w:numPr>
        <w:pStyle w:val="Compact"/>
      </w:pPr>
      <w:r>
        <w:t xml:space="preserve">Qual decisão precisa ser apoiada?</w:t>
      </w:r>
    </w:p>
    <w:p>
      <w:pPr>
        <w:numPr>
          <w:ilvl w:val="0"/>
          <w:numId w:val="1004"/>
        </w:numPr>
        <w:pStyle w:val="Compact"/>
      </w:pPr>
      <w:r>
        <w:t xml:space="preserve">Qual pergunta de negócio precisa ser respondida?</w:t>
      </w:r>
    </w:p>
    <w:p>
      <w:pPr>
        <w:numPr>
          <w:ilvl w:val="0"/>
          <w:numId w:val="1004"/>
        </w:numPr>
        <w:pStyle w:val="Compact"/>
      </w:pPr>
      <w:r>
        <w:t xml:space="preserve">Qual métrica ou evidência responderia à pergunta?</w:t>
      </w:r>
    </w:p>
    <w:p>
      <w:pPr>
        <w:numPr>
          <w:ilvl w:val="0"/>
          <w:numId w:val="1004"/>
        </w:numPr>
        <w:pStyle w:val="Compact"/>
      </w:pPr>
      <w:r>
        <w:t xml:space="preserve">Qual população, período e granularidade importam?</w:t>
      </w:r>
    </w:p>
    <w:p>
      <w:pPr>
        <w:numPr>
          <w:ilvl w:val="0"/>
          <w:numId w:val="1004"/>
        </w:numPr>
        <w:pStyle w:val="Compact"/>
      </w:pPr>
      <w:r>
        <w:t xml:space="preserve">Qual é a fonte autorizada?</w:t>
      </w:r>
    </w:p>
    <w:p>
      <w:pPr>
        <w:numPr>
          <w:ilvl w:val="0"/>
          <w:numId w:val="1004"/>
        </w:numPr>
        <w:pStyle w:val="Compact"/>
      </w:pPr>
      <w:r>
        <w:t xml:space="preserve">Quais regras/exclusões se aplicam?</w:t>
      </w:r>
    </w:p>
    <w:p>
      <w:pPr>
        <w:numPr>
          <w:ilvl w:val="0"/>
          <w:numId w:val="1004"/>
        </w:numPr>
        <w:pStyle w:val="Compact"/>
      </w:pPr>
      <w:r>
        <w:t xml:space="preserve">Qual atualidade é necessária?</w:t>
      </w:r>
    </w:p>
    <w:p>
      <w:pPr>
        <w:numPr>
          <w:ilvl w:val="0"/>
          <w:numId w:val="1004"/>
        </w:numPr>
        <w:pStyle w:val="Compact"/>
      </w:pPr>
      <w:r>
        <w:t xml:space="preserve">Quem pode ver o resultado?</w:t>
      </w:r>
    </w:p>
    <w:p>
      <w:pPr>
        <w:numPr>
          <w:ilvl w:val="0"/>
          <w:numId w:val="1004"/>
        </w:numPr>
        <w:pStyle w:val="Compact"/>
      </w:pPr>
      <w:r>
        <w:t xml:space="preserve">Como o número será validado?</w:t>
      </w:r>
    </w:p>
    <w:p>
      <w:pPr>
        <w:numPr>
          <w:ilvl w:val="0"/>
          <w:numId w:val="1004"/>
        </w:numPr>
        <w:pStyle w:val="Compact"/>
      </w:pPr>
      <w:r>
        <w:t xml:space="preserve">Quais limitações precisam ser declaradas?</w:t>
      </w:r>
    </w:p>
    <w:p>
      <w:pPr>
        <w:pStyle w:val="FirstParagraph"/>
      </w:pPr>
      <w:r>
        <w:t xml:space="preserve">Bom BI reduz ambiguidade antes de criar visualizações.</w:t>
      </w:r>
    </w:p>
    <w:bookmarkEnd w:id="28"/>
    <w:bookmarkStart w:id="29" w:name="fonte-de-verdade-e-linhagem-de-dados"/>
    <w:p>
      <w:pPr>
        <w:pStyle w:val="Heading2"/>
      </w:pPr>
      <w:r>
        <w:t xml:space="preserve">Fonte de verdade e linhagem de dados</w:t>
      </w:r>
    </w:p>
    <w:p>
      <w:pPr>
        <w:pStyle w:val="FirstParagraph"/>
      </w:pPr>
      <w:r>
        <w:t xml:space="preserve">Toda métrica relevante deve ser rastreável.</w:t>
      </w:r>
    </w:p>
    <w:p>
      <w:pPr>
        <w:pStyle w:val="BodyText"/>
      </w:pPr>
      <w:r>
        <w:t xml:space="preserve">Documente:</w:t>
      </w:r>
    </w:p>
    <w:p>
      <w:pPr>
        <w:numPr>
          <w:ilvl w:val="0"/>
          <w:numId w:val="1005"/>
        </w:numPr>
        <w:pStyle w:val="Compact"/>
      </w:pPr>
      <w:r>
        <w:t xml:space="preserve">sistema de origem;</w:t>
      </w:r>
    </w:p>
    <w:p>
      <w:pPr>
        <w:numPr>
          <w:ilvl w:val="0"/>
          <w:numId w:val="1005"/>
        </w:numPr>
        <w:pStyle w:val="Compact"/>
      </w:pPr>
      <w:r>
        <w:t xml:space="preserve">tabela/arquivo/API;</w:t>
      </w:r>
    </w:p>
    <w:p>
      <w:pPr>
        <w:numPr>
          <w:ilvl w:val="0"/>
          <w:numId w:val="1005"/>
        </w:numPr>
        <w:pStyle w:val="Compact"/>
      </w:pPr>
      <w:r>
        <w:t xml:space="preserve">proprietário de negócio;</w:t>
      </w:r>
    </w:p>
    <w:p>
      <w:pPr>
        <w:numPr>
          <w:ilvl w:val="0"/>
          <w:numId w:val="1005"/>
        </w:numPr>
        <w:pStyle w:val="Compact"/>
      </w:pPr>
      <w:r>
        <w:t xml:space="preserve">timestamp ou frequência de atualização;</w:t>
      </w:r>
    </w:p>
    <w:p>
      <w:pPr>
        <w:numPr>
          <w:ilvl w:val="0"/>
          <w:numId w:val="1005"/>
        </w:numPr>
        <w:pStyle w:val="Compact"/>
      </w:pPr>
      <w:r>
        <w:t xml:space="preserve">transformações;</w:t>
      </w:r>
    </w:p>
    <w:p>
      <w:pPr>
        <w:numPr>
          <w:ilvl w:val="0"/>
          <w:numId w:val="1005"/>
        </w:numPr>
        <w:pStyle w:val="Compact"/>
      </w:pPr>
      <w:r>
        <w:t xml:space="preserve">joins e chaves;</w:t>
      </w:r>
    </w:p>
    <w:p>
      <w:pPr>
        <w:numPr>
          <w:ilvl w:val="0"/>
          <w:numId w:val="1005"/>
        </w:numPr>
        <w:pStyle w:val="Compact"/>
      </w:pPr>
      <w:r>
        <w:t xml:space="preserve">filtros/exclusões;</w:t>
      </w:r>
    </w:p>
    <w:p>
      <w:pPr>
        <w:numPr>
          <w:ilvl w:val="0"/>
          <w:numId w:val="1005"/>
        </w:numPr>
        <w:pStyle w:val="Compact"/>
      </w:pPr>
      <w:r>
        <w:t xml:space="preserve">regras de cálculo;</w:t>
      </w:r>
    </w:p>
    <w:p>
      <w:pPr>
        <w:numPr>
          <w:ilvl w:val="0"/>
          <w:numId w:val="1005"/>
        </w:numPr>
        <w:pStyle w:val="Compact"/>
      </w:pPr>
      <w:r>
        <w:t xml:space="preserve">relatório/dashboard de saída;</w:t>
      </w:r>
    </w:p>
    <w:p>
      <w:pPr>
        <w:numPr>
          <w:ilvl w:val="0"/>
          <w:numId w:val="1005"/>
        </w:numPr>
        <w:pStyle w:val="Compact"/>
      </w:pPr>
      <w:r>
        <w:t xml:space="preserve">versão/histórico de mudanças quando necessário.</w:t>
      </w:r>
    </w:p>
    <w:p>
      <w:pPr>
        <w:pStyle w:val="FirstParagraph"/>
      </w:pPr>
      <w:r>
        <w:t xml:space="preserve">Não substitua silenciosamente uma fonte autorizada por uma planilha conveniente só porque o resultado parece melhor.</w:t>
      </w:r>
    </w:p>
    <w:bookmarkEnd w:id="29"/>
    <w:bookmarkStart w:id="30" w:name="fundamentos-de-dados-relacionais"/>
    <w:p>
      <w:pPr>
        <w:pStyle w:val="Heading2"/>
      </w:pPr>
      <w:r>
        <w:t xml:space="preserve">Fundamentos de dados relacionais</w:t>
      </w:r>
    </w:p>
    <w:p>
      <w:pPr>
        <w:pStyle w:val="FirstParagraph"/>
      </w:pPr>
      <w:r>
        <w:t xml:space="preserve">Um analista BI deve compreender:</w:t>
      </w:r>
    </w:p>
    <w:p>
      <w:pPr>
        <w:numPr>
          <w:ilvl w:val="0"/>
          <w:numId w:val="1006"/>
        </w:numPr>
        <w:pStyle w:val="Compact"/>
      </w:pPr>
      <w:r>
        <w:t xml:space="preserve">tabelas e linhas;</w:t>
      </w:r>
    </w:p>
    <w:p>
      <w:pPr>
        <w:numPr>
          <w:ilvl w:val="0"/>
          <w:numId w:val="1006"/>
        </w:numPr>
        <w:pStyle w:val="Compact"/>
      </w:pPr>
      <w:r>
        <w:t xml:space="preserve">colunas/campos;</w:t>
      </w:r>
    </w:p>
    <w:p>
      <w:pPr>
        <w:numPr>
          <w:ilvl w:val="0"/>
          <w:numId w:val="1006"/>
        </w:numPr>
        <w:pStyle w:val="Compact"/>
      </w:pPr>
      <w:r>
        <w:t xml:space="preserve">chaves primárias;</w:t>
      </w:r>
    </w:p>
    <w:p>
      <w:pPr>
        <w:numPr>
          <w:ilvl w:val="0"/>
          <w:numId w:val="1006"/>
        </w:numPr>
        <w:pStyle w:val="Compact"/>
      </w:pPr>
      <w:r>
        <w:t xml:space="preserve">chaves estrangeiras;</w:t>
      </w:r>
    </w:p>
    <w:p>
      <w:pPr>
        <w:numPr>
          <w:ilvl w:val="0"/>
          <w:numId w:val="1006"/>
        </w:numPr>
        <w:pStyle w:val="Compact"/>
      </w:pPr>
      <w:r>
        <w:t xml:space="preserve">relações um-para-um, um-para-muitos e muitos-para-muitos;</w:t>
      </w:r>
    </w:p>
    <w:p>
      <w:pPr>
        <w:numPr>
          <w:ilvl w:val="0"/>
          <w:numId w:val="1006"/>
        </w:numPr>
        <w:pStyle w:val="Compact"/>
      </w:pPr>
      <w:r>
        <w:t xml:space="preserve">normalização;</w:t>
      </w:r>
    </w:p>
    <w:p>
      <w:pPr>
        <w:numPr>
          <w:ilvl w:val="0"/>
          <w:numId w:val="1006"/>
        </w:numPr>
        <w:pStyle w:val="Compact"/>
      </w:pPr>
      <w:r>
        <w:t xml:space="preserve">duplicados;</w:t>
      </w:r>
    </w:p>
    <w:p>
      <w:pPr>
        <w:numPr>
          <w:ilvl w:val="0"/>
          <w:numId w:val="1006"/>
        </w:numPr>
        <w:pStyle w:val="Compact"/>
      </w:pPr>
      <w:r>
        <w:t xml:space="preserve">nulos/faltantes;</w:t>
      </w:r>
    </w:p>
    <w:p>
      <w:pPr>
        <w:numPr>
          <w:ilvl w:val="0"/>
          <w:numId w:val="1006"/>
        </w:numPr>
        <w:pStyle w:val="Compact"/>
      </w:pPr>
      <w:r>
        <w:t xml:space="preserve">tipos de dados;</w:t>
      </w:r>
    </w:p>
    <w:p>
      <w:pPr>
        <w:numPr>
          <w:ilvl w:val="0"/>
          <w:numId w:val="1006"/>
        </w:numPr>
        <w:pStyle w:val="Compact"/>
      </w:pPr>
      <w:r>
        <w:t xml:space="preserve">data/hora;</w:t>
      </w:r>
    </w:p>
    <w:p>
      <w:pPr>
        <w:numPr>
          <w:ilvl w:val="0"/>
          <w:numId w:val="1006"/>
        </w:numPr>
        <w:pStyle w:val="Compact"/>
      </w:pPr>
      <w:r>
        <w:t xml:space="preserve">granularidade.</w:t>
      </w:r>
    </w:p>
    <w:p>
      <w:pPr>
        <w:pStyle w:val="FirstParagraph"/>
      </w:pPr>
      <w:r>
        <w:t xml:space="preserve">Erro clássico: unir tabelas em granularidades incompatíveis e multiplicar registros sem perceber.</w:t>
      </w:r>
    </w:p>
    <w:p>
      <w:pPr>
        <w:pStyle w:val="BodyText"/>
      </w:pPr>
      <w:r>
        <w:t xml:space="preserve">Antes de um join, confirme o que uma linha representa, se a chave é única, como registros não correspondentes serão tratados e se medidas podem ser duplicadas.</w:t>
      </w:r>
    </w:p>
    <w:bookmarkEnd w:id="30"/>
    <w:bookmarkStart w:id="31" w:name="sql"/>
    <w:p>
      <w:pPr>
        <w:pStyle w:val="Heading2"/>
      </w:pPr>
      <w:r>
        <w:t xml:space="preserve">SQL</w:t>
      </w:r>
    </w:p>
    <w:p>
      <w:pPr>
        <w:pStyle w:val="FirstParagraph"/>
      </w:pPr>
      <w:r>
        <w:t xml:space="preserve">SQL aparece em</w:t>
      </w:r>
      <w:r>
        <w:t xml:space="preserve"> </w:t>
      </w:r>
      <w:r>
        <w:rPr>
          <w:bCs/>
          <w:b/>
        </w:rPr>
        <w:t xml:space="preserve">35%</w:t>
      </w:r>
      <w:r>
        <w:t xml:space="preserve"> </w:t>
      </w:r>
      <w:r>
        <w:t xml:space="preserve">das vagas dos EUA ligadas ao O*NET 15-2051.01 em 2025, sendo o sinal tecnológico mais forte.</w:t>
      </w:r>
    </w:p>
    <w:p>
      <w:pPr>
        <w:pStyle w:val="BodyText"/>
      </w:pPr>
      <w:r>
        <w:t xml:space="preserve">Conceitos úteis: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SELECT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filtros;</w:t>
      </w:r>
    </w:p>
    <w:p>
      <w:pPr>
        <w:numPr>
          <w:ilvl w:val="0"/>
          <w:numId w:val="1007"/>
        </w:numPr>
        <w:pStyle w:val="Compact"/>
      </w:pPr>
      <w:r>
        <w:t xml:space="preserve">ordenação;</w:t>
      </w:r>
    </w:p>
    <w:p>
      <w:pPr>
        <w:numPr>
          <w:ilvl w:val="0"/>
          <w:numId w:val="1007"/>
        </w:numPr>
        <w:pStyle w:val="Compact"/>
      </w:pPr>
      <w:r>
        <w:t xml:space="preserve">agregação;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GROUP BY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joins;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CASE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CTE;</w:t>
      </w:r>
    </w:p>
    <w:p>
      <w:pPr>
        <w:numPr>
          <w:ilvl w:val="0"/>
          <w:numId w:val="1007"/>
        </w:numPr>
        <w:pStyle w:val="Compact"/>
      </w:pPr>
      <w:r>
        <w:t xml:space="preserve">subqueries;</w:t>
      </w:r>
    </w:p>
    <w:p>
      <w:pPr>
        <w:numPr>
          <w:ilvl w:val="0"/>
          <w:numId w:val="1007"/>
        </w:numPr>
        <w:pStyle w:val="Compact"/>
      </w:pPr>
      <w:r>
        <w:t xml:space="preserve">window functions;</w:t>
      </w:r>
    </w:p>
    <w:p>
      <w:pPr>
        <w:numPr>
          <w:ilvl w:val="0"/>
          <w:numId w:val="1007"/>
        </w:numPr>
        <w:pStyle w:val="Compact"/>
      </w:pPr>
      <w:r>
        <w:t xml:space="preserve">lógica de datas;</w:t>
      </w:r>
    </w:p>
    <w:p>
      <w:pPr>
        <w:numPr>
          <w:ilvl w:val="0"/>
          <w:numId w:val="1007"/>
        </w:numPr>
        <w:pStyle w:val="Compact"/>
      </w:pPr>
      <w:r>
        <w:t xml:space="preserve">nulos;</w:t>
      </w:r>
    </w:p>
    <w:p>
      <w:pPr>
        <w:numPr>
          <w:ilvl w:val="0"/>
          <w:numId w:val="1007"/>
        </w:numPr>
        <w:pStyle w:val="Compact"/>
      </w:pPr>
      <w:r>
        <w:t xml:space="preserve">deduplicação;</w:t>
      </w:r>
    </w:p>
    <w:p>
      <w:pPr>
        <w:numPr>
          <w:ilvl w:val="0"/>
          <w:numId w:val="1007"/>
        </w:numPr>
        <w:pStyle w:val="Compact"/>
      </w:pPr>
      <w:r>
        <w:t xml:space="preserve">validação da consulta.</w:t>
      </w:r>
    </w:p>
    <w:p>
      <w:pPr>
        <w:pStyle w:val="FirstParagraph"/>
      </w:pPr>
      <w:r>
        <w:t xml:space="preserve">A meta não é apenas fazer a consulta rodar, mas retornar a população e a medida corretas.</w:t>
      </w:r>
    </w:p>
    <w:p>
      <w:pPr>
        <w:pStyle w:val="BodyText"/>
      </w:pPr>
      <w:r>
        <w:t xml:space="preserve">Valide com contagens, chaves duplicadas, registros conhecidos, totais contra fonte autorizada, datas-limite, nulos, categorias inesperadas e efeito de cada join/filtro.</w:t>
      </w:r>
    </w:p>
    <w:bookmarkEnd w:id="31"/>
    <w:bookmarkStart w:id="32" w:name="X9d6f78544fbaccab4636b1845e84dc7ee4b871d"/>
    <w:p>
      <w:pPr>
        <w:pStyle w:val="Heading2"/>
      </w:pPr>
      <w:r>
        <w:t xml:space="preserve">Limpeza, transformação e reprodutibilidade</w:t>
      </w:r>
    </w:p>
    <w:p>
      <w:pPr>
        <w:pStyle w:val="FirstParagraph"/>
      </w:pPr>
      <w:r>
        <w:t xml:space="preserve">Trabalho comum inclui:</w:t>
      </w:r>
    </w:p>
    <w:p>
      <w:pPr>
        <w:numPr>
          <w:ilvl w:val="0"/>
          <w:numId w:val="1008"/>
        </w:numPr>
        <w:pStyle w:val="Compact"/>
      </w:pPr>
      <w:r>
        <w:t xml:space="preserve">padronização de categorias;</w:t>
      </w:r>
    </w:p>
    <w:p>
      <w:pPr>
        <w:numPr>
          <w:ilvl w:val="0"/>
          <w:numId w:val="1008"/>
        </w:numPr>
        <w:pStyle w:val="Compact"/>
      </w:pPr>
      <w:r>
        <w:t xml:space="preserve">tratamento de datas;</w:t>
      </w:r>
    </w:p>
    <w:p>
      <w:pPr>
        <w:numPr>
          <w:ilvl w:val="0"/>
          <w:numId w:val="1008"/>
        </w:numPr>
        <w:pStyle w:val="Compact"/>
      </w:pPr>
      <w:r>
        <w:t xml:space="preserve">valores ausentes;</w:t>
      </w:r>
    </w:p>
    <w:p>
      <w:pPr>
        <w:numPr>
          <w:ilvl w:val="0"/>
          <w:numId w:val="1008"/>
        </w:numPr>
        <w:pStyle w:val="Compact"/>
      </w:pPr>
      <w:r>
        <w:t xml:space="preserve">tabelas de mapeamento aprovadas;</w:t>
      </w:r>
    </w:p>
    <w:p>
      <w:pPr>
        <w:numPr>
          <w:ilvl w:val="0"/>
          <w:numId w:val="1008"/>
        </w:numPr>
        <w:pStyle w:val="Compact"/>
      </w:pPr>
      <w:r>
        <w:t xml:space="preserve">reshape;</w:t>
      </w:r>
    </w:p>
    <w:p>
      <w:pPr>
        <w:numPr>
          <w:ilvl w:val="0"/>
          <w:numId w:val="1008"/>
        </w:numPr>
        <w:pStyle w:val="Compact"/>
      </w:pPr>
      <w:r>
        <w:t xml:space="preserve">joins de referência;</w:t>
      </w:r>
    </w:p>
    <w:p>
      <w:pPr>
        <w:numPr>
          <w:ilvl w:val="0"/>
          <w:numId w:val="1008"/>
        </w:numPr>
        <w:pStyle w:val="Compact"/>
      </w:pPr>
      <w:r>
        <w:t xml:space="preserve">campos derivados;</w:t>
      </w:r>
    </w:p>
    <w:p>
      <w:pPr>
        <w:numPr>
          <w:ilvl w:val="0"/>
          <w:numId w:val="1008"/>
        </w:numPr>
        <w:pStyle w:val="Compact"/>
      </w:pPr>
      <w:r>
        <w:t xml:space="preserve">remoção de duplicados verdadeiros;</w:t>
      </w:r>
    </w:p>
    <w:p>
      <w:pPr>
        <w:numPr>
          <w:ilvl w:val="0"/>
          <w:numId w:val="1008"/>
        </w:numPr>
        <w:pStyle w:val="Compact"/>
      </w:pPr>
      <w:r>
        <w:t xml:space="preserve">validação de faixas;</w:t>
      </w:r>
    </w:p>
    <w:p>
      <w:pPr>
        <w:numPr>
          <w:ilvl w:val="0"/>
          <w:numId w:val="1008"/>
        </w:numPr>
        <w:pStyle w:val="Compact"/>
      </w:pPr>
      <w:r>
        <w:t xml:space="preserve">documentação da lógica.</w:t>
      </w:r>
    </w:p>
    <w:p>
      <w:pPr>
        <w:pStyle w:val="FirstParagraph"/>
      </w:pPr>
      <w:r>
        <w:t xml:space="preserve">Não remova observações legítimas só porque são inconvenientes para o gráfico.</w:t>
      </w:r>
    </w:p>
    <w:p>
      <w:pPr>
        <w:pStyle w:val="BodyText"/>
      </w:pPr>
      <w:r>
        <w:t xml:space="preserve">Resultados críticos devem ser reproduzíveis por meio de SQL salvo, transformações documentadas, scripts versionados quando adequado, fontes nomeadas, timestamps, parâmetros controlados, cálculos reutilizáveis e testes.</w:t>
      </w:r>
    </w:p>
    <w:bookmarkEnd w:id="32"/>
    <w:bookmarkStart w:id="33" w:name="modelagem-dimensional-e-esquema-estrela"/>
    <w:p>
      <w:pPr>
        <w:pStyle w:val="Heading2"/>
      </w:pPr>
      <w:r>
        <w:t xml:space="preserve">Modelagem dimensional e esquema estrela</w:t>
      </w:r>
    </w:p>
    <w:p>
      <w:pPr>
        <w:pStyle w:val="FirstParagraph"/>
      </w:pPr>
      <w:r>
        <w:t xml:space="preserve">Conceitos importantes: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fact tables</w:t>
      </w:r>
      <w:r>
        <w:t xml:space="preserve"> </w:t>
      </w:r>
      <w:r>
        <w:t xml:space="preserve">para eventos mensuráveis;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dimension tables</w:t>
      </w:r>
      <w:r>
        <w:t xml:space="preserve"> </w:t>
      </w:r>
      <w:r>
        <w:t xml:space="preserve">para contexto;</w:t>
      </w:r>
    </w:p>
    <w:p>
      <w:pPr>
        <w:numPr>
          <w:ilvl w:val="0"/>
          <w:numId w:val="1009"/>
        </w:numPr>
        <w:pStyle w:val="Compact"/>
      </w:pPr>
      <w:r>
        <w:t xml:space="preserve">granularidade;</w:t>
      </w:r>
    </w:p>
    <w:p>
      <w:pPr>
        <w:numPr>
          <w:ilvl w:val="0"/>
          <w:numId w:val="1009"/>
        </w:numPr>
        <w:pStyle w:val="Compact"/>
      </w:pPr>
      <w:r>
        <w:t xml:space="preserve">chaves substitutas;</w:t>
      </w:r>
    </w:p>
    <w:p>
      <w:pPr>
        <w:numPr>
          <w:ilvl w:val="0"/>
          <w:numId w:val="1009"/>
        </w:numPr>
        <w:pStyle w:val="Compact"/>
      </w:pPr>
      <w:r>
        <w:t xml:space="preserve">dimensão de data;</w:t>
      </w:r>
    </w:p>
    <w:p>
      <w:pPr>
        <w:numPr>
          <w:ilvl w:val="0"/>
          <w:numId w:val="1009"/>
        </w:numPr>
        <w:pStyle w:val="Compact"/>
      </w:pPr>
      <w:r>
        <w:t xml:space="preserve">slowly changing dimensions;</w:t>
      </w:r>
    </w:p>
    <w:p>
      <w:pPr>
        <w:numPr>
          <w:ilvl w:val="0"/>
          <w:numId w:val="1009"/>
        </w:numPr>
        <w:pStyle w:val="Compact"/>
      </w:pPr>
      <w:r>
        <w:t xml:space="preserve">dimensões conformadas;</w:t>
      </w:r>
    </w:p>
    <w:p>
      <w:pPr>
        <w:numPr>
          <w:ilvl w:val="0"/>
          <w:numId w:val="1009"/>
        </w:numPr>
        <w:pStyle w:val="Compact"/>
      </w:pPr>
      <w:r>
        <w:t xml:space="preserve">medidas aditivas/não aditivas;</w:t>
      </w:r>
    </w:p>
    <w:p>
      <w:pPr>
        <w:numPr>
          <w:ilvl w:val="0"/>
          <w:numId w:val="1009"/>
        </w:numPr>
        <w:pStyle w:val="Compact"/>
      </w:pPr>
      <w:r>
        <w:t xml:space="preserve">esquema estrela versus desenho operacional normalizado.</w:t>
      </w:r>
    </w:p>
    <w:bookmarkEnd w:id="33"/>
    <w:bookmarkStart w:id="34" w:name="X685c38cb0350259789561b436f5b3f8a7e69f66"/>
    <w:p>
      <w:pPr>
        <w:pStyle w:val="Heading2"/>
      </w:pPr>
      <w:r>
        <w:t xml:space="preserve">Modelo semântico e governança de métricas</w:t>
      </w:r>
    </w:p>
    <w:p>
      <w:pPr>
        <w:pStyle w:val="FirstParagraph"/>
      </w:pPr>
      <w:r>
        <w:t xml:space="preserve">Modelos semânticos podem definir relações, medidas, hierarquias, colunas calculadas, rótulos, segurança, inteligência temporal e lógica de KPI reutilizável.</w:t>
      </w:r>
    </w:p>
    <w:p>
      <w:pPr>
        <w:pStyle w:val="BodyText"/>
      </w:pPr>
      <w:r>
        <w:t xml:space="preserve">Para cada KPI importante, documente:</w:t>
      </w:r>
    </w:p>
    <w:p>
      <w:pPr>
        <w:numPr>
          <w:ilvl w:val="0"/>
          <w:numId w:val="1010"/>
        </w:numPr>
        <w:pStyle w:val="Compact"/>
      </w:pPr>
      <w:r>
        <w:t xml:space="preserve">nome e finalidade;</w:t>
      </w:r>
    </w:p>
    <w:p>
      <w:pPr>
        <w:numPr>
          <w:ilvl w:val="0"/>
          <w:numId w:val="1010"/>
        </w:numPr>
        <w:pStyle w:val="Compact"/>
      </w:pPr>
      <w:r>
        <w:t xml:space="preserve">fórmula;</w:t>
      </w:r>
    </w:p>
    <w:p>
      <w:pPr>
        <w:numPr>
          <w:ilvl w:val="0"/>
          <w:numId w:val="1010"/>
        </w:numPr>
        <w:pStyle w:val="Compact"/>
      </w:pPr>
      <w:r>
        <w:t xml:space="preserve">numerador/denominador;</w:t>
      </w:r>
    </w:p>
    <w:p>
      <w:pPr>
        <w:numPr>
          <w:ilvl w:val="0"/>
          <w:numId w:val="1010"/>
        </w:numPr>
        <w:pStyle w:val="Compact"/>
      </w:pPr>
      <w:r>
        <w:t xml:space="preserve">população e exclusões;</w:t>
      </w:r>
    </w:p>
    <w:p>
      <w:pPr>
        <w:numPr>
          <w:ilvl w:val="0"/>
          <w:numId w:val="1010"/>
        </w:numPr>
        <w:pStyle w:val="Compact"/>
      </w:pPr>
      <w:r>
        <w:t xml:space="preserve">base temporal;</w:t>
      </w:r>
    </w:p>
    <w:p>
      <w:pPr>
        <w:numPr>
          <w:ilvl w:val="0"/>
          <w:numId w:val="1010"/>
        </w:numPr>
        <w:pStyle w:val="Compact"/>
      </w:pPr>
      <w:r>
        <w:t xml:space="preserve">fonte;</w:t>
      </w:r>
    </w:p>
    <w:p>
      <w:pPr>
        <w:numPr>
          <w:ilvl w:val="0"/>
          <w:numId w:val="1010"/>
        </w:numPr>
        <w:pStyle w:val="Compact"/>
      </w:pPr>
      <w:r>
        <w:t xml:space="preserve">frequência de atualização;</w:t>
      </w:r>
    </w:p>
    <w:p>
      <w:pPr>
        <w:numPr>
          <w:ilvl w:val="0"/>
          <w:numId w:val="1010"/>
        </w:numPr>
        <w:pStyle w:val="Compact"/>
      </w:pPr>
      <w:r>
        <w:t xml:space="preserve">proprietário;</w:t>
      </w:r>
    </w:p>
    <w:p>
      <w:pPr>
        <w:numPr>
          <w:ilvl w:val="0"/>
          <w:numId w:val="1010"/>
        </w:numPr>
        <w:pStyle w:val="Compact"/>
      </w:pPr>
      <w:r>
        <w:t xml:space="preserve">meta, se houver;</w:t>
      </w:r>
    </w:p>
    <w:p>
      <w:pPr>
        <w:numPr>
          <w:ilvl w:val="0"/>
          <w:numId w:val="1010"/>
        </w:numPr>
        <w:pStyle w:val="Compact"/>
      </w:pPr>
      <w:r>
        <w:t xml:space="preserve">limitações.</w:t>
      </w:r>
    </w:p>
    <w:p>
      <w:pPr>
        <w:pStyle w:val="FirstParagraph"/>
      </w:pPr>
      <w:r>
        <w:t xml:space="preserve">Não altere uma métrica porque o stakeholder não gostou do resultado. Mudanças de definição precisam de aprovação, data de vigência e avaliação do impacto histórico.</w:t>
      </w:r>
    </w:p>
    <w:bookmarkEnd w:id="34"/>
    <w:bookmarkStart w:id="35" w:name="filtros-datas-e-qualidade-de-dados"/>
    <w:p>
      <w:pPr>
        <w:pStyle w:val="Heading2"/>
      </w:pPr>
      <w:r>
        <w:t xml:space="preserve">Filtros, datas e qualidade de dados</w:t>
      </w:r>
    </w:p>
    <w:p>
      <w:pPr>
        <w:pStyle w:val="FirstParagraph"/>
      </w:pPr>
      <w:r>
        <w:t xml:space="preserve">Filtros podem mudar materialmente a interpretação. Torne explícitos período, calendário/fiscal, fuso horário, status, geografia, produto, registros internos/teste, cancelamentos/devoluções e lógica de snapshot/transação.</w:t>
      </w:r>
    </w:p>
    <w:p>
      <w:pPr>
        <w:pStyle w:val="BodyText"/>
      </w:pPr>
      <w:r>
        <w:t xml:space="preserve">Dimensões de qualidade incluem:</w:t>
      </w:r>
    </w:p>
    <w:p>
      <w:pPr>
        <w:numPr>
          <w:ilvl w:val="0"/>
          <w:numId w:val="1011"/>
        </w:numPr>
        <w:pStyle w:val="Compact"/>
      </w:pPr>
      <w:r>
        <w:t xml:space="preserve">completude;</w:t>
      </w:r>
    </w:p>
    <w:p>
      <w:pPr>
        <w:numPr>
          <w:ilvl w:val="0"/>
          <w:numId w:val="1011"/>
        </w:numPr>
        <w:pStyle w:val="Compact"/>
      </w:pPr>
      <w:r>
        <w:t xml:space="preserve">exatidão;</w:t>
      </w:r>
    </w:p>
    <w:p>
      <w:pPr>
        <w:numPr>
          <w:ilvl w:val="0"/>
          <w:numId w:val="1011"/>
        </w:numPr>
        <w:pStyle w:val="Compact"/>
      </w:pPr>
      <w:r>
        <w:t xml:space="preserve">consistência;</w:t>
      </w:r>
    </w:p>
    <w:p>
      <w:pPr>
        <w:numPr>
          <w:ilvl w:val="0"/>
          <w:numId w:val="1011"/>
        </w:numPr>
        <w:pStyle w:val="Compact"/>
      </w:pPr>
      <w:r>
        <w:t xml:space="preserve">validade;</w:t>
      </w:r>
    </w:p>
    <w:p>
      <w:pPr>
        <w:numPr>
          <w:ilvl w:val="0"/>
          <w:numId w:val="1011"/>
        </w:numPr>
        <w:pStyle w:val="Compact"/>
      </w:pPr>
      <w:r>
        <w:t xml:space="preserve">tempestividade;</w:t>
      </w:r>
    </w:p>
    <w:p>
      <w:pPr>
        <w:numPr>
          <w:ilvl w:val="0"/>
          <w:numId w:val="1011"/>
        </w:numPr>
        <w:pStyle w:val="Compact"/>
      </w:pPr>
      <w:r>
        <w:t xml:space="preserve">unicidade;</w:t>
      </w:r>
    </w:p>
    <w:p>
      <w:pPr>
        <w:numPr>
          <w:ilvl w:val="0"/>
          <w:numId w:val="1011"/>
        </w:numPr>
        <w:pStyle w:val="Compact"/>
      </w:pPr>
      <w:r>
        <w:t xml:space="preserve">integridade;</w:t>
      </w:r>
    </w:p>
    <w:p>
      <w:pPr>
        <w:numPr>
          <w:ilvl w:val="0"/>
          <w:numId w:val="1011"/>
        </w:numPr>
        <w:pStyle w:val="Compact"/>
      </w:pPr>
      <w:r>
        <w:t xml:space="preserve">rastreabilidade.</w:t>
      </w:r>
    </w:p>
    <w:p>
      <w:pPr>
        <w:pStyle w:val="FirstParagraph"/>
      </w:pPr>
      <w:r>
        <w:t xml:space="preserve">Antes de publicar, revise contagens, duplicados, nulos, categorias, totais, limites de datas, amostras e atualização.</w:t>
      </w:r>
    </w:p>
    <w:bookmarkEnd w:id="35"/>
    <w:bookmarkStart w:id="36" w:name="reconciliação"/>
    <w:p>
      <w:pPr>
        <w:pStyle w:val="Heading2"/>
      </w:pPr>
      <w:r>
        <w:t xml:space="preserve">Reconciliação</w:t>
      </w:r>
    </w:p>
    <w:p>
      <w:pPr>
        <w:pStyle w:val="FirstParagraph"/>
      </w:pPr>
      <w:r>
        <w:t xml:space="preserve">Dashboards críticos devem ser conciliados com fontes autorizadas, por exemplo:</w:t>
      </w:r>
    </w:p>
    <w:p>
      <w:pPr>
        <w:numPr>
          <w:ilvl w:val="0"/>
          <w:numId w:val="1012"/>
        </w:numPr>
        <w:pStyle w:val="Compact"/>
      </w:pPr>
      <w:r>
        <w:t xml:space="preserve">receita com finanças;</w:t>
      </w:r>
    </w:p>
    <w:p>
      <w:pPr>
        <w:numPr>
          <w:ilvl w:val="0"/>
          <w:numId w:val="1012"/>
        </w:numPr>
        <w:pStyle w:val="Compact"/>
      </w:pPr>
      <w:r>
        <w:t xml:space="preserve">pedidos com sistema operacional;</w:t>
      </w:r>
    </w:p>
    <w:p>
      <w:pPr>
        <w:numPr>
          <w:ilvl w:val="0"/>
          <w:numId w:val="1012"/>
        </w:numPr>
        <w:pStyle w:val="Compact"/>
      </w:pPr>
      <w:r>
        <w:t xml:space="preserve">headcount com RH;</w:t>
      </w:r>
    </w:p>
    <w:p>
      <w:pPr>
        <w:numPr>
          <w:ilvl w:val="0"/>
          <w:numId w:val="1012"/>
        </w:numPr>
        <w:pStyle w:val="Compact"/>
      </w:pPr>
      <w:r>
        <w:t xml:space="preserve">clientes com customer master;</w:t>
      </w:r>
    </w:p>
    <w:p>
      <w:pPr>
        <w:numPr>
          <w:ilvl w:val="0"/>
          <w:numId w:val="1012"/>
        </w:numPr>
        <w:pStyle w:val="Compact"/>
      </w:pPr>
      <w:r>
        <w:t xml:space="preserve">inventário com o registro governado.</w:t>
      </w:r>
    </w:p>
    <w:p>
      <w:pPr>
        <w:pStyle w:val="FirstParagraph"/>
      </w:pPr>
      <w:r>
        <w:t xml:space="preserve">Diferenças podem ser legítimas; precisam ser explicadas, não ocultadas.</w:t>
      </w:r>
    </w:p>
    <w:bookmarkEnd w:id="36"/>
    <w:bookmarkStart w:id="37" w:name="estatística-e-interpretação"/>
    <w:p>
      <w:pPr>
        <w:pStyle w:val="Heading2"/>
      </w:pPr>
      <w:r>
        <w:t xml:space="preserve">Estatística e interpretação</w:t>
      </w:r>
    </w:p>
    <w:p>
      <w:pPr>
        <w:pStyle w:val="FirstParagraph"/>
      </w:pPr>
      <w:r>
        <w:t xml:space="preserve">Conceitos úteis incluem média, mediana, percentis, taxas, distribuição, variância, desvio padrão, crescimento, média móvel, sazonalidade, coortes e efeito do denominador.</w:t>
      </w:r>
    </w:p>
    <w:p>
      <w:pPr>
        <w:pStyle w:val="BodyText"/>
      </w:pPr>
      <w:r>
        <w:t xml:space="preserve">Correlação não prova causalidade. Separe fatos observados de interpretação e recomendação.</w:t>
      </w:r>
    </w:p>
    <w:bookmarkEnd w:id="37"/>
    <w:bookmarkStart w:id="38" w:name="dashboards-e-visualização"/>
    <w:p>
      <w:pPr>
        <w:pStyle w:val="Heading2"/>
      </w:pPr>
      <w:r>
        <w:t xml:space="preserve">Dashboards e visualização</w:t>
      </w:r>
    </w:p>
    <w:p>
      <w:pPr>
        <w:pStyle w:val="FirstParagraph"/>
      </w:pPr>
      <w:r>
        <w:t xml:space="preserve">Boas práticas:</w:t>
      </w:r>
    </w:p>
    <w:p>
      <w:pPr>
        <w:numPr>
          <w:ilvl w:val="0"/>
          <w:numId w:val="1013"/>
        </w:numPr>
        <w:pStyle w:val="Compact"/>
      </w:pPr>
      <w:r>
        <w:t xml:space="preserve">título e objetivo claros;</w:t>
      </w:r>
    </w:p>
    <w:p>
      <w:pPr>
        <w:numPr>
          <w:ilvl w:val="0"/>
          <w:numId w:val="1013"/>
        </w:numPr>
        <w:pStyle w:val="Compact"/>
      </w:pPr>
      <w:r>
        <w:t xml:space="preserve">período visível;</w:t>
      </w:r>
    </w:p>
    <w:p>
      <w:pPr>
        <w:numPr>
          <w:ilvl w:val="0"/>
          <w:numId w:val="1013"/>
        </w:numPr>
        <w:pStyle w:val="Compact"/>
      </w:pPr>
      <w:r>
        <w:t xml:space="preserve">unidades corretas;</w:t>
      </w:r>
    </w:p>
    <w:p>
      <w:pPr>
        <w:numPr>
          <w:ilvl w:val="0"/>
          <w:numId w:val="1013"/>
        </w:numPr>
        <w:pStyle w:val="Compact"/>
      </w:pPr>
      <w:r>
        <w:t xml:space="preserve">escalas coerentes;</w:t>
      </w:r>
    </w:p>
    <w:p>
      <w:pPr>
        <w:numPr>
          <w:ilvl w:val="0"/>
          <w:numId w:val="1013"/>
        </w:numPr>
        <w:pStyle w:val="Compact"/>
      </w:pPr>
      <w:r>
        <w:t xml:space="preserve">rótulos legíveis;</w:t>
      </w:r>
    </w:p>
    <w:p>
      <w:pPr>
        <w:numPr>
          <w:ilvl w:val="0"/>
          <w:numId w:val="1013"/>
        </w:numPr>
        <w:pStyle w:val="Compact"/>
      </w:pPr>
      <w:r>
        <w:t xml:space="preserve">filtros claros;</w:t>
      </w:r>
    </w:p>
    <w:p>
      <w:pPr>
        <w:numPr>
          <w:ilvl w:val="0"/>
          <w:numId w:val="1013"/>
        </w:numPr>
        <w:pStyle w:val="Compact"/>
      </w:pPr>
      <w:r>
        <w:t xml:space="preserve">definições para métricas ambíguas;</w:t>
      </w:r>
    </w:p>
    <w:p>
      <w:pPr>
        <w:numPr>
          <w:ilvl w:val="0"/>
          <w:numId w:val="1013"/>
        </w:numPr>
        <w:pStyle w:val="Compact"/>
      </w:pPr>
      <w:r>
        <w:t xml:space="preserve">acesso a detalhe quando apropriado.</w:t>
      </w:r>
    </w:p>
    <w:p>
      <w:pPr>
        <w:pStyle w:val="FirstParagraph"/>
      </w:pPr>
      <w:r>
        <w:t xml:space="preserve">Escolha gráficos pelo propósito: barras para categorias, linhas para tendências, scatter para relações numéricas, tabelas para detalhe, KPI cards para uma medida principal, histogramas para distribuição e mapas apenas quando geografia realmente importa.</w:t>
      </w:r>
    </w:p>
    <w:bookmarkEnd w:id="38"/>
    <w:bookmarkStart w:id="39" w:name="evite-visualizações-enganosas"/>
    <w:p>
      <w:pPr>
        <w:pStyle w:val="Heading2"/>
      </w:pPr>
      <w:r>
        <w:t xml:space="preserve">Evite visualizações enganosas</w:t>
      </w:r>
    </w:p>
    <w:p>
      <w:pPr>
        <w:pStyle w:val="FirstParagraph"/>
      </w:pPr>
      <w:r>
        <w:t xml:space="preserve">Não:</w:t>
      </w:r>
    </w:p>
    <w:p>
      <w:pPr>
        <w:numPr>
          <w:ilvl w:val="0"/>
          <w:numId w:val="1014"/>
        </w:numPr>
        <w:pStyle w:val="Compact"/>
      </w:pPr>
      <w:r>
        <w:t xml:space="preserve">corte eixos para exagerar diferenças sem aviso;</w:t>
      </w:r>
    </w:p>
    <w:p>
      <w:pPr>
        <w:numPr>
          <w:ilvl w:val="0"/>
          <w:numId w:val="1014"/>
        </w:numPr>
        <w:pStyle w:val="Compact"/>
      </w:pPr>
      <w:r>
        <w:t xml:space="preserve">use escalas inconsistentes para criar uma impressão desejada;</w:t>
      </w:r>
    </w:p>
    <w:p>
      <w:pPr>
        <w:numPr>
          <w:ilvl w:val="0"/>
          <w:numId w:val="1014"/>
        </w:numPr>
        <w:pStyle w:val="Compact"/>
      </w:pPr>
      <w:r>
        <w:t xml:space="preserve">compare períodos incompatíveis sem explicar;</w:t>
      </w:r>
    </w:p>
    <w:p>
      <w:pPr>
        <w:numPr>
          <w:ilvl w:val="0"/>
          <w:numId w:val="1014"/>
        </w:numPr>
        <w:pStyle w:val="Compact"/>
      </w:pPr>
      <w:r>
        <w:t xml:space="preserve">esconda dados ausentes;</w:t>
      </w:r>
    </w:p>
    <w:p>
      <w:pPr>
        <w:numPr>
          <w:ilvl w:val="0"/>
          <w:numId w:val="1014"/>
        </w:numPr>
        <w:pStyle w:val="Compact"/>
      </w:pPr>
      <w:r>
        <w:t xml:space="preserve">distorça magnitudes com área/volume;</w:t>
      </w:r>
    </w:p>
    <w:p>
      <w:pPr>
        <w:numPr>
          <w:ilvl w:val="0"/>
          <w:numId w:val="1014"/>
        </w:numPr>
        <w:pStyle w:val="Compact"/>
      </w:pPr>
      <w:r>
        <w:t xml:space="preserve">dependa somente de cor;</w:t>
      </w:r>
    </w:p>
    <w:p>
      <w:pPr>
        <w:numPr>
          <w:ilvl w:val="0"/>
          <w:numId w:val="1014"/>
        </w:numPr>
        <w:pStyle w:val="Compact"/>
      </w:pPr>
      <w:r>
        <w:t xml:space="preserve">mostre precisão sem suporte;</w:t>
      </w:r>
    </w:p>
    <w:p>
      <w:pPr>
        <w:numPr>
          <w:ilvl w:val="0"/>
          <w:numId w:val="1014"/>
        </w:numPr>
        <w:pStyle w:val="Compact"/>
      </w:pPr>
      <w:r>
        <w:t xml:space="preserve">confunda valores acumulados e de período.</w:t>
      </w:r>
    </w:p>
    <w:bookmarkEnd w:id="39"/>
    <w:bookmarkStart w:id="40" w:name="X4a1a331028b1422b90f14e3a8ff17e715c01c00"/>
    <w:p>
      <w:pPr>
        <w:pStyle w:val="Heading2"/>
      </w:pPr>
      <w:r>
        <w:t xml:space="preserve">Power BI, Tableau e habilidades transferíveis</w:t>
      </w:r>
    </w:p>
    <w:p>
      <w:pPr>
        <w:pStyle w:val="FirstParagraph"/>
      </w:pPr>
      <w:r>
        <w:t xml:space="preserve">Sinais atuais incluem</w:t>
      </w:r>
      <w:r>
        <w:t xml:space="preserve"> </w:t>
      </w:r>
      <w:r>
        <w:rPr>
          <w:bCs/>
          <w:b/>
        </w:rPr>
        <w:t xml:space="preserve">Power BI 20%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Tableau 19%</w:t>
      </w:r>
      <w:r>
        <w:t xml:space="preserve">.</w:t>
      </w:r>
    </w:p>
    <w:p>
      <w:pPr>
        <w:pStyle w:val="BodyText"/>
      </w:pPr>
      <w:r>
        <w:t xml:space="preserve">Conhecimentos transferíveis:</w:t>
      </w:r>
    </w:p>
    <w:p>
      <w:pPr>
        <w:numPr>
          <w:ilvl w:val="0"/>
          <w:numId w:val="1015"/>
        </w:numPr>
        <w:pStyle w:val="Compact"/>
      </w:pPr>
      <w:r>
        <w:t xml:space="preserve">conexão a fontes;</w:t>
      </w:r>
    </w:p>
    <w:p>
      <w:pPr>
        <w:numPr>
          <w:ilvl w:val="0"/>
          <w:numId w:val="1015"/>
        </w:numPr>
        <w:pStyle w:val="Compact"/>
      </w:pPr>
      <w:r>
        <w:t xml:space="preserve">modelagem/relacionamentos;</w:t>
      </w:r>
    </w:p>
    <w:p>
      <w:pPr>
        <w:numPr>
          <w:ilvl w:val="0"/>
          <w:numId w:val="1015"/>
        </w:numPr>
        <w:pStyle w:val="Compact"/>
      </w:pPr>
      <w:r>
        <w:t xml:space="preserve">medidas/cálculos;</w:t>
      </w:r>
    </w:p>
    <w:p>
      <w:pPr>
        <w:numPr>
          <w:ilvl w:val="0"/>
          <w:numId w:val="1015"/>
        </w:numPr>
        <w:pStyle w:val="Compact"/>
      </w:pPr>
      <w:r>
        <w:t xml:space="preserve">filtros/contexto;</w:t>
      </w:r>
    </w:p>
    <w:p>
      <w:pPr>
        <w:numPr>
          <w:ilvl w:val="0"/>
          <w:numId w:val="1015"/>
        </w:numPr>
        <w:pStyle w:val="Compact"/>
      </w:pPr>
      <w:r>
        <w:t xml:space="preserve">drill-down/drill-through;</w:t>
      </w:r>
    </w:p>
    <w:p>
      <w:pPr>
        <w:numPr>
          <w:ilvl w:val="0"/>
          <w:numId w:val="1015"/>
        </w:numPr>
        <w:pStyle w:val="Compact"/>
      </w:pPr>
      <w:r>
        <w:t xml:space="preserve">row-level security;</w:t>
      </w:r>
    </w:p>
    <w:p>
      <w:pPr>
        <w:numPr>
          <w:ilvl w:val="0"/>
          <w:numId w:val="1015"/>
        </w:numPr>
        <w:pStyle w:val="Compact"/>
      </w:pPr>
      <w:r>
        <w:t xml:space="preserve">refresh;</w:t>
      </w:r>
    </w:p>
    <w:p>
      <w:pPr>
        <w:numPr>
          <w:ilvl w:val="0"/>
          <w:numId w:val="1015"/>
        </w:numPr>
        <w:pStyle w:val="Compact"/>
      </w:pPr>
      <w:r>
        <w:t xml:space="preserve">desempenho;</w:t>
      </w:r>
    </w:p>
    <w:p>
      <w:pPr>
        <w:numPr>
          <w:ilvl w:val="0"/>
          <w:numId w:val="1015"/>
        </w:numPr>
        <w:pStyle w:val="Compact"/>
      </w:pPr>
      <w:r>
        <w:t xml:space="preserve">workspaces/implantação;</w:t>
      </w:r>
    </w:p>
    <w:p>
      <w:pPr>
        <w:numPr>
          <w:ilvl w:val="0"/>
          <w:numId w:val="1015"/>
        </w:numPr>
        <w:pStyle w:val="Compact"/>
      </w:pPr>
      <w:r>
        <w:t xml:space="preserve">design visual;</w:t>
      </w:r>
    </w:p>
    <w:p>
      <w:pPr>
        <w:numPr>
          <w:ilvl w:val="0"/>
          <w:numId w:val="1015"/>
        </w:numPr>
        <w:pStyle w:val="Compact"/>
      </w:pPr>
      <w:r>
        <w:t xml:space="preserve">compartilhamento governado.</w:t>
      </w:r>
    </w:p>
    <w:bookmarkEnd w:id="40"/>
    <w:bookmarkStart w:id="41" w:name="sinais-atuais-de-tecnologias-nos-eua"/>
    <w:p>
      <w:pPr>
        <w:pStyle w:val="Heading2"/>
      </w:pPr>
      <w:r>
        <w:t xml:space="preserve">Sinais atuais de tecnologias nos EUA</w:t>
      </w:r>
    </w:p>
    <w:p>
      <w:pPr>
        <w:pStyle w:val="FirstParagraph"/>
      </w:pPr>
      <w:r>
        <w:t xml:space="preserve">O*NET/Lightcast para 2025:</w:t>
      </w:r>
    </w:p>
    <w:p>
      <w:pPr>
        <w:numPr>
          <w:ilvl w:val="0"/>
          <w:numId w:val="1016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35%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Microsoft Power BI</w:t>
      </w:r>
      <w:r>
        <w:t xml:space="preserve"> </w:t>
      </w:r>
      <w:r>
        <w:rPr>
          <w:bCs/>
          <w:b/>
        </w:rPr>
        <w:t xml:space="preserve">20%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Python</w:t>
      </w:r>
      <w:r>
        <w:t xml:space="preserve"> </w:t>
      </w:r>
      <w:r>
        <w:rPr>
          <w:bCs/>
          <w:b/>
        </w:rPr>
        <w:t xml:space="preserve">20%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Tableau</w:t>
      </w:r>
      <w:r>
        <w:t xml:space="preserve"> </w:t>
      </w:r>
      <w:r>
        <w:rPr>
          <w:bCs/>
          <w:b/>
        </w:rPr>
        <w:t xml:space="preserve">19%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SAP</w:t>
      </w:r>
      <w:r>
        <w:t xml:space="preserve"> </w:t>
      </w:r>
      <w:r>
        <w:rPr>
          <w:bCs/>
          <w:b/>
        </w:rPr>
        <w:t xml:space="preserve">19%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Microsoft Excel</w:t>
      </w:r>
      <w:r>
        <w:t xml:space="preserve"> </w:t>
      </w:r>
      <w:r>
        <w:rPr>
          <w:bCs/>
          <w:b/>
        </w:rPr>
        <w:t xml:space="preserve">17%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R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Microsoft PowerPoint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Microsoft Office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Microsoft Azure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Snowflake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SAS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Salesforce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São sinais do mercado, não uma lista obrigatória.</w:t>
      </w:r>
    </w:p>
    <w:bookmarkEnd w:id="41"/>
    <w:bookmarkStart w:id="42" w:name="excel-python-r-e-nuvem"/>
    <w:p>
      <w:pPr>
        <w:pStyle w:val="Heading2"/>
      </w:pPr>
      <w:r>
        <w:t xml:space="preserve">Excel, Python, R e nuvem</w:t>
      </w:r>
    </w:p>
    <w:p>
      <w:pPr>
        <w:pStyle w:val="FirstParagraph"/>
      </w:pPr>
      <w:r>
        <w:t xml:space="preserve">Excel ainda aparece em</w:t>
      </w:r>
      <w:r>
        <w:t xml:space="preserve"> </w:t>
      </w:r>
      <w:r>
        <w:rPr>
          <w:bCs/>
          <w:b/>
        </w:rPr>
        <w:t xml:space="preserve">17%</w:t>
      </w:r>
      <w:r>
        <w:t xml:space="preserve"> </w:t>
      </w:r>
      <w:r>
        <w:t xml:space="preserve">das vagas vinculadas. Use tabelas, fórmulas, pivots, validação, Power Query, gráficos e reconciliação de forma controlada.</w:t>
      </w:r>
    </w:p>
    <w:p>
      <w:pPr>
        <w:pStyle w:val="BodyText"/>
      </w:pPr>
      <w:r>
        <w:t xml:space="preserve">Python</w:t>
      </w:r>
      <w:r>
        <w:t xml:space="preserve"> </w:t>
      </w:r>
      <w:r>
        <w:rPr>
          <w:bCs/>
          <w:b/>
        </w:rPr>
        <w:t xml:space="preserve">20%</w:t>
      </w:r>
      <w:r>
        <w:t xml:space="preserve"> </w:t>
      </w:r>
      <w:r>
        <w:t xml:space="preserve">e R</w:t>
      </w:r>
      <w:r>
        <w:t xml:space="preserve"> </w:t>
      </w:r>
      <w:r>
        <w:rPr>
          <w:bCs/>
          <w:b/>
        </w:rPr>
        <w:t xml:space="preserve">10%</w:t>
      </w:r>
      <w:r>
        <w:t xml:space="preserve"> </w:t>
      </w:r>
      <w:r>
        <w:t xml:space="preserve">podem apoiar limpeza, APIs, automação, estatística, validação e visualização. Nem todo cargo exige programação avançada.</w:t>
      </w:r>
    </w:p>
    <w:p>
      <w:pPr>
        <w:pStyle w:val="BodyText"/>
      </w:pPr>
      <w:r>
        <w:t xml:space="preserve">AWS</w:t>
      </w:r>
      <w:r>
        <w:t xml:space="preserve"> </w:t>
      </w:r>
      <w:r>
        <w:rPr>
          <w:bCs/>
          <w:b/>
        </w:rPr>
        <w:t xml:space="preserve">9%</w:t>
      </w:r>
      <w:r>
        <w:t xml:space="preserve">, Azure</w:t>
      </w:r>
      <w:r>
        <w:t xml:space="preserve"> </w:t>
      </w:r>
      <w:r>
        <w:rPr>
          <w:bCs/>
          <w:b/>
        </w:rPr>
        <w:t xml:space="preserve">8%</w:t>
      </w:r>
      <w:r>
        <w:t xml:space="preserve"> </w:t>
      </w:r>
      <w:r>
        <w:t xml:space="preserve">e Snowflake</w:t>
      </w:r>
      <w:r>
        <w:t xml:space="preserve"> </w:t>
      </w:r>
      <w:r>
        <w:rPr>
          <w:bCs/>
          <w:b/>
        </w:rPr>
        <w:t xml:space="preserve">5%</w:t>
      </w:r>
      <w:r>
        <w:t xml:space="preserve"> </w:t>
      </w:r>
      <w:r>
        <w:t xml:space="preserve">mostram relevância de ambientes modernos. Entenda storage/warehouse, identidade/acesso, refresh, pipelines, custo, governança, logs e secrets sem assumir autoridade de arquiteto.</w:t>
      </w:r>
    </w:p>
    <w:bookmarkEnd w:id="42"/>
    <w:bookmarkStart w:id="43" w:name="Xade75bce9478136874d21a1768cda09d270411a"/>
    <w:p>
      <w:pPr>
        <w:pStyle w:val="Heading2"/>
      </w:pPr>
      <w:r>
        <w:t xml:space="preserve">Requisitos e comunicação com stakeholders</w:t>
      </w:r>
    </w:p>
    <w:p>
      <w:pPr>
        <w:pStyle w:val="FirstParagraph"/>
      </w:pPr>
      <w:r>
        <w:t xml:space="preserve">Clarifique:</w:t>
      </w:r>
    </w:p>
    <w:p>
      <w:pPr>
        <w:numPr>
          <w:ilvl w:val="0"/>
          <w:numId w:val="1017"/>
        </w:numPr>
        <w:pStyle w:val="Compact"/>
      </w:pPr>
      <w:r>
        <w:t xml:space="preserve">decisão desejada;</w:t>
      </w:r>
    </w:p>
    <w:p>
      <w:pPr>
        <w:numPr>
          <w:ilvl w:val="0"/>
          <w:numId w:val="1017"/>
        </w:numPr>
        <w:pStyle w:val="Compact"/>
      </w:pPr>
      <w:r>
        <w:t xml:space="preserve">audiência;</w:t>
      </w:r>
    </w:p>
    <w:p>
      <w:pPr>
        <w:numPr>
          <w:ilvl w:val="0"/>
          <w:numId w:val="1017"/>
        </w:numPr>
        <w:pStyle w:val="Compact"/>
      </w:pPr>
      <w:r>
        <w:t xml:space="preserve">definições;</w:t>
      </w:r>
    </w:p>
    <w:p>
      <w:pPr>
        <w:numPr>
          <w:ilvl w:val="0"/>
          <w:numId w:val="1017"/>
        </w:numPr>
        <w:pStyle w:val="Compact"/>
      </w:pPr>
      <w:r>
        <w:t xml:space="preserve">frequência;</w:t>
      </w:r>
    </w:p>
    <w:p>
      <w:pPr>
        <w:numPr>
          <w:ilvl w:val="0"/>
          <w:numId w:val="1017"/>
        </w:numPr>
        <w:pStyle w:val="Compact"/>
      </w:pPr>
      <w:r>
        <w:t xml:space="preserve">latência aceitável;</w:t>
      </w:r>
    </w:p>
    <w:p>
      <w:pPr>
        <w:numPr>
          <w:ilvl w:val="0"/>
          <w:numId w:val="1017"/>
        </w:numPr>
        <w:pStyle w:val="Compact"/>
      </w:pPr>
      <w:r>
        <w:t xml:space="preserve">granularidade;</w:t>
      </w:r>
    </w:p>
    <w:p>
      <w:pPr>
        <w:numPr>
          <w:ilvl w:val="0"/>
          <w:numId w:val="1017"/>
        </w:numPr>
        <w:pStyle w:val="Compact"/>
      </w:pPr>
      <w:r>
        <w:t xml:space="preserve">segurança;</w:t>
      </w:r>
    </w:p>
    <w:p>
      <w:pPr>
        <w:numPr>
          <w:ilvl w:val="0"/>
          <w:numId w:val="1017"/>
        </w:numPr>
        <w:pStyle w:val="Compact"/>
      </w:pPr>
      <w:r>
        <w:t xml:space="preserve">exportação;</w:t>
      </w:r>
    </w:p>
    <w:p>
      <w:pPr>
        <w:numPr>
          <w:ilvl w:val="0"/>
          <w:numId w:val="1017"/>
        </w:numPr>
        <w:pStyle w:val="Compact"/>
      </w:pPr>
      <w:r>
        <w:t xml:space="preserve">critérios de sucesso;</w:t>
      </w:r>
    </w:p>
    <w:p>
      <w:pPr>
        <w:numPr>
          <w:ilvl w:val="0"/>
          <w:numId w:val="1017"/>
        </w:numPr>
        <w:pStyle w:val="Compact"/>
      </w:pPr>
      <w:r>
        <w:t xml:space="preserve">teste de aceitação.</w:t>
      </w:r>
    </w:p>
    <w:p>
      <w:pPr>
        <w:pStyle w:val="FirstParagraph"/>
      </w:pPr>
      <w:r>
        <w:t xml:space="preserve">Separe no relato:</w:t>
      </w:r>
    </w:p>
    <w:p>
      <w:pPr>
        <w:numPr>
          <w:ilvl w:val="0"/>
          <w:numId w:val="1018"/>
        </w:numPr>
        <w:pStyle w:val="Compact"/>
      </w:pPr>
      <w:r>
        <w:t xml:space="preserve">fatos observados;</w:t>
      </w:r>
    </w:p>
    <w:p>
      <w:pPr>
        <w:numPr>
          <w:ilvl w:val="0"/>
          <w:numId w:val="1018"/>
        </w:numPr>
        <w:pStyle w:val="Compact"/>
      </w:pPr>
      <w:r>
        <w:t xml:space="preserve">métricas calculadas;</w:t>
      </w:r>
    </w:p>
    <w:p>
      <w:pPr>
        <w:numPr>
          <w:ilvl w:val="0"/>
          <w:numId w:val="1018"/>
        </w:numPr>
        <w:pStyle w:val="Compact"/>
      </w:pPr>
      <w:r>
        <w:t xml:space="preserve">premissas;</w:t>
      </w:r>
    </w:p>
    <w:p>
      <w:pPr>
        <w:numPr>
          <w:ilvl w:val="0"/>
          <w:numId w:val="1018"/>
        </w:numPr>
        <w:pStyle w:val="Compact"/>
      </w:pPr>
      <w:r>
        <w:t xml:space="preserve">interpretação;</w:t>
      </w:r>
    </w:p>
    <w:p>
      <w:pPr>
        <w:numPr>
          <w:ilvl w:val="0"/>
          <w:numId w:val="1018"/>
        </w:numPr>
        <w:pStyle w:val="Compact"/>
      </w:pPr>
      <w:r>
        <w:t xml:space="preserve">recomendação.</w:t>
      </w:r>
    </w:p>
    <w:bookmarkEnd w:id="43"/>
    <w:bookmarkStart w:id="44" w:name="privacidade-e-cibersegurança"/>
    <w:p>
      <w:pPr>
        <w:pStyle w:val="Heading2"/>
      </w:pPr>
      <w:r>
        <w:t xml:space="preserve">Privacidade e cibersegurança</w:t>
      </w:r>
    </w:p>
    <w:p>
      <w:pPr>
        <w:pStyle w:val="FirstParagraph"/>
      </w:pPr>
      <w:r>
        <w:t xml:space="preserve">BI pode expor dados de clientes, funcionários, finanças, saúde, preços, contratos e identificadores.</w:t>
      </w:r>
    </w:p>
    <w:p>
      <w:pPr>
        <w:pStyle w:val="BodyText"/>
      </w:pPr>
      <w:r>
        <w:t xml:space="preserve">Práticas:</w:t>
      </w:r>
    </w:p>
    <w:p>
      <w:pPr>
        <w:numPr>
          <w:ilvl w:val="0"/>
          <w:numId w:val="1019"/>
        </w:numPr>
        <w:pStyle w:val="Compact"/>
      </w:pPr>
      <w:r>
        <w:t xml:space="preserve">privilégio mínimo;</w:t>
      </w:r>
    </w:p>
    <w:p>
      <w:pPr>
        <w:numPr>
          <w:ilvl w:val="0"/>
          <w:numId w:val="1019"/>
        </w:numPr>
        <w:pStyle w:val="Compact"/>
      </w:pPr>
      <w:r>
        <w:t xml:space="preserve">fontes aprovadas;</w:t>
      </w:r>
    </w:p>
    <w:p>
      <w:pPr>
        <w:numPr>
          <w:ilvl w:val="0"/>
          <w:numId w:val="1019"/>
        </w:numPr>
        <w:pStyle w:val="Compact"/>
      </w:pPr>
      <w:r>
        <w:t xml:space="preserve">exports controlados;</w:t>
      </w:r>
    </w:p>
    <w:p>
      <w:pPr>
        <w:numPr>
          <w:ilvl w:val="0"/>
          <w:numId w:val="1019"/>
        </w:numPr>
        <w:pStyle w:val="Compact"/>
      </w:pPr>
      <w:r>
        <w:t xml:space="preserve">armazenamento e compartilhamento seguros;</w:t>
      </w:r>
    </w:p>
    <w:p>
      <w:pPr>
        <w:numPr>
          <w:ilvl w:val="0"/>
          <w:numId w:val="1019"/>
        </w:numPr>
        <w:pStyle w:val="Compact"/>
      </w:pPr>
      <w:r>
        <w:t xml:space="preserve">masking/agregação quando necessário;</w:t>
      </w:r>
    </w:p>
    <w:p>
      <w:pPr>
        <w:numPr>
          <w:ilvl w:val="0"/>
          <w:numId w:val="1019"/>
        </w:numPr>
        <w:pStyle w:val="Compact"/>
      </w:pPr>
      <w:r>
        <w:t xml:space="preserve">retenção/exclusão governada;</w:t>
      </w:r>
    </w:p>
    <w:p>
      <w:pPr>
        <w:numPr>
          <w:ilvl w:val="0"/>
          <w:numId w:val="1019"/>
        </w:numPr>
        <w:pStyle w:val="Compact"/>
      </w:pPr>
      <w:r>
        <w:t xml:space="preserve">MFA quando exigido;</w:t>
      </w:r>
    </w:p>
    <w:p>
      <w:pPr>
        <w:numPr>
          <w:ilvl w:val="0"/>
          <w:numId w:val="1019"/>
        </w:numPr>
        <w:pStyle w:val="Compact"/>
      </w:pPr>
      <w:r>
        <w:t xml:space="preserve">proteção de credenciais/tokens;</w:t>
      </w:r>
    </w:p>
    <w:p>
      <w:pPr>
        <w:numPr>
          <w:ilvl w:val="0"/>
          <w:numId w:val="1019"/>
        </w:numPr>
        <w:pStyle w:val="Compact"/>
      </w:pPr>
      <w:r>
        <w:t xml:space="preserve">contas de serviço com permissões mínimas;</w:t>
      </w:r>
    </w:p>
    <w:p>
      <w:pPr>
        <w:numPr>
          <w:ilvl w:val="0"/>
          <w:numId w:val="1019"/>
        </w:numPr>
        <w:pStyle w:val="Compact"/>
      </w:pPr>
      <w:r>
        <w:t xml:space="preserve">não contornar row-level security;</w:t>
      </w:r>
    </w:p>
    <w:p>
      <w:pPr>
        <w:numPr>
          <w:ilvl w:val="0"/>
          <w:numId w:val="1019"/>
        </w:numPr>
        <w:pStyle w:val="Compact"/>
      </w:pPr>
      <w:r>
        <w:t xml:space="preserve">não copiar produção para ferramentas pessoais não gerenciadas;</w:t>
      </w:r>
    </w:p>
    <w:p>
      <w:pPr>
        <w:numPr>
          <w:ilvl w:val="0"/>
          <w:numId w:val="1019"/>
        </w:numPr>
        <w:pStyle w:val="Compact"/>
      </w:pPr>
      <w:r>
        <w:t xml:space="preserve">relatar exposição inesperada.</w:t>
      </w:r>
    </w:p>
    <w:p>
      <w:pPr>
        <w:pStyle w:val="FirstParagraph"/>
      </w:pPr>
      <w:r>
        <w:t xml:space="preserve">NIST Cybersecurity Framework e Privacy Framework oferecem contexto de governança, sem substituir políticas e leis aplicáveis.</w:t>
      </w:r>
    </w:p>
    <w:bookmarkEnd w:id="44"/>
    <w:bookmarkStart w:id="45" w:name="ia-e-automação-responsáveis"/>
    <w:p>
      <w:pPr>
        <w:pStyle w:val="Heading2"/>
      </w:pPr>
      <w:r>
        <w:t xml:space="preserve">IA e automação responsáveis</w:t>
      </w:r>
    </w:p>
    <w:p>
      <w:pPr>
        <w:pStyle w:val="FirstParagraph"/>
      </w:pPr>
      <w:r>
        <w:t xml:space="preserve">IA pode ajudar a:</w:t>
      </w:r>
    </w:p>
    <w:p>
      <w:pPr>
        <w:numPr>
          <w:ilvl w:val="0"/>
          <w:numId w:val="1020"/>
        </w:numPr>
        <w:pStyle w:val="Compact"/>
      </w:pPr>
      <w:r>
        <w:t xml:space="preserve">redigir SQL;</w:t>
      </w:r>
    </w:p>
    <w:p>
      <w:pPr>
        <w:numPr>
          <w:ilvl w:val="0"/>
          <w:numId w:val="1020"/>
        </w:numPr>
        <w:pStyle w:val="Compact"/>
      </w:pPr>
      <w:r>
        <w:t xml:space="preserve">explicar consultas;</w:t>
      </w:r>
    </w:p>
    <w:p>
      <w:pPr>
        <w:numPr>
          <w:ilvl w:val="0"/>
          <w:numId w:val="1020"/>
        </w:numPr>
        <w:pStyle w:val="Compact"/>
      </w:pPr>
      <w:r>
        <w:t xml:space="preserve">sugerir DAX/fórmulas;</w:t>
      </w:r>
    </w:p>
    <w:p>
      <w:pPr>
        <w:numPr>
          <w:ilvl w:val="0"/>
          <w:numId w:val="1020"/>
        </w:numPr>
        <w:pStyle w:val="Compact"/>
      </w:pPr>
      <w:r>
        <w:t xml:space="preserve">criar testes;</w:t>
      </w:r>
    </w:p>
    <w:p>
      <w:pPr>
        <w:numPr>
          <w:ilvl w:val="0"/>
          <w:numId w:val="1020"/>
        </w:numPr>
        <w:pStyle w:val="Compact"/>
      </w:pPr>
      <w:r>
        <w:t xml:space="preserve">resumir resultados não sensíveis;</w:t>
      </w:r>
    </w:p>
    <w:p>
      <w:pPr>
        <w:numPr>
          <w:ilvl w:val="0"/>
          <w:numId w:val="1020"/>
        </w:numPr>
        <w:pStyle w:val="Compact"/>
      </w:pPr>
      <w:r>
        <w:t xml:space="preserve">documentar dashboards;</w:t>
      </w:r>
    </w:p>
    <w:p>
      <w:pPr>
        <w:numPr>
          <w:ilvl w:val="0"/>
          <w:numId w:val="1020"/>
        </w:numPr>
        <w:pStyle w:val="Compact"/>
      </w:pPr>
      <w:r>
        <w:t xml:space="preserve">gerar exemplos sintéticos.</w:t>
      </w:r>
    </w:p>
    <w:p>
      <w:pPr>
        <w:pStyle w:val="FirstParagraph"/>
      </w:pPr>
      <w:r>
        <w:t xml:space="preserve">Controles:</w:t>
      </w:r>
    </w:p>
    <w:p>
      <w:pPr>
        <w:numPr>
          <w:ilvl w:val="0"/>
          <w:numId w:val="1021"/>
        </w:numPr>
        <w:pStyle w:val="Compact"/>
      </w:pPr>
      <w:r>
        <w:t xml:space="preserve">use apenas sistemas/dados aprovados;</w:t>
      </w:r>
    </w:p>
    <w:p>
      <w:pPr>
        <w:numPr>
          <w:ilvl w:val="0"/>
          <w:numId w:val="1021"/>
        </w:numPr>
        <w:pStyle w:val="Compact"/>
      </w:pPr>
      <w:r>
        <w:t xml:space="preserve">não envie dados confidenciais, credenciais ou extratos protegidos para IA pública não aprovada;</w:t>
      </w:r>
    </w:p>
    <w:p>
      <w:pPr>
        <w:numPr>
          <w:ilvl w:val="0"/>
          <w:numId w:val="1021"/>
        </w:numPr>
        <w:pStyle w:val="Compact"/>
      </w:pPr>
      <w:r>
        <w:t xml:space="preserve">valide SQL antes de executar;</w:t>
      </w:r>
    </w:p>
    <w:p>
      <w:pPr>
        <w:numPr>
          <w:ilvl w:val="0"/>
          <w:numId w:val="1021"/>
        </w:numPr>
        <w:pStyle w:val="Compact"/>
      </w:pPr>
      <w:r>
        <w:t xml:space="preserve">valide fórmulas e cálculos;</w:t>
      </w:r>
    </w:p>
    <w:p>
      <w:pPr>
        <w:numPr>
          <w:ilvl w:val="0"/>
          <w:numId w:val="1021"/>
        </w:numPr>
        <w:pStyle w:val="Compact"/>
      </w:pPr>
      <w:r>
        <w:t xml:space="preserve">reconcilie com fontes autorizadas;</w:t>
      </w:r>
    </w:p>
    <w:p>
      <w:pPr>
        <w:numPr>
          <w:ilvl w:val="0"/>
          <w:numId w:val="1021"/>
        </w:numPr>
        <w:pStyle w:val="Compact"/>
      </w:pPr>
      <w:r>
        <w:t xml:space="preserve">diferencie narrativa gerada de evidência observada;</w:t>
      </w:r>
    </w:p>
    <w:p>
      <w:pPr>
        <w:numPr>
          <w:ilvl w:val="0"/>
          <w:numId w:val="1021"/>
        </w:numPr>
        <w:pStyle w:val="Compact"/>
      </w:pPr>
      <w:r>
        <w:t xml:space="preserve">revise causalidade, erro sistemático e viés;</w:t>
      </w:r>
    </w:p>
    <w:p>
      <w:pPr>
        <w:numPr>
          <w:ilvl w:val="0"/>
          <w:numId w:val="1021"/>
        </w:numPr>
        <w:pStyle w:val="Compact"/>
      </w:pPr>
      <w:r>
        <w:t xml:space="preserve">não publique automaticamente outputs críticos sem aprovação quando exigida.</w:t>
      </w:r>
    </w:p>
    <w:p>
      <w:pPr>
        <w:pStyle w:val="FirstParagraph"/>
      </w:pPr>
      <w:r>
        <w:t xml:space="preserve">O NIST AI Risk Management Framework e o Generative AI Profile são orientações voluntárias e não substituem governança de dados.</w:t>
      </w:r>
    </w:p>
    <w:bookmarkEnd w:id="45"/>
    <w:bookmarkStart w:id="46" w:name="acessibilidade"/>
    <w:p>
      <w:pPr>
        <w:pStyle w:val="Heading2"/>
      </w:pPr>
      <w:r>
        <w:t xml:space="preserve">Acessibilidade</w:t>
      </w:r>
    </w:p>
    <w:p>
      <w:pPr>
        <w:pStyle w:val="FirstParagraph"/>
      </w:pPr>
      <w:r>
        <w:t xml:space="preserve">Práticas úteis:</w:t>
      </w:r>
    </w:p>
    <w:p>
      <w:pPr>
        <w:numPr>
          <w:ilvl w:val="0"/>
          <w:numId w:val="1022"/>
        </w:numPr>
        <w:pStyle w:val="Compact"/>
      </w:pPr>
      <w:r>
        <w:t xml:space="preserve">contraste legível;</w:t>
      </w:r>
    </w:p>
    <w:p>
      <w:pPr>
        <w:numPr>
          <w:ilvl w:val="0"/>
          <w:numId w:val="1022"/>
        </w:numPr>
        <w:pStyle w:val="Compact"/>
      </w:pPr>
      <w:r>
        <w:t xml:space="preserve">texto adequado;</w:t>
      </w:r>
    </w:p>
    <w:p>
      <w:pPr>
        <w:numPr>
          <w:ilvl w:val="0"/>
          <w:numId w:val="1022"/>
        </w:numPr>
        <w:pStyle w:val="Compact"/>
      </w:pPr>
      <w:r>
        <w:t xml:space="preserve">títulos e rótulos significativos;</w:t>
      </w:r>
    </w:p>
    <w:p>
      <w:pPr>
        <w:numPr>
          <w:ilvl w:val="0"/>
          <w:numId w:val="1022"/>
        </w:numPr>
        <w:pStyle w:val="Compact"/>
      </w:pPr>
      <w:r>
        <w:t xml:space="preserve">navegação por teclado quando suportada;</w:t>
      </w:r>
    </w:p>
    <w:p>
      <w:pPr>
        <w:numPr>
          <w:ilvl w:val="0"/>
          <w:numId w:val="1022"/>
        </w:numPr>
        <w:pStyle w:val="Compact"/>
      </w:pPr>
      <w:r>
        <w:t xml:space="preserve">ordem lógica;</w:t>
      </w:r>
    </w:p>
    <w:p>
      <w:pPr>
        <w:numPr>
          <w:ilvl w:val="0"/>
          <w:numId w:val="1022"/>
        </w:numPr>
        <w:pStyle w:val="Compact"/>
      </w:pPr>
      <w:r>
        <w:t xml:space="preserve">não depender só de cor;</w:t>
      </w:r>
    </w:p>
    <w:p>
      <w:pPr>
        <w:numPr>
          <w:ilvl w:val="0"/>
          <w:numId w:val="1022"/>
        </w:numPr>
        <w:pStyle w:val="Compact"/>
      </w:pPr>
      <w:r>
        <w:t xml:space="preserve">alternativas em texto/tabela quando prático;</w:t>
      </w:r>
    </w:p>
    <w:p>
      <w:pPr>
        <w:numPr>
          <w:ilvl w:val="0"/>
          <w:numId w:val="1022"/>
        </w:numPr>
        <w:pStyle w:val="Compact"/>
      </w:pPr>
      <w:r>
        <w:t xml:space="preserve">alt text apropriado em gráficos exportados;</w:t>
      </w:r>
    </w:p>
    <w:p>
      <w:pPr>
        <w:numPr>
          <w:ilvl w:val="0"/>
          <w:numId w:val="1022"/>
        </w:numPr>
        <w:pStyle w:val="Compact"/>
      </w:pPr>
      <w:r>
        <w:t xml:space="preserve">linguagem concisa e unidades claras.</w:t>
      </w:r>
    </w:p>
    <w:p>
      <w:pPr>
        <w:pStyle w:val="FirstParagraph"/>
      </w:pPr>
      <w:r>
        <w:t xml:space="preserve">Ferramentas automáticas não comprovam conformidade legal completa. WCAG 2.2 e Section 508 oferecem contexto quando aplicável.</w:t>
      </w:r>
    </w:p>
    <w:bookmarkEnd w:id="46"/>
    <w:bookmarkStart w:id="47" w:name="portfólio-ético"/>
    <w:p>
      <w:pPr>
        <w:pStyle w:val="Heading2"/>
      </w:pPr>
      <w:r>
        <w:t xml:space="preserve">Portfólio ético</w:t>
      </w:r>
    </w:p>
    <w:p>
      <w:pPr>
        <w:pStyle w:val="FirstParagraph"/>
      </w:pPr>
      <w:r>
        <w:t xml:space="preserve">Use dados públicos, sintéticos ou autorizados.</w:t>
      </w:r>
    </w:p>
    <w:p>
      <w:pPr>
        <w:pStyle w:val="BodyText"/>
      </w:pPr>
      <w:r>
        <w:t xml:space="preserve">Ideias:</w:t>
      </w:r>
    </w:p>
    <w:p>
      <w:pPr>
        <w:numPr>
          <w:ilvl w:val="0"/>
          <w:numId w:val="1023"/>
        </w:numPr>
        <w:pStyle w:val="Compact"/>
      </w:pPr>
      <w:r>
        <w:t xml:space="preserve">dashboard de vendas sintéticas;</w:t>
      </w:r>
    </w:p>
    <w:p>
      <w:pPr>
        <w:numPr>
          <w:ilvl w:val="0"/>
          <w:numId w:val="1023"/>
        </w:numPr>
        <w:pStyle w:val="Compact"/>
      </w:pPr>
      <w:r>
        <w:t xml:space="preserve">dashboard de tickets fictícios;</w:t>
      </w:r>
    </w:p>
    <w:p>
      <w:pPr>
        <w:numPr>
          <w:ilvl w:val="0"/>
          <w:numId w:val="1023"/>
        </w:numPr>
        <w:pStyle w:val="Compact"/>
      </w:pPr>
      <w:r>
        <w:t xml:space="preserve">KPI de inventário;</w:t>
      </w:r>
    </w:p>
    <w:p>
      <w:pPr>
        <w:numPr>
          <w:ilvl w:val="0"/>
          <w:numId w:val="1023"/>
        </w:numPr>
        <w:pStyle w:val="Compact"/>
      </w:pPr>
      <w:r>
        <w:t xml:space="preserve">reconciliação financeira sintética;</w:t>
      </w:r>
    </w:p>
    <w:p>
      <w:pPr>
        <w:numPr>
          <w:ilvl w:val="0"/>
          <w:numId w:val="1023"/>
        </w:numPr>
        <w:pStyle w:val="Compact"/>
      </w:pPr>
      <w:r>
        <w:t xml:space="preserve">análise SQL com testes;</w:t>
      </w:r>
    </w:p>
    <w:p>
      <w:pPr>
        <w:numPr>
          <w:ilvl w:val="0"/>
          <w:numId w:val="1023"/>
        </w:numPr>
        <w:pStyle w:val="Compact"/>
      </w:pPr>
      <w:r>
        <w:t xml:space="preserve">star schema;</w:t>
      </w:r>
    </w:p>
    <w:p>
      <w:pPr>
        <w:numPr>
          <w:ilvl w:val="0"/>
          <w:numId w:val="1023"/>
        </w:numPr>
        <w:pStyle w:val="Compact"/>
      </w:pPr>
      <w:r>
        <w:t xml:space="preserve">dashboard Power BI/Tableau com checklist de acessibilidade;</w:t>
      </w:r>
    </w:p>
    <w:p>
      <w:pPr>
        <w:numPr>
          <w:ilvl w:val="0"/>
          <w:numId w:val="1023"/>
        </w:numPr>
        <w:pStyle w:val="Compact"/>
      </w:pPr>
      <w:r>
        <w:t xml:space="preserve">caso de join incorreto duplicando receita;</w:t>
      </w:r>
    </w:p>
    <w:p>
      <w:pPr>
        <w:numPr>
          <w:ilvl w:val="0"/>
          <w:numId w:val="1023"/>
        </w:numPr>
        <w:pStyle w:val="Compact"/>
      </w:pPr>
      <w:r>
        <w:t xml:space="preserve">relatório de qualidade de dados;</w:t>
      </w:r>
    </w:p>
    <w:p>
      <w:pPr>
        <w:numPr>
          <w:ilvl w:val="0"/>
          <w:numId w:val="1023"/>
        </w:numPr>
        <w:pStyle w:val="Compact"/>
      </w:pPr>
      <w:r>
        <w:t xml:space="preserve">dicionário de métricas e linhagem.</w:t>
      </w:r>
    </w:p>
    <w:p>
      <w:pPr>
        <w:pStyle w:val="FirstParagraph"/>
      </w:pPr>
      <w:r>
        <w:t xml:space="preserve">Nunca publique dados confidenciais ou screenshots de empregador/cliente sem autorização.</w:t>
      </w:r>
    </w:p>
    <w:bookmarkEnd w:id="47"/>
    <w:bookmarkStart w:id="48" w:name="caminho-nos-estados-unidos"/>
    <w:p>
      <w:pPr>
        <w:pStyle w:val="Heading2"/>
      </w:pPr>
      <w:r>
        <w:t xml:space="preserve">Caminho nos Estados Unidos</w:t>
      </w:r>
    </w:p>
    <w:p>
      <w:pPr>
        <w:pStyle w:val="FirstParagraph"/>
      </w:pPr>
      <w:r>
        <w:t xml:space="preserve">O*NET classifica 15-2051.01 em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</w:t>
      </w:r>
    </w:p>
    <w:p>
      <w:pPr>
        <w:pStyle w:val="BodyText"/>
      </w:pPr>
      <w:r>
        <w:t xml:space="preserve">Respostas atuais de educação para novas contratações: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68% bachelor's degree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23% master's degree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5% associate degree</w:t>
      </w:r>
      <w:r>
        <w:t xml:space="preserve">.</w:t>
      </w:r>
    </w:p>
    <w:p>
      <w:pPr>
        <w:pStyle w:val="FirstParagraph"/>
      </w:pPr>
      <w:r>
        <w:t xml:space="preserve">São padrões de preparação, não exigências legais universais.</w:t>
      </w:r>
    </w:p>
    <w:p>
      <w:pPr>
        <w:pStyle w:val="BodyText"/>
      </w:pPr>
      <w:r>
        <w:t xml:space="preserve">O*NET lista</w:t>
      </w:r>
      <w:r>
        <w:t xml:space="preserve"> </w:t>
      </w:r>
      <w:r>
        <w:rPr>
          <w:bCs/>
          <w:b/>
        </w:rPr>
        <w:t xml:space="preserve">Business Intelligence Engineer</w:t>
      </w:r>
      <w:r>
        <w:t xml:space="preserve"> </w:t>
      </w:r>
      <w:r>
        <w:t xml:space="preserve">como exemplo aprovado de Registered Apprenticeship. Isso não garante uma vaga local.</w:t>
      </w:r>
    </w:p>
    <w:p>
      <w:pPr>
        <w:pStyle w:val="BodyText"/>
      </w:pPr>
      <w:r>
        <w:t xml:space="preserve">CareerOneStop pode ajudar a localizar formação WIOA e outros programas. Elegibilidade e financiamento precisam ser confirmados.</w:t>
      </w:r>
    </w:p>
    <w:bookmarkEnd w:id="48"/>
    <w:bookmarkStart w:id="52" w:name="Xad99cb234d95621e657b81b3ef7356656a1f780"/>
    <w:p>
      <w:pPr>
        <w:pStyle w:val="Heading2"/>
      </w:pPr>
      <w:r>
        <w:t xml:space="preserve">Salários e perspectiva nos EUA — divulgação obrigatória do crosswalk</w:t>
      </w:r>
    </w:p>
    <w:p>
      <w:pPr>
        <w:pStyle w:val="FirstParagraph"/>
      </w:pPr>
      <w:r>
        <w:t xml:space="preserve">O*NET declara explicitamente que os dados de salário e emprego para</w:t>
      </w:r>
      <w:r>
        <w:t xml:space="preserve"> </w:t>
      </w:r>
      <w:r>
        <w:rPr>
          <w:bCs/>
          <w:b/>
        </w:rPr>
        <w:t xml:space="preserve">Business Intelligence Analysts</w:t>
      </w:r>
      <w:r>
        <w:t xml:space="preserve"> </w:t>
      </w:r>
      <w:r>
        <w:t xml:space="preserve">são coletados de</w:t>
      </w:r>
      <w:r>
        <w:t xml:space="preserve"> </w:t>
      </w:r>
      <w:r>
        <w:rPr>
          <w:bCs/>
          <w:b/>
        </w:rPr>
        <w:t xml:space="preserve">Data Scientists</w:t>
      </w:r>
      <w:r>
        <w:t xml:space="preserve">.</w:t>
      </w:r>
    </w:p>
    <w:p>
      <w:pPr>
        <w:pStyle w:val="BodyText"/>
      </w:pPr>
      <w:r>
        <w:t xml:space="preserve">As cifras abaixo são portanto referências oficiais BLS/O*NET da série mapeada,</w:t>
      </w:r>
      <w:r>
        <w:t xml:space="preserve"> </w:t>
      </w:r>
      <w:r>
        <w:rPr>
          <w:bCs/>
          <w:b/>
        </w:rPr>
        <w:t xml:space="preserve">não uma população amostrada exclusivamente de BI Analysts</w:t>
      </w:r>
      <w:r>
        <w:t xml:space="preserve">.</w:t>
      </w:r>
    </w:p>
    <w:bookmarkStart w:id="49" w:name="série-salarial-bls-2025-usada-pelo-onet"/>
    <w:p>
      <w:pPr>
        <w:pStyle w:val="Heading3"/>
      </w:pPr>
      <w:r>
        <w:t xml:space="preserve">Série salarial BLS 2025 usada pelo O*NET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$67,240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$85,660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$120,230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$57.80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$158,880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$199,130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$95.74</w:t>
            </w:r>
          </w:p>
        </w:tc>
      </w:tr>
    </w:tbl>
    <w:bookmarkEnd w:id="49"/>
    <w:bookmarkStart w:id="50" w:name="projeções-20242034-usadas-pelo-onet"/>
    <w:p>
      <w:pPr>
        <w:pStyle w:val="Heading3"/>
      </w:pPr>
      <w:r>
        <w:t xml:space="preserve">Projeções 2024–2034 usadas pelo O*NET</w:t>
      </w:r>
    </w:p>
    <w:p>
      <w:pPr>
        <w:numPr>
          <w:ilvl w:val="0"/>
          <w:numId w:val="1025"/>
        </w:numPr>
        <w:pStyle w:val="Compact"/>
      </w:pPr>
      <w:r>
        <w:t xml:space="preserve">emprego 2024:</w:t>
      </w:r>
      <w:r>
        <w:t xml:space="preserve"> </w:t>
      </w:r>
      <w:r>
        <w:rPr>
          <w:bCs/>
          <w:b/>
        </w:rPr>
        <w:t xml:space="preserve">245,900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emprego projetado 2034:</w:t>
      </w:r>
      <w:r>
        <w:t xml:space="preserve"> </w:t>
      </w:r>
      <w:r>
        <w:rPr>
          <w:bCs/>
          <w:b/>
        </w:rPr>
        <w:t xml:space="preserve">328,300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crescimento:</w:t>
      </w:r>
      <w:r>
        <w:t xml:space="preserve"> </w:t>
      </w:r>
      <w:r>
        <w:rPr>
          <w:bCs/>
          <w:b/>
        </w:rPr>
        <w:t xml:space="preserve">34%</w:t>
      </w:r>
      <w:r>
        <w:t xml:space="preserve">, muito mais rápido que a média;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23,400 aberturas projetadas por ano</w:t>
      </w:r>
      <w:r>
        <w:t xml:space="preserve">.</w:t>
      </w:r>
    </w:p>
    <w:p>
      <w:pPr>
        <w:pStyle w:val="FirstParagraph"/>
      </w:pPr>
      <w:r>
        <w:t xml:space="preserve">Não multiplique aberturas anuais em um total garantido e não presuma que cada vaga tenha o título Business Intelligence Analyst.</w:t>
      </w:r>
    </w:p>
    <w:bookmarkEnd w:id="50"/>
    <w:bookmarkStart w:id="51" w:name="Xc4af590bd01e21b18cdb1950afb502421a23126"/>
    <w:p>
      <w:pPr>
        <w:pStyle w:val="Heading3"/>
      </w:pPr>
      <w:r>
        <w:t xml:space="preserve">Contexto atual específico do título BI, não governamental</w:t>
      </w:r>
    </w:p>
    <w:p>
      <w:pPr>
        <w:pStyle w:val="FirstParagraph"/>
      </w:pPr>
      <w:r>
        <w:t xml:space="preserve">Indeed informou média base de</w:t>
      </w:r>
      <w:r>
        <w:t xml:space="preserve"> </w:t>
      </w:r>
      <w:r>
        <w:rPr>
          <w:bCs/>
          <w:b/>
        </w:rPr>
        <w:t xml:space="preserve">$94,707/ano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Business Intelligence Analyst</w:t>
      </w:r>
      <w:r>
        <w:t xml:space="preserve"> </w:t>
      </w:r>
      <w:r>
        <w:t xml:space="preserve">nos Estados Unidos, com faixa de</w:t>
      </w:r>
      <w:r>
        <w:t xml:space="preserve"> </w:t>
      </w:r>
      <w:r>
        <w:rPr>
          <w:bCs/>
          <w:b/>
        </w:rPr>
        <w:t xml:space="preserve">$61,569–$145,682/ano</w:t>
      </w:r>
      <w:r>
        <w:t xml:space="preserve">, baseada em aproximadamente</w:t>
      </w:r>
      <w:r>
        <w:t xml:space="preserve"> </w:t>
      </w:r>
      <w:r>
        <w:rPr>
          <w:bCs/>
          <w:b/>
        </w:rPr>
        <w:t xml:space="preserve">1.6k salários</w:t>
      </w:r>
      <w:r>
        <w:t xml:space="preserve"> </w:t>
      </w:r>
      <w:r>
        <w:t xml:space="preserve">de vagas nos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anteriores, atualizada em</w:t>
      </w:r>
      <w:r>
        <w:t xml:space="preserve"> </w:t>
      </w:r>
      <w:r>
        <w:rPr>
          <w:bCs/>
          <w:b/>
        </w:rPr>
        <w:t xml:space="preserve">3 de agosto de 2026</w:t>
      </w:r>
      <w:r>
        <w:t xml:space="preserve">.</w:t>
      </w:r>
    </w:p>
    <w:p>
      <w:pPr>
        <w:pStyle w:val="BodyText"/>
      </w:pPr>
      <w:r>
        <w:t xml:space="preserve">É uma estimativa BI-específica não governamental e não deve ser misturada com a série oficial de Data Scientists como se ambas medissem a mesma população.</w:t>
      </w:r>
    </w:p>
    <w:bookmarkEnd w:id="51"/>
    <w:bookmarkEnd w:id="52"/>
    <w:bookmarkStart w:id="53" w:name="caminho-no-canadá"/>
    <w:p>
      <w:pPr>
        <w:pStyle w:val="Heading2"/>
      </w:pPr>
      <w:r>
        <w:t xml:space="preserve">Caminho no Canadá</w:t>
      </w:r>
    </w:p>
    <w:p>
      <w:pPr>
        <w:pStyle w:val="FirstParagraph"/>
      </w:pPr>
      <w:r>
        <w:t xml:space="preserve">Canada Job Bank associa</w:t>
      </w:r>
      <w:r>
        <w:t xml:space="preserve"> </w:t>
      </w:r>
      <w:r>
        <w:rPr>
          <w:bCs/>
          <w:b/>
        </w:rPr>
        <w:t xml:space="preserve">Business Intelligence Analyst - Information Technology (IT)</w:t>
      </w:r>
      <w:r>
        <w:t xml:space="preserve"> </w:t>
      </w:r>
      <w:r>
        <w:t xml:space="preserve">ao</w:t>
      </w:r>
      <w:r>
        <w:t xml:space="preserve"> </w:t>
      </w:r>
      <w:r>
        <w:rPr>
          <w:bCs/>
          <w:b/>
        </w:rPr>
        <w:t xml:space="preserve">NOC 21221 — Business systems specialists</w:t>
      </w:r>
      <w:r>
        <w:t xml:space="preserve">.</w:t>
      </w:r>
    </w:p>
    <w:p>
      <w:pPr>
        <w:pStyle w:val="BodyText"/>
      </w:pPr>
      <w:r>
        <w:t xml:space="preserve">Requisitos atuais típicos:</w:t>
      </w:r>
    </w:p>
    <w:p>
      <w:pPr>
        <w:numPr>
          <w:ilvl w:val="0"/>
          <w:numId w:val="1026"/>
        </w:numPr>
        <w:pStyle w:val="Compact"/>
      </w:pPr>
      <w:r>
        <w:t xml:space="preserve">bachelor's em computer science, business administration, information systems ou disciplina relacionada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conclusão de college program em computer science geralmente exigido;</w:t>
      </w:r>
    </w:p>
    <w:p>
      <w:pPr>
        <w:numPr>
          <w:ilvl w:val="0"/>
          <w:numId w:val="1026"/>
        </w:numPr>
        <w:pStyle w:val="Compact"/>
      </w:pPr>
      <w:r>
        <w:t xml:space="preserve">treinamento/certificação de fornecedor pode ser exigido por alguns empregadores;</w:t>
      </w:r>
    </w:p>
    <w:p>
      <w:pPr>
        <w:numPr>
          <w:ilvl w:val="0"/>
          <w:numId w:val="1026"/>
        </w:numPr>
        <w:pStyle w:val="Compact"/>
      </w:pPr>
      <w:r>
        <w:t xml:space="preserve">segundo Job Bank, a ocupação</w:t>
      </w:r>
      <w:r>
        <w:t xml:space="preserve"> </w:t>
      </w:r>
      <w:r>
        <w:rPr>
          <w:bCs/>
          <w:b/>
        </w:rPr>
        <w:t xml:space="preserve">não é regulamentada no Canadá</w:t>
      </w:r>
      <w:r>
        <w:t xml:space="preserve">.</w:t>
      </w:r>
    </w:p>
    <w:p>
      <w:pPr>
        <w:pStyle w:val="FirstParagraph"/>
      </w:pPr>
      <w:r>
        <w:t xml:space="preserve">Salários nacionais, atualizados em 19 de novembro de 2025:</w:t>
      </w:r>
    </w:p>
    <w:p>
      <w:pPr>
        <w:numPr>
          <w:ilvl w:val="0"/>
          <w:numId w:val="1027"/>
        </w:numPr>
        <w:pStyle w:val="Compact"/>
      </w:pPr>
      <w:r>
        <w:t xml:space="preserve">baixo:</w:t>
      </w:r>
      <w:r>
        <w:t xml:space="preserve"> </w:t>
      </w:r>
      <w:r>
        <w:rPr>
          <w:bCs/>
          <w:b/>
        </w:rPr>
        <w:t xml:space="preserve">C$30.67/hora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mediana:</w:t>
      </w:r>
      <w:r>
        <w:t xml:space="preserve"> </w:t>
      </w:r>
      <w:r>
        <w:rPr>
          <w:bCs/>
          <w:b/>
        </w:rPr>
        <w:t xml:space="preserve">C$45.13/hora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C$62.50/hora</w:t>
      </w:r>
      <w:r>
        <w:t xml:space="preserve">.</w:t>
      </w:r>
    </w:p>
    <w:p>
      <w:pPr>
        <w:pStyle w:val="FirstParagraph"/>
      </w:pPr>
      <w:r>
        <w:t xml:space="preserve">O NOC é mais amplo que BI puro; trate-o como comparação. Perspectivas variam por província/território.</w:t>
      </w:r>
    </w:p>
    <w:bookmarkEnd w:id="53"/>
    <w:bookmarkStart w:id="58" w:name="caminho-na-colômbia"/>
    <w:p>
      <w:pPr>
        <w:pStyle w:val="Heading2"/>
      </w:pPr>
      <w:r>
        <w:t xml:space="preserve">Caminho na Colômbia</w:t>
      </w:r>
    </w:p>
    <w:bookmarkStart w:id="54" w:name="cuoc-25110--analistas-de-sistemas"/>
    <w:p>
      <w:pPr>
        <w:pStyle w:val="Heading3"/>
      </w:pPr>
      <w:r>
        <w:t xml:space="preserve">CUOC 25110 — Analistas de sistemas</w:t>
      </w:r>
    </w:p>
    <w:p>
      <w:pPr>
        <w:pStyle w:val="FirstParagraph"/>
      </w:pPr>
      <w:r>
        <w:t xml:space="preserve">OCUPACOL inclui explicitamente:</w:t>
      </w:r>
    </w:p>
    <w:p>
      <w:pPr>
        <w:numPr>
          <w:ilvl w:val="0"/>
          <w:numId w:val="1028"/>
        </w:numPr>
        <w:pStyle w:val="Compact"/>
      </w:pPr>
      <w:r>
        <w:t xml:space="preserve">Analista de analytics;</w:t>
      </w:r>
    </w:p>
    <w:p>
      <w:pPr>
        <w:numPr>
          <w:ilvl w:val="0"/>
          <w:numId w:val="1028"/>
        </w:numPr>
        <w:pStyle w:val="Compact"/>
      </w:pPr>
      <w:r>
        <w:t xml:space="preserve">Analista de inteligencia de negocio TI;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Analista de inteligencia de negocios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Analista de Power BI;</w:t>
      </w:r>
    </w:p>
    <w:p>
      <w:pPr>
        <w:numPr>
          <w:ilvl w:val="0"/>
          <w:numId w:val="1028"/>
        </w:numPr>
        <w:pStyle w:val="Compact"/>
      </w:pPr>
      <w:r>
        <w:t xml:space="preserve">Analista de información comercial;</w:t>
      </w:r>
    </w:p>
    <w:p>
      <w:pPr>
        <w:numPr>
          <w:ilvl w:val="0"/>
          <w:numId w:val="1028"/>
        </w:numPr>
        <w:pStyle w:val="Compact"/>
      </w:pPr>
      <w:r>
        <w:t xml:space="preserve">Analista de procesamiento de información;</w:t>
      </w:r>
    </w:p>
    <w:p>
      <w:pPr>
        <w:numPr>
          <w:ilvl w:val="0"/>
          <w:numId w:val="1028"/>
        </w:numPr>
        <w:pStyle w:val="Compact"/>
      </w:pPr>
      <w:r>
        <w:t xml:space="preserve">Analista informático para análisis de negocio;</w:t>
      </w:r>
    </w:p>
    <w:p>
      <w:pPr>
        <w:numPr>
          <w:ilvl w:val="0"/>
          <w:numId w:val="1028"/>
        </w:numPr>
        <w:pStyle w:val="Compact"/>
      </w:pPr>
      <w:r>
        <w:t xml:space="preserve">Especialista en inteligencia comercial.</w:t>
      </w:r>
    </w:p>
    <w:p>
      <w:pPr>
        <w:pStyle w:val="FirstParagraph"/>
      </w:pPr>
      <w:r>
        <w:t xml:space="preserve">As funções incluem análise de requisitos/processos, especificações funcionais, testes, integração de dados com visualização/análise, sistematização de dados massivos e gestão de representações de dados.</w:t>
      </w:r>
    </w:p>
    <w:p>
      <w:pPr>
        <w:pStyle w:val="BodyText"/>
      </w:pPr>
      <w:r>
        <w:t xml:space="preserve">OCUPACOL mostra faixa histórica/derivada de</w:t>
      </w:r>
      <w:r>
        <w:t xml:space="preserve"> </w:t>
      </w:r>
      <w:r>
        <w:rPr>
          <w:bCs/>
          <w:b/>
        </w:rPr>
        <w:t xml:space="preserve">COP 800,000–7,113,801</w:t>
      </w:r>
      <w:r>
        <w:t xml:space="preserve">, mas afirma que os dados</w:t>
      </w:r>
      <w:r>
        <w:t xml:space="preserve"> </w:t>
      </w:r>
      <w:r>
        <w:rPr>
          <w:bCs/>
          <w:b/>
        </w:rPr>
        <w:t xml:space="preserve">não possuem representatividade estatística</w:t>
      </w:r>
      <w:r>
        <w:t xml:space="preserve">. Este guia não usa essa faixa como salário nacional atual representativo de BI.</w:t>
      </w:r>
    </w:p>
    <w:bookmarkEnd w:id="54"/>
    <w:bookmarkStart w:id="55" w:name="X1633b76ee02a42d43fca140a945ba8e05da4f90"/>
    <w:p>
      <w:pPr>
        <w:pStyle w:val="Heading3"/>
      </w:pPr>
      <w:r>
        <w:t xml:space="preserve">SENA — Programación para analítica de datos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Técnico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2,208 horas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t xml:space="preserve">formação titulada;</w:t>
      </w:r>
    </w:p>
    <w:p>
      <w:pPr>
        <w:numPr>
          <w:ilvl w:val="0"/>
          <w:numId w:val="1029"/>
        </w:numPr>
        <w:pStyle w:val="Compact"/>
      </w:pPr>
      <w:r>
        <w:t xml:space="preserve">processamento de dados, metodologia estatística e integração/visualização.</w:t>
      </w:r>
    </w:p>
    <w:p>
      <w:pPr>
        <w:pStyle w:val="FirstParagraph"/>
      </w:pPr>
      <w:r>
        <w:t xml:space="preserve">A disponibilidade de turmas varia.</w:t>
      </w:r>
    </w:p>
    <w:bookmarkEnd w:id="55"/>
    <w:bookmarkStart w:id="56" w:name="X4d772c589ca0d518f58db6305103450bd1e4bd8"/>
    <w:p>
      <w:pPr>
        <w:pStyle w:val="Heading3"/>
      </w:pPr>
      <w:r>
        <w:t xml:space="preserve">SENA — Visualización de datos usando Power BI</w:t>
      </w:r>
    </w:p>
    <w:p>
      <w:pPr>
        <w:numPr>
          <w:ilvl w:val="0"/>
          <w:numId w:val="1030"/>
        </w:numPr>
        <w:pStyle w:val="Compact"/>
      </w:pPr>
      <w:r>
        <w:t xml:space="preserve">complementaria/curso especial;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30"/>
        </w:numPr>
        <w:pStyle w:val="Compact"/>
      </w:pPr>
      <w:r>
        <w:t xml:space="preserve">turmas 2026 em algumas localidades/modalidades;</w:t>
      </w:r>
    </w:p>
    <w:p>
      <w:pPr>
        <w:numPr>
          <w:ilvl w:val="0"/>
          <w:numId w:val="1030"/>
        </w:numPr>
        <w:pStyle w:val="Compact"/>
      </w:pPr>
      <w:r>
        <w:t xml:space="preserve">conhecimentos básicos de informática, banco de dados e estatística recomendados.</w:t>
      </w:r>
    </w:p>
    <w:p>
      <w:pPr>
        <w:pStyle w:val="FirstParagraph"/>
      </w:pPr>
      <w:r>
        <w:t xml:space="preserve">É treinamento pontual, não qualificação BI completa.</w:t>
      </w:r>
    </w:p>
    <w:bookmarkEnd w:id="56"/>
    <w:bookmarkStart w:id="57" w:name="Xb9547773fdd86edfa36d43a06745efff8a17f58"/>
    <w:p>
      <w:pPr>
        <w:pStyle w:val="Heading3"/>
      </w:pPr>
      <w:r>
        <w:t xml:space="preserve">SENA — Analítica de datos para procesos logísticos</w:t>
      </w:r>
    </w:p>
    <w:p>
      <w:pPr>
        <w:numPr>
          <w:ilvl w:val="0"/>
          <w:numId w:val="1031"/>
        </w:numPr>
        <w:pStyle w:val="Compact"/>
      </w:pPr>
      <w:r>
        <w:t xml:space="preserve">complementaria virtual;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t xml:space="preserve">armazenamento/tratamento, consulta, homogeneização e apresentação analítica.</w:t>
      </w:r>
    </w:p>
    <w:p>
      <w:pPr>
        <w:pStyle w:val="FirstParagraph"/>
      </w:pPr>
      <w:r>
        <w:t xml:space="preserve">É complemento de domínio, não credencial universal.</w:t>
      </w:r>
    </w:p>
    <w:bookmarkEnd w:id="57"/>
    <w:bookmarkEnd w:id="58"/>
    <w:bookmarkStart w:id="59" w:name="américa-latina"/>
    <w:p>
      <w:pPr>
        <w:pStyle w:val="Heading2"/>
      </w:pPr>
      <w:r>
        <w:t xml:space="preserve">América Latina</w:t>
      </w:r>
    </w:p>
    <w:p>
      <w:pPr>
        <w:pStyle w:val="FirstParagraph"/>
      </w:pPr>
      <w:r>
        <w:t xml:space="preserve">OIT/Cinterfor pode ajudar a localizar instituições de formação por país. Verifique programa, custo, modalidade, admissão e reconhecimento diretamente.</w:t>
      </w:r>
    </w:p>
    <w:bookmarkEnd w:id="59"/>
    <w:bookmarkStart w:id="60" w:name="currículo-e-entrevista"/>
    <w:p>
      <w:pPr>
        <w:pStyle w:val="Heading2"/>
      </w:pPr>
      <w:r>
        <w:t xml:space="preserve">Currículo e entrevista</w:t>
      </w:r>
    </w:p>
    <w:p>
      <w:pPr>
        <w:pStyle w:val="FirstParagraph"/>
      </w:pPr>
      <w:r>
        <w:t xml:space="preserve">Bullets fortes mostram evidência: reconciliação de métricas, automação validada, definição de KPI, descoberta de join defeituoso, controle de acesso e qualidade de dados. Não invente impacto, certificações ou experiência.</w:t>
      </w:r>
    </w:p>
    <w:p>
      <w:pPr>
        <w:pStyle w:val="BodyText"/>
      </w:pPr>
      <w:r>
        <w:t xml:space="preserve">Em entrevistas, esteja pronto para explicar requisitos, validação SQL, joins muitos-a-muitos, fact/dimension, reconciliação, conflito de KPI, seleção de gráficos, privacidade e validação de IA.</w:t>
      </w:r>
    </w:p>
    <w:bookmarkEnd w:id="60"/>
    <w:bookmarkStart w:id="61" w:name="perguntas-ao-empregador"/>
    <w:p>
      <w:pPr>
        <w:pStyle w:val="Heading2"/>
      </w:pPr>
      <w:r>
        <w:t xml:space="preserve">Perguntas ao empregador</w:t>
      </w:r>
    </w:p>
    <w:p>
      <w:pPr>
        <w:pStyle w:val="FirstParagraph"/>
      </w:pPr>
      <w:r>
        <w:t xml:space="preserve">Pergunte sobre fontes autorizadas, ferramentas BI, warehouse/lakehouse, governança de métricas, qualidade, implantação, acesso, divisão analista/engenharia, SQL, estatística, política de IA, documentação, formação e acessibilidade.</w:t>
      </w:r>
    </w:p>
    <w:bookmarkEnd w:id="61"/>
    <w:bookmarkStart w:id="62" w:name="primeiros-30-e-90-dias"/>
    <w:p>
      <w:pPr>
        <w:pStyle w:val="Heading2"/>
      </w:pPr>
      <w:r>
        <w:t xml:space="preserve">Primeiros 30 e 90 dias</w:t>
      </w:r>
    </w:p>
    <w:p>
      <w:pPr>
        <w:pStyle w:val="FirstParagraph"/>
      </w:pPr>
      <w:r>
        <w:t xml:space="preserve">Nos primeiros 30 dias: aprenda negócio, fontes, métricas, refresh, acesso, dashboards, processo de publicação e stakeholders. Não altere KPI de produção sem aprovação.</w:t>
      </w:r>
    </w:p>
    <w:p>
      <w:pPr>
        <w:pStyle w:val="BodyText"/>
      </w:pPr>
      <w:r>
        <w:t xml:space="preserve">Em 90 dias: busque esclarecer requisitos, escrever/validar SQL, explicar linhagem, manter métricas, reconciliar dashboards, detectar qualidade, comunicar limitações, criar visualizações acessíveis e usar IA sob controle.</w:t>
      </w:r>
    </w:p>
    <w:bookmarkEnd w:id="62"/>
    <w:bookmarkStart w:id="63" w:name="checklist-antes-de-se-candidatar"/>
    <w:p>
      <w:pPr>
        <w:pStyle w:val="Heading2"/>
      </w:pPr>
      <w:r>
        <w:t xml:space="preserve">Checklist antes de se candidatar</w:t>
      </w:r>
    </w:p>
    <w:p>
      <w:pPr>
        <w:pStyle w:val="FirstParagraph"/>
      </w:pPr>
      <w:r>
        <w:t xml:space="preserve">Confirme domínio de:</w:t>
      </w:r>
    </w:p>
    <w:p>
      <w:pPr>
        <w:numPr>
          <w:ilvl w:val="0"/>
          <w:numId w:val="1032"/>
        </w:numPr>
        <w:pStyle w:val="Compact"/>
      </w:pPr>
      <w:r>
        <w:t xml:space="preserve">pergunta de negócio/KPI;</w:t>
      </w:r>
    </w:p>
    <w:p>
      <w:pPr>
        <w:numPr>
          <w:ilvl w:val="0"/>
          <w:numId w:val="1032"/>
        </w:numPr>
        <w:pStyle w:val="Compact"/>
      </w:pPr>
      <w:r>
        <w:t xml:space="preserve">joins e agregação SQL;</w:t>
      </w:r>
    </w:p>
    <w:p>
      <w:pPr>
        <w:numPr>
          <w:ilvl w:val="0"/>
          <w:numId w:val="1032"/>
        </w:numPr>
        <w:pStyle w:val="Compact"/>
      </w:pPr>
      <w:r>
        <w:t xml:space="preserve">granularidade;</w:t>
      </w:r>
    </w:p>
    <w:p>
      <w:pPr>
        <w:numPr>
          <w:ilvl w:val="0"/>
          <w:numId w:val="1032"/>
        </w:numPr>
        <w:pStyle w:val="Compact"/>
      </w:pPr>
      <w:r>
        <w:t xml:space="preserve">transformação;</w:t>
      </w:r>
    </w:p>
    <w:p>
      <w:pPr>
        <w:numPr>
          <w:ilvl w:val="0"/>
          <w:numId w:val="1032"/>
        </w:numPr>
        <w:pStyle w:val="Compact"/>
      </w:pPr>
      <w:r>
        <w:t xml:space="preserve">esquema estrela;</w:t>
      </w:r>
    </w:p>
    <w:p>
      <w:pPr>
        <w:numPr>
          <w:ilvl w:val="0"/>
          <w:numId w:val="1032"/>
        </w:numPr>
        <w:pStyle w:val="Compact"/>
      </w:pPr>
      <w:r>
        <w:t xml:space="preserve">reconciliação;</w:t>
      </w:r>
    </w:p>
    <w:p>
      <w:pPr>
        <w:numPr>
          <w:ilvl w:val="0"/>
          <w:numId w:val="1032"/>
        </w:numPr>
        <w:pStyle w:val="Compact"/>
      </w:pPr>
      <w:r>
        <w:t xml:space="preserve">dashboards;</w:t>
      </w:r>
    </w:p>
    <w:p>
      <w:pPr>
        <w:numPr>
          <w:ilvl w:val="0"/>
          <w:numId w:val="1032"/>
        </w:numPr>
        <w:pStyle w:val="Compact"/>
      </w:pPr>
      <w:r>
        <w:t xml:space="preserve">estatística descritiva;</w:t>
      </w:r>
    </w:p>
    <w:p>
      <w:pPr>
        <w:numPr>
          <w:ilvl w:val="0"/>
          <w:numId w:val="1032"/>
        </w:numPr>
        <w:pStyle w:val="Compact"/>
      </w:pPr>
      <w:r>
        <w:t xml:space="preserve">visualização não enganosa;</w:t>
      </w:r>
    </w:p>
    <w:p>
      <w:pPr>
        <w:numPr>
          <w:ilvl w:val="0"/>
          <w:numId w:val="1032"/>
        </w:numPr>
        <w:pStyle w:val="Compact"/>
      </w:pPr>
      <w:r>
        <w:t xml:space="preserve">privacidade/acesso;</w:t>
      </w:r>
    </w:p>
    <w:p>
      <w:pPr>
        <w:numPr>
          <w:ilvl w:val="0"/>
          <w:numId w:val="1032"/>
        </w:numPr>
        <w:pStyle w:val="Compact"/>
      </w:pPr>
      <w:r>
        <w:t xml:space="preserve">IA responsável;</w:t>
      </w:r>
    </w:p>
    <w:p>
      <w:pPr>
        <w:numPr>
          <w:ilvl w:val="0"/>
          <w:numId w:val="1032"/>
        </w:numPr>
        <w:pStyle w:val="Compact"/>
      </w:pPr>
      <w:r>
        <w:t xml:space="preserve">portfólio documentado.</w:t>
      </w:r>
    </w:p>
    <w:bookmarkEnd w:id="63"/>
    <w:bookmarkStart w:id="64" w:name="perguntas-antes-de-comprar-treinamento"/>
    <w:p>
      <w:pPr>
        <w:pStyle w:val="Heading2"/>
      </w:pPr>
      <w:r>
        <w:t xml:space="preserve">Perguntas antes de comprar treinamento</w:t>
      </w:r>
    </w:p>
    <w:p>
      <w:pPr>
        <w:pStyle w:val="FirstParagraph"/>
      </w:pPr>
      <w:r>
        <w:t xml:space="preserve">Verifique SQL prático, modelagem, qualidade/reconciliação, plataformas, capstone/portfólio, instrutores, custo total, financiamento, acessibilidade e reconhecimento pelos empregadores. Não dependa de garantias de emprego ou renda.</w:t>
      </w:r>
    </w:p>
    <w:bookmarkEnd w:id="64"/>
    <w:bookmarkStart w:id="90" w:name="fontes-controladas"/>
    <w:p>
      <w:pPr>
        <w:pStyle w:val="Heading2"/>
      </w:pPr>
      <w:r>
        <w:t xml:space="preserve">Fontes controladas</w:t>
      </w:r>
    </w:p>
    <w:p>
      <w:pPr>
        <w:numPr>
          <w:ilvl w:val="0"/>
          <w:numId w:val="1033"/>
        </w:numPr>
        <w:pStyle w:val="Compact"/>
      </w:pPr>
      <w:hyperlink r:id="rId65">
        <w:hyperlink r:id="rId6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66">
        <w:hyperlink r:id="rId6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67">
        <w:hyperlink r:id="rId6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68">
        <w:hyperlink r:id="rId6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69">
        <w:hyperlink r:id="rId6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82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33"/>
        </w:numPr>
        <w:pStyle w:val="Compact"/>
      </w:pPr>
      <w:hyperlink r:id="rId83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33"/>
        </w:numPr>
        <w:pStyle w:val="Compact"/>
      </w:pPr>
      <w:hyperlink r:id="rId84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33"/>
        </w:numPr>
        <w:pStyle w:val="Compact"/>
      </w:pPr>
      <w:hyperlink r:id="rId85">
        <w:r>
          <w:rPr>
            <w:rStyle w:val="Hyperlink"/>
          </w:rPr>
          <w:t xml:space="preserve">https://www.nist.gov/privacy-framework</w:t>
        </w:r>
      </w:hyperlink>
    </w:p>
    <w:p>
      <w:pPr>
        <w:numPr>
          <w:ilvl w:val="0"/>
          <w:numId w:val="1033"/>
        </w:numPr>
        <w:pStyle w:val="Compact"/>
      </w:pP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3"/>
        </w:numPr>
        <w:pStyle w:val="Compact"/>
      </w:pPr>
      <w:hyperlink r:id="rId88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33"/>
        </w:numPr>
        <w:pStyle w:val="Compact"/>
      </w:pPr>
      <w:hyperlink r:id="rId89">
        <w:r>
          <w:rPr>
            <w:rStyle w:val="Hyperlink"/>
          </w:rPr>
          <w:t xml:space="preserve">https://www.w3.org/TR/WCAG22/</w:t>
        </w:r>
      </w:hyperlink>
    </w:p>
    <w:bookmarkEnd w:id="90"/>
    <w:bookmarkStart w:id="91" w:name="aviso-de-escopo-e-ausência-de-garantia"/>
    <w:p>
      <w:pPr>
        <w:pStyle w:val="Heading2"/>
      </w:pPr>
      <w:r>
        <w:t xml:space="preserve">Aviso de escopo e ausência de garantia</w:t>
      </w:r>
    </w:p>
    <w:p>
      <w:pPr>
        <w:pStyle w:val="FirstParagraph"/>
      </w:pPr>
      <w:r>
        <w:t xml:space="preserve">Este guia oferece informações educacionais e de planejamento de carreira. Não garante emprego, renda, admissão, financiamento, certificação, licença, promoção ou outro resultado. Requisitos, remuneração e oportunidades variam por jurisdição, empregador e tempo.</w:t>
      </w:r>
    </w:p>
    <w:p>
      <w:pPr>
        <w:pStyle w:val="BodyText"/>
      </w:pPr>
      <w:r>
        <w:t xml:space="preserve">Não fornece certificação jurídica, contábil, de privacidade, cibersegurança, regulatória ou de acessibilidade. Siga a legislação aplicável, políticas do empregador, governança aprovada de dados/métricas e autoridade atribuída.</w:t>
      </w:r>
    </w:p>
    <w:p>
      <w:pPr>
        <w:pStyle w:val="BodyText"/>
      </w:pPr>
      <w:r>
        <w:t xml:space="preserve">Criado e dirigido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O ChatGPT apoiou pesquisa, organização, edição, suporte à tradução e preparação de documentos sob a direção do autor. O autor permanece responsável pelas decisões editoriais e de publicação.</w:t>
      </w:r>
    </w:p>
    <w:p>
      <w:pPr>
        <w:pStyle w:val="BodyText"/>
      </w:pPr>
      <w:r>
        <w:t xml:space="preserve">Salvo indicação diferente em algum arquivo, estes materiais estão licenciados sob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betowa.sena.edu.co/oferta/analitica-de-datos-para-procesos-logisticos?modality=V&amp;offertype=company" TargetMode="External" /><Relationship Type="http://schemas.openxmlformats.org/officeDocument/2006/relationships/hyperlink" Id="rId79" Target="https://betowa.sena.edu.co/oferta/programacion-para-analitica-de-datos?location=57054001&amp;modality=P&amp;programId=133094" TargetMode="External" /><Relationship Type="http://schemas.openxmlformats.org/officeDocument/2006/relationships/hyperlink" Id="rId80" Target="https://betowa.sena.edu.co/oferta/visualizacion-de-datos-usando-power-bi?modality=V&amp;offertype=company&amp;programId=160058" TargetMode="External" /><Relationship Type="http://schemas.openxmlformats.org/officeDocument/2006/relationships/hyperlink" Id="rId78" Target="https://ocupacol.mintrabajo.gov.co/Profile/OccupationalProfile/25110" TargetMode="External" /><Relationship Type="http://schemas.openxmlformats.org/officeDocument/2006/relationships/hyperlink" Id="rId77" Target="https://www.canada.ca/en/services/jobs/training.html" TargetMode="External" /><Relationship Type="http://schemas.openxmlformats.org/officeDocument/2006/relationships/hyperlink" Id="rId72" Target="https://www.careeronestop.org/FindTraining/find-training.aspx" TargetMode="External" /><Relationship Type="http://schemas.openxmlformats.org/officeDocument/2006/relationships/hyperlink" Id="rId71" Target="https://www.careeronestop.org/LocalHelp/EmploymentAndTraining/find-WIOA-training-programs.aspx" TargetMode="External" /><Relationship Type="http://schemas.openxmlformats.org/officeDocument/2006/relationships/hyperlink" Id="rId83" Target="https://www.cisa.gov/secure-our-world" TargetMode="External" /><Relationship Type="http://schemas.openxmlformats.org/officeDocument/2006/relationships/hyperlink" Id="rId73" Target="https://www.indeed.com/career/business-intelligence-analyst/salaries" TargetMode="External" /><Relationship Type="http://schemas.openxmlformats.org/officeDocument/2006/relationships/hyperlink" Id="rId75" Target="https://www.jobbank.gc.ca/marketreport/requirements/296881/ca" TargetMode="External" /><Relationship Type="http://schemas.openxmlformats.org/officeDocument/2006/relationships/hyperlink" Id="rId74" Target="https://www.jobbank.gc.ca/marketreport/summary-occupation/296881/ca" TargetMode="External" /><Relationship Type="http://schemas.openxmlformats.org/officeDocument/2006/relationships/hyperlink" Id="rId76" Target="https://www.jobbank.gc.ca/marketreport/wages-occupation/296881/ca" TargetMode="External" /><Relationship Type="http://schemas.openxmlformats.org/officeDocument/2006/relationships/hyperlink" Id="rId84" Target="https://www.nist.gov/cyberframework" TargetMode="External" /><Relationship Type="http://schemas.openxmlformats.org/officeDocument/2006/relationships/hyperlink" Id="rId86" Target="https://www.nist.gov/itl/ai-risk-management-framework" TargetMode="External" /><Relationship Type="http://schemas.openxmlformats.org/officeDocument/2006/relationships/hyperlink" Id="rId85" Target="https://www.nist.gov/privacy-framework" TargetMode="External" /><Relationship Type="http://schemas.openxmlformats.org/officeDocument/2006/relationships/hyperlink" Id="rId87" Target="https://www.nist.gov/publications/artificial-intelligence-risk-management-framework-generative-artificial-intelligence" TargetMode="External" /><Relationship Type="http://schemas.openxmlformats.org/officeDocument/2006/relationships/hyperlink" Id="rId82" Target="https://www.oitcinterfor.org/statsfp/paises" TargetMode="External" /><Relationship Type="http://schemas.openxmlformats.org/officeDocument/2006/relationships/hyperlink" Id="rId70" Target="https://www.onetonline.org/link/demand/15-2051.01" TargetMode="External" /><Relationship Type="http://schemas.openxmlformats.org/officeDocument/2006/relationships/hyperlink" Id="rId65" Target="https://www.onetonline.org/link/details/15-2051.01" TargetMode="External" /><Relationship Type="http://schemas.openxmlformats.org/officeDocument/2006/relationships/hyperlink" Id="rId69" Target="https://www.onetonline.org/link/hot_tech/15-2051.01" TargetMode="External" /><Relationship Type="http://schemas.openxmlformats.org/officeDocument/2006/relationships/hyperlink" Id="rId68" Target="https://www.onetonline.org/link/localtrends/15-2051.01" TargetMode="External" /><Relationship Type="http://schemas.openxmlformats.org/officeDocument/2006/relationships/hyperlink" Id="rId67" Target="https://www.onetonline.org/link/localwages/15-2051.01" TargetMode="External" /><Relationship Type="http://schemas.openxmlformats.org/officeDocument/2006/relationships/hyperlink" Id="rId66" Target="https://www.onetonline.org/link/summary/15-2051.01" TargetMode="External" /><Relationship Type="http://schemas.openxmlformats.org/officeDocument/2006/relationships/hyperlink" Id="rId88" Target="https://www.section508.gov/create/" TargetMode="External" /><Relationship Type="http://schemas.openxmlformats.org/officeDocument/2006/relationships/hyperlink" Id="rId89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betowa.sena.edu.co/oferta/analitica-de-datos-para-procesos-logisticos?modality=V&amp;offertype=company" TargetMode="External" /><Relationship Type="http://schemas.openxmlformats.org/officeDocument/2006/relationships/hyperlink" Id="rId79" Target="https://betowa.sena.edu.co/oferta/programacion-para-analitica-de-datos?location=57054001&amp;modality=P&amp;programId=133094" TargetMode="External" /><Relationship Type="http://schemas.openxmlformats.org/officeDocument/2006/relationships/hyperlink" Id="rId80" Target="https://betowa.sena.edu.co/oferta/visualizacion-de-datos-usando-power-bi?modality=V&amp;offertype=company&amp;programId=160058" TargetMode="External" /><Relationship Type="http://schemas.openxmlformats.org/officeDocument/2006/relationships/hyperlink" Id="rId78" Target="https://ocupacol.mintrabajo.gov.co/Profile/OccupationalProfile/25110" TargetMode="External" /><Relationship Type="http://schemas.openxmlformats.org/officeDocument/2006/relationships/hyperlink" Id="rId77" Target="https://www.canada.ca/en/services/jobs/training.html" TargetMode="External" /><Relationship Type="http://schemas.openxmlformats.org/officeDocument/2006/relationships/hyperlink" Id="rId72" Target="https://www.careeronestop.org/FindTraining/find-training.aspx" TargetMode="External" /><Relationship Type="http://schemas.openxmlformats.org/officeDocument/2006/relationships/hyperlink" Id="rId71" Target="https://www.careeronestop.org/LocalHelp/EmploymentAndTraining/find-WIOA-training-programs.aspx" TargetMode="External" /><Relationship Type="http://schemas.openxmlformats.org/officeDocument/2006/relationships/hyperlink" Id="rId83" Target="https://www.cisa.gov/secure-our-world" TargetMode="External" /><Relationship Type="http://schemas.openxmlformats.org/officeDocument/2006/relationships/hyperlink" Id="rId73" Target="https://www.indeed.com/career/business-intelligence-analyst/salaries" TargetMode="External" /><Relationship Type="http://schemas.openxmlformats.org/officeDocument/2006/relationships/hyperlink" Id="rId75" Target="https://www.jobbank.gc.ca/marketreport/requirements/296881/ca" TargetMode="External" /><Relationship Type="http://schemas.openxmlformats.org/officeDocument/2006/relationships/hyperlink" Id="rId74" Target="https://www.jobbank.gc.ca/marketreport/summary-occupation/296881/ca" TargetMode="External" /><Relationship Type="http://schemas.openxmlformats.org/officeDocument/2006/relationships/hyperlink" Id="rId76" Target="https://www.jobbank.gc.ca/marketreport/wages-occupation/296881/ca" TargetMode="External" /><Relationship Type="http://schemas.openxmlformats.org/officeDocument/2006/relationships/hyperlink" Id="rId84" Target="https://www.nist.gov/cyberframework" TargetMode="External" /><Relationship Type="http://schemas.openxmlformats.org/officeDocument/2006/relationships/hyperlink" Id="rId86" Target="https://www.nist.gov/itl/ai-risk-management-framework" TargetMode="External" /><Relationship Type="http://schemas.openxmlformats.org/officeDocument/2006/relationships/hyperlink" Id="rId85" Target="https://www.nist.gov/privacy-framework" TargetMode="External" /><Relationship Type="http://schemas.openxmlformats.org/officeDocument/2006/relationships/hyperlink" Id="rId87" Target="https://www.nist.gov/publications/artificial-intelligence-risk-management-framework-generative-artificial-intelligence" TargetMode="External" /><Relationship Type="http://schemas.openxmlformats.org/officeDocument/2006/relationships/hyperlink" Id="rId82" Target="https://www.oitcinterfor.org/statsfp/paises" TargetMode="External" /><Relationship Type="http://schemas.openxmlformats.org/officeDocument/2006/relationships/hyperlink" Id="rId70" Target="https://www.onetonline.org/link/demand/15-2051.01" TargetMode="External" /><Relationship Type="http://schemas.openxmlformats.org/officeDocument/2006/relationships/hyperlink" Id="rId65" Target="https://www.onetonline.org/link/details/15-2051.01" TargetMode="External" /><Relationship Type="http://schemas.openxmlformats.org/officeDocument/2006/relationships/hyperlink" Id="rId69" Target="https://www.onetonline.org/link/hot_tech/15-2051.01" TargetMode="External" /><Relationship Type="http://schemas.openxmlformats.org/officeDocument/2006/relationships/hyperlink" Id="rId68" Target="https://www.onetonline.org/link/localtrends/15-2051.01" TargetMode="External" /><Relationship Type="http://schemas.openxmlformats.org/officeDocument/2006/relationships/hyperlink" Id="rId67" Target="https://www.onetonline.org/link/localwages/15-2051.01" TargetMode="External" /><Relationship Type="http://schemas.openxmlformats.org/officeDocument/2006/relationships/hyperlink" Id="rId66" Target="https://www.onetonline.org/link/summary/15-2051.01" TargetMode="External" /><Relationship Type="http://schemas.openxmlformats.org/officeDocument/2006/relationships/hyperlink" Id="rId88" Target="https://www.section508.gov/create/" TargetMode="External" /><Relationship Type="http://schemas.openxmlformats.org/officeDocument/2006/relationships/hyperlink" Id="rId89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2026-08-22T04:18:49Z</dcterms:created>
  <dcterms:modified xsi:type="dcterms:W3CDTF">2026-08-22T04:18:49Z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