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2" w:name="X47dddaa89d5c364e1cece77209b03772b21ac27"/>
    <w:p>
      <w:pPr>
        <w:pStyle w:val="Heading1"/>
      </w:pPr>
      <w:r>
        <w:t xml:space="preserve">Guía de Oportunidades para Toda la Vida 84 — Analista de inteligencia de negocios</w:t>
      </w:r>
    </w:p>
    <w:p>
      <w:pPr>
        <w:pStyle w:val="FirstParagraph"/>
      </w:pPr>
      <w:r>
        <w:rPr>
          <w:bCs/>
          <w:b/>
        </w:rPr>
        <w:t xml:space="preserve">Versión:</w:t>
      </w:r>
      <w:r>
        <w:t xml:space="preserve"> </w:t>
      </w:r>
      <w:r>
        <w:t xml:space="preserve">2.0 — maestro de trabajo controlado</w:t>
      </w:r>
      <w:r>
        <w:br/>
      </w:r>
      <w:r>
        <w:rPr>
          <w:bCs/>
          <w:b/>
        </w:rPr>
        <w:t xml:space="preserve">Idioma:</w:t>
      </w:r>
      <w:r>
        <w:t xml:space="preserve"> </w:t>
      </w:r>
      <w:r>
        <w:t xml:space="preserve">español neutro de América Latina (</w:t>
      </w:r>
      <w:r>
        <w:rPr>
          <w:rStyle w:val="VerbatimChar"/>
        </w:rPr>
        <w:t xml:space="preserve">es-419</w:t>
      </w:r>
      <w:r>
        <w:t xml:space="preserve">)</w:t>
      </w:r>
      <w:r>
        <w:br/>
      </w:r>
      <w:r>
        <w:rPr>
          <w:bCs/>
          <w:b/>
        </w:rPr>
        <w:t xml:space="preserve">Referencia principal de EE. UU.:</w:t>
      </w:r>
      <w:r>
        <w:t xml:space="preserve"> </w:t>
      </w:r>
      <w:r>
        <w:t xml:space="preserve">O*NET-SOC 15-2051.01 — Business Intelligence Analysts</w:t>
      </w:r>
      <w:r>
        <w:br/>
      </w:r>
      <w:r>
        <w:rPr>
          <w:bCs/>
          <w:b/>
        </w:rPr>
        <w:t xml:space="preserve">Comparación con Canadá:</w:t>
      </w:r>
      <w:r>
        <w:t xml:space="preserve"> </w:t>
      </w:r>
      <w:r>
        <w:t xml:space="preserve">NOC 21221 — Business systems specialists</w:t>
      </w:r>
      <w:r>
        <w:br/>
      </w:r>
      <w:r>
        <w:rPr>
          <w:bCs/>
          <w:b/>
        </w:rPr>
        <w:t xml:space="preserve">Comparación con Colombia:</w:t>
      </w:r>
      <w:r>
        <w:t xml:space="preserve"> </w:t>
      </w:r>
      <w:r>
        <w:t xml:space="preserve">CUOC 25110 — Analistas de sistemas</w:t>
      </w:r>
      <w:r>
        <w:br/>
      </w:r>
      <w:r>
        <w:rPr>
          <w:bCs/>
          <w:b/>
        </w:rPr>
        <w:t xml:space="preserve">Fecha de revisión:</w:t>
      </w:r>
      <w:r>
        <w:t xml:space="preserve"> </w:t>
      </w:r>
      <w:r>
        <w:t xml:space="preserve">2026-08-21</w:t>
      </w:r>
    </w:p>
    <w:bookmarkStart w:id="20" w:name="qué-es-esta-carrera"/>
    <w:p>
      <w:pPr>
        <w:pStyle w:val="Heading2"/>
      </w:pPr>
      <w:r>
        <w:t xml:space="preserve">Qué es esta carrera</w:t>
      </w:r>
    </w:p>
    <w:p>
      <w:pPr>
        <w:pStyle w:val="FirstParagraph"/>
      </w:pPr>
      <w:r>
        <w:t xml:space="preserve">Un analista de inteligencia de negocios (BI) convierte preguntas del negocio en métricas, informes, tableros e información confiable para apoyar decisiones. El trabajo normalmente exige comprender qué decisión intenta tomar una persona o equipo, encontrar los datos pertinentes, validar definiciones, consultar y transformar información, crear resultados comprensibles, comprobar que los resultados concilien con fuentes autorizadas y explicar qué muestran —y qué no muestran— los datos.</w:t>
      </w:r>
    </w:p>
    <w:p>
      <w:pPr>
        <w:pStyle w:val="BodyText"/>
      </w:pPr>
      <w:r>
        <w:t xml:space="preserve">Esta guía utiliza</w:t>
      </w:r>
      <w:r>
        <w:t xml:space="preserve"> </w:t>
      </w:r>
      <w:r>
        <w:rPr>
          <w:bCs/>
          <w:b/>
        </w:rPr>
        <w:t xml:space="preserve">O*NET-SOC 15-2051.01 — Business Intelligence Analysts</w:t>
      </w:r>
      <w:r>
        <w:t xml:space="preserve"> </w:t>
      </w:r>
      <w:r>
        <w:t xml:space="preserve">como referencia principal de Estados Unidos. Canada Job Bank asigna el título orientado a TI</w:t>
      </w:r>
      <w:r>
        <w:t xml:space="preserve"> </w:t>
      </w:r>
      <w:r>
        <w:rPr>
          <w:bCs/>
          <w:b/>
        </w:rPr>
        <w:t xml:space="preserve">Business Intelligence Analyst - Information Technology (IT)</w:t>
      </w:r>
      <w:r>
        <w:t xml:space="preserve"> </w:t>
      </w:r>
      <w:r>
        <w:t xml:space="preserve">a</w:t>
      </w:r>
      <w:r>
        <w:t xml:space="preserve"> </w:t>
      </w:r>
      <w:r>
        <w:rPr>
          <w:bCs/>
          <w:b/>
        </w:rPr>
        <w:t xml:space="preserve">NOC 21221 — Business systems specialists</w:t>
      </w:r>
      <w:r>
        <w:t xml:space="preserve">. Colombia tiene una correspondencia directa dentro de</w:t>
      </w:r>
      <w:r>
        <w:t xml:space="preserve"> </w:t>
      </w:r>
      <w:r>
        <w:rPr>
          <w:bCs/>
          <w:b/>
        </w:rPr>
        <w:t xml:space="preserve">CUOC 25110 — Analistas de sistemas</w:t>
      </w:r>
      <w:r>
        <w:t xml:space="preserve">, cuyas denominaciones oficiales incluyen</w:t>
      </w:r>
      <w:r>
        <w:t xml:space="preserve"> </w:t>
      </w:r>
      <w:r>
        <w:rPr>
          <w:bCs/>
          <w:b/>
        </w:rPr>
        <w:t xml:space="preserve">Analista de inteligencia de negocios</w:t>
      </w:r>
      <w:r>
        <w:t xml:space="preserve">,</w:t>
      </w:r>
      <w:r>
        <w:t xml:space="preserve"> </w:t>
      </w:r>
      <w:r>
        <w:rPr>
          <w:bCs/>
          <w:b/>
        </w:rPr>
        <w:t xml:space="preserve">Analista de inteligencia de negocio TI</w:t>
      </w:r>
      <w:r>
        <w:t xml:space="preserve">,</w:t>
      </w:r>
      <w:r>
        <w:t xml:space="preserve"> </w:t>
      </w:r>
      <w:r>
        <w:rPr>
          <w:bCs/>
          <w:b/>
        </w:rPr>
        <w:t xml:space="preserve">Analista de Power BI</w:t>
      </w:r>
      <w:r>
        <w:t xml:space="preserve"> </w:t>
      </w:r>
      <w:r>
        <w:t xml:space="preserve">y</w:t>
      </w:r>
      <w:r>
        <w:t xml:space="preserve"> </w:t>
      </w:r>
      <w:r>
        <w:rPr>
          <w:bCs/>
          <w:b/>
        </w:rPr>
        <w:t xml:space="preserve">Analista de analytics</w:t>
      </w:r>
      <w:r>
        <w:t xml:space="preserve">.</w:t>
      </w:r>
    </w:p>
    <w:p>
      <w:pPr>
        <w:pStyle w:val="BodyText"/>
      </w:pPr>
      <w:r>
        <w:t xml:space="preserve">El trabajo de BI está entre operaciones de negocio, datos, tecnología y comunicación. Un buen analista no es simplemente alguien que construye tableros. Debe entender de dónde provino cada cifra, qué reglas la produjeron, si los datos están completos y actualizados y cómo una persona razonable podría interpretar mal el resultado.</w:t>
      </w:r>
    </w:p>
    <w:bookmarkEnd w:id="20"/>
    <w:bookmarkStart w:id="21" w:name="por-qué-puede-ser-una-buena-oportunidad"/>
    <w:p>
      <w:pPr>
        <w:pStyle w:val="Heading2"/>
      </w:pPr>
      <w:r>
        <w:t xml:space="preserve">Por qué puede ser una buena oportunidad</w:t>
      </w:r>
    </w:p>
    <w:p>
      <w:pPr>
        <w:pStyle w:val="FirstParagraph"/>
      </w:pPr>
      <w:r>
        <w:t xml:space="preserve">Las organizaciones recopilan cada vez más datos de finanzas, ventas, marketing, operaciones, cadena de suministro, servicio al cliente, RR. HH., tecnología y riesgo. Necesitan personas capaces de convertir esos datos en información confiable, no solamente en más gráficos.</w:t>
      </w:r>
    </w:p>
    <w:p>
      <w:pPr>
        <w:pStyle w:val="BodyText"/>
      </w:pPr>
      <w:r>
        <w:t xml:space="preserve">BI puede ser una ruta desde:</w:t>
      </w:r>
    </w:p>
    <w:p>
      <w:pPr>
        <w:numPr>
          <w:ilvl w:val="0"/>
          <w:numId w:val="1001"/>
        </w:numPr>
        <w:pStyle w:val="Compact"/>
      </w:pPr>
      <w:r>
        <w:t xml:space="preserve">operaciones empresariales;</w:t>
      </w:r>
    </w:p>
    <w:p>
      <w:pPr>
        <w:numPr>
          <w:ilvl w:val="0"/>
          <w:numId w:val="1001"/>
        </w:numPr>
        <w:pStyle w:val="Compact"/>
      </w:pPr>
      <w:r>
        <w:t xml:space="preserve">apoyo financiero o contable;</w:t>
      </w:r>
    </w:p>
    <w:p>
      <w:pPr>
        <w:numPr>
          <w:ilvl w:val="0"/>
          <w:numId w:val="1001"/>
        </w:numPr>
        <w:pStyle w:val="Compact"/>
      </w:pPr>
      <w:r>
        <w:t xml:space="preserve">reporting;</w:t>
      </w:r>
    </w:p>
    <w:p>
      <w:pPr>
        <w:numPr>
          <w:ilvl w:val="0"/>
          <w:numId w:val="1001"/>
        </w:numPr>
        <w:pStyle w:val="Compact"/>
      </w:pPr>
      <w:r>
        <w:t xml:space="preserve">ingreso de datos o gestión de registros;</w:t>
      </w:r>
    </w:p>
    <w:p>
      <w:pPr>
        <w:numPr>
          <w:ilvl w:val="0"/>
          <w:numId w:val="1001"/>
        </w:numPr>
        <w:pStyle w:val="Compact"/>
      </w:pPr>
      <w:r>
        <w:t xml:space="preserve">operaciones de clientes;</w:t>
      </w:r>
    </w:p>
    <w:p>
      <w:pPr>
        <w:numPr>
          <w:ilvl w:val="0"/>
          <w:numId w:val="1001"/>
        </w:numPr>
        <w:pStyle w:val="Compact"/>
      </w:pPr>
      <w:r>
        <w:t xml:space="preserve">soporte de TI;</w:t>
      </w:r>
    </w:p>
    <w:p>
      <w:pPr>
        <w:numPr>
          <w:ilvl w:val="0"/>
          <w:numId w:val="1001"/>
        </w:numPr>
        <w:pStyle w:val="Compact"/>
      </w:pPr>
      <w:r>
        <w:t xml:space="preserve">desarrollo de bases de datos/reportes;</w:t>
      </w:r>
    </w:p>
    <w:p>
      <w:pPr>
        <w:numPr>
          <w:ilvl w:val="0"/>
          <w:numId w:val="1001"/>
        </w:numPr>
        <w:pStyle w:val="Compact"/>
      </w:pPr>
      <w:r>
        <w:t xml:space="preserve">calidad y mejora de procesos;</w:t>
      </w:r>
    </w:p>
    <w:p>
      <w:pPr>
        <w:numPr>
          <w:ilvl w:val="0"/>
          <w:numId w:val="1001"/>
        </w:numPr>
        <w:pStyle w:val="Compact"/>
      </w:pPr>
      <w:r>
        <w:t xml:space="preserve">analítica o investigación.</w:t>
      </w:r>
    </w:p>
    <w:p>
      <w:pPr>
        <w:pStyle w:val="FirstParagraph"/>
      </w:pPr>
      <w:r>
        <w:t xml:space="preserve">Una progresión práctica puede ser:</w:t>
      </w:r>
    </w:p>
    <w:p>
      <w:pPr>
        <w:pStyle w:val="BodyText"/>
      </w:pPr>
      <w:r>
        <w:rPr>
          <w:bCs/>
          <w:b/>
        </w:rPr>
        <w:t xml:space="preserve">soporte de reporting/datos → analista BI → analista BI senior / analytics engineer / desarrollador BI → líder de analítica, data product, ingeniería de datos, ciencia de datos, sistemas empresariales o gestión.</w:t>
      </w:r>
    </w:p>
    <w:p>
      <w:pPr>
        <w:pStyle w:val="BodyText"/>
      </w:pPr>
      <w:r>
        <w:t xml:space="preserve">La ruta depende de la profundidad técnica, conocimiento del negocio, educación, expectativas del empleador y capacidad para entregar información confiable para decisiones.</w:t>
      </w:r>
    </w:p>
    <w:bookmarkEnd w:id="21"/>
    <w:bookmarkStart w:id="27" w:name="X0cb7d24fcf7650a7c7d1116d764dadcd2352c8d"/>
    <w:p>
      <w:pPr>
        <w:pStyle w:val="Heading2"/>
      </w:pPr>
      <w:r>
        <w:t xml:space="preserve">Analista BI, analista de datos, desarrollador BI, analytics engineer y científico de datos no son lo mismo</w:t>
      </w:r>
    </w:p>
    <w:bookmarkStart w:id="22" w:name="analista-de-inteligencia-de-negocios"/>
    <w:p>
      <w:pPr>
        <w:pStyle w:val="Heading3"/>
      </w:pPr>
      <w:r>
        <w:t xml:space="preserve">Analista de inteligencia de negocios</w:t>
      </w:r>
    </w:p>
    <w:p>
      <w:pPr>
        <w:pStyle w:val="FirstParagraph"/>
      </w:pPr>
      <w:r>
        <w:t xml:space="preserve">Suele enfocarse en:</w:t>
      </w:r>
    </w:p>
    <w:p>
      <w:pPr>
        <w:numPr>
          <w:ilvl w:val="0"/>
          <w:numId w:val="1002"/>
        </w:numPr>
        <w:pStyle w:val="Compact"/>
      </w:pPr>
      <w:r>
        <w:t xml:space="preserve">requerimientos del negocio;</w:t>
      </w:r>
    </w:p>
    <w:p>
      <w:pPr>
        <w:numPr>
          <w:ilvl w:val="0"/>
          <w:numId w:val="1002"/>
        </w:numPr>
        <w:pStyle w:val="Compact"/>
      </w:pPr>
      <w:r>
        <w:t xml:space="preserve">definiciones de KPI y métricas;</w:t>
      </w:r>
    </w:p>
    <w:p>
      <w:pPr>
        <w:numPr>
          <w:ilvl w:val="0"/>
          <w:numId w:val="1002"/>
        </w:numPr>
        <w:pStyle w:val="Compact"/>
      </w:pPr>
      <w:r>
        <w:t xml:space="preserve">SQL/consultas;</w:t>
      </w:r>
    </w:p>
    <w:p>
      <w:pPr>
        <w:numPr>
          <w:ilvl w:val="0"/>
          <w:numId w:val="1002"/>
        </w:numPr>
        <w:pStyle w:val="Compact"/>
      </w:pPr>
      <w:r>
        <w:t xml:space="preserve">reportes recurrentes;</w:t>
      </w:r>
    </w:p>
    <w:p>
      <w:pPr>
        <w:numPr>
          <w:ilvl w:val="0"/>
          <w:numId w:val="1002"/>
        </w:numPr>
        <w:pStyle w:val="Compact"/>
      </w:pPr>
      <w:r>
        <w:t xml:space="preserve">tableros y visualización;</w:t>
      </w:r>
    </w:p>
    <w:p>
      <w:pPr>
        <w:numPr>
          <w:ilvl w:val="0"/>
          <w:numId w:val="1002"/>
        </w:numPr>
        <w:pStyle w:val="Compact"/>
      </w:pPr>
      <w:r>
        <w:t xml:space="preserve">análisis de tendencias;</w:t>
      </w:r>
    </w:p>
    <w:p>
      <w:pPr>
        <w:numPr>
          <w:ilvl w:val="0"/>
          <w:numId w:val="1002"/>
        </w:numPr>
        <w:pStyle w:val="Compact"/>
      </w:pPr>
      <w:r>
        <w:t xml:space="preserve">comunicación con stakeholders;</w:t>
      </w:r>
    </w:p>
    <w:p>
      <w:pPr>
        <w:numPr>
          <w:ilvl w:val="0"/>
          <w:numId w:val="1002"/>
        </w:numPr>
        <w:pStyle w:val="Compact"/>
      </w:pPr>
      <w:r>
        <w:t xml:space="preserve">validación y conciliación de datos;</w:t>
      </w:r>
    </w:p>
    <w:p>
      <w:pPr>
        <w:numPr>
          <w:ilvl w:val="0"/>
          <w:numId w:val="1002"/>
        </w:numPr>
        <w:pStyle w:val="Compact"/>
      </w:pPr>
      <w:r>
        <w:t xml:space="preserve">apoyo a decisiones.</w:t>
      </w:r>
    </w:p>
    <w:bookmarkEnd w:id="22"/>
    <w:bookmarkStart w:id="23" w:name="analista-de-datos"/>
    <w:p>
      <w:pPr>
        <w:pStyle w:val="Heading3"/>
      </w:pPr>
      <w:r>
        <w:t xml:space="preserve">Analista de datos</w:t>
      </w:r>
    </w:p>
    <w:p>
      <w:pPr>
        <w:pStyle w:val="FirstParagraph"/>
      </w:pPr>
      <w:r>
        <w:t xml:space="preserve">Puede solaparse mucho con BI, pero según el empleador puede incluir más análisis ad hoc, experimentación, estadística, análisis operativo o investigación.</w:t>
      </w:r>
    </w:p>
    <w:bookmarkEnd w:id="23"/>
    <w:bookmarkStart w:id="24" w:name="desarrollador-bi"/>
    <w:p>
      <w:pPr>
        <w:pStyle w:val="Heading3"/>
      </w:pPr>
      <w:r>
        <w:t xml:space="preserve">Desarrollador BI</w:t>
      </w:r>
    </w:p>
    <w:p>
      <w:pPr>
        <w:pStyle w:val="FirstParagraph"/>
      </w:pPr>
      <w:r>
        <w:t xml:space="preserve">Suele profundizar en:</w:t>
      </w:r>
    </w:p>
    <w:p>
      <w:pPr>
        <w:numPr>
          <w:ilvl w:val="0"/>
          <w:numId w:val="1003"/>
        </w:numPr>
        <w:pStyle w:val="Compact"/>
      </w:pPr>
      <w:r>
        <w:t xml:space="preserve">modelos semánticos;</w:t>
      </w:r>
    </w:p>
    <w:p>
      <w:pPr>
        <w:numPr>
          <w:ilvl w:val="0"/>
          <w:numId w:val="1003"/>
        </w:numPr>
        <w:pStyle w:val="Compact"/>
      </w:pPr>
      <w:r>
        <w:t xml:space="preserve">arquitectura de reportes;</w:t>
      </w:r>
    </w:p>
    <w:p>
      <w:pPr>
        <w:numPr>
          <w:ilvl w:val="0"/>
          <w:numId w:val="1003"/>
        </w:numPr>
        <w:pStyle w:val="Compact"/>
      </w:pPr>
      <w:r>
        <w:t xml:space="preserve">DAX/capas de cálculo;</w:t>
      </w:r>
    </w:p>
    <w:p>
      <w:pPr>
        <w:numPr>
          <w:ilvl w:val="0"/>
          <w:numId w:val="1003"/>
        </w:numPr>
        <w:pStyle w:val="Compact"/>
      </w:pPr>
      <w:r>
        <w:t xml:space="preserve">integración ETL/ELT;</w:t>
      </w:r>
    </w:p>
    <w:p>
      <w:pPr>
        <w:numPr>
          <w:ilvl w:val="0"/>
          <w:numId w:val="1003"/>
        </w:numPr>
        <w:pStyle w:val="Compact"/>
      </w:pPr>
      <w:r>
        <w:t xml:space="preserve">despliegue y rendimiento;</w:t>
      </w:r>
    </w:p>
    <w:p>
      <w:pPr>
        <w:numPr>
          <w:ilvl w:val="0"/>
          <w:numId w:val="1003"/>
        </w:numPr>
        <w:pStyle w:val="Compact"/>
      </w:pPr>
      <w:r>
        <w:t xml:space="preserve">administración de plataformas BI.</w:t>
      </w:r>
    </w:p>
    <w:bookmarkEnd w:id="24"/>
    <w:bookmarkStart w:id="25" w:name="analytics-engineer"/>
    <w:p>
      <w:pPr>
        <w:pStyle w:val="Heading3"/>
      </w:pPr>
      <w:r>
        <w:t xml:space="preserve">Analytics engineer</w:t>
      </w:r>
    </w:p>
    <w:p>
      <w:pPr>
        <w:pStyle w:val="FirstParagraph"/>
      </w:pPr>
      <w:r>
        <w:t xml:space="preserve">Suele enfocarse en transformar datos crudos de un warehouse en modelos analíticos documentados, probados y reutilizables para analistas y herramientas de reporting.</w:t>
      </w:r>
    </w:p>
    <w:bookmarkEnd w:id="25"/>
    <w:bookmarkStart w:id="26" w:name="científico-de-datos"/>
    <w:p>
      <w:pPr>
        <w:pStyle w:val="Heading3"/>
      </w:pPr>
      <w:r>
        <w:t xml:space="preserve">Científico de datos</w:t>
      </w:r>
    </w:p>
    <w:p>
      <w:pPr>
        <w:pStyle w:val="FirstParagraph"/>
      </w:pPr>
      <w:r>
        <w:t xml:space="preserve">Puede usar estadística avanzada, machine learning, experimentación y modelos predictivos. Los datos oficiales de salarios y empleo que O*NET muestra para Business Intelligence Analysts se recopilan de</w:t>
      </w:r>
      <w:r>
        <w:t xml:space="preserve"> </w:t>
      </w:r>
      <w:r>
        <w:rPr>
          <w:bCs/>
          <w:b/>
        </w:rPr>
        <w:t xml:space="preserve">Data Scientists</w:t>
      </w:r>
      <w:r>
        <w:t xml:space="preserve">, pero esa correspondencia estadística no convierte ambas ocupaciones en la misma función.</w:t>
      </w:r>
    </w:p>
    <w:bookmarkEnd w:id="26"/>
    <w:bookmarkEnd w:id="27"/>
    <w:bookmarkStart w:id="28" w:name="X0eaf12e430e571319e0b6ecd54dfddb1ce131b5"/>
    <w:p>
      <w:pPr>
        <w:pStyle w:val="Heading2"/>
      </w:pPr>
      <w:r>
        <w:t xml:space="preserve">Regla principal: primero defina la pregunta de negocio</w:t>
      </w:r>
    </w:p>
    <w:p>
      <w:pPr>
        <w:pStyle w:val="FirstParagraph"/>
      </w:pPr>
      <w:r>
        <w:t xml:space="preserve">Un tablero no debe comenzar con “¿qué gráfico puedo hacer?”.</w:t>
      </w:r>
    </w:p>
    <w:p>
      <w:pPr>
        <w:pStyle w:val="BodyText"/>
      </w:pPr>
      <w:r>
        <w:t xml:space="preserve">Comience con:</w:t>
      </w:r>
    </w:p>
    <w:p>
      <w:pPr>
        <w:numPr>
          <w:ilvl w:val="0"/>
          <w:numId w:val="1004"/>
        </w:numPr>
        <w:pStyle w:val="Compact"/>
      </w:pPr>
      <w:r>
        <w:t xml:space="preserve">¿Qué decisión o acción se quiere apoyar?</w:t>
      </w:r>
    </w:p>
    <w:p>
      <w:pPr>
        <w:numPr>
          <w:ilvl w:val="0"/>
          <w:numId w:val="1004"/>
        </w:numPr>
        <w:pStyle w:val="Compact"/>
      </w:pPr>
      <w:r>
        <w:t xml:space="preserve">¿Qué pregunta del negocio debe responderse?</w:t>
      </w:r>
    </w:p>
    <w:p>
      <w:pPr>
        <w:numPr>
          <w:ilvl w:val="0"/>
          <w:numId w:val="1004"/>
        </w:numPr>
        <w:pStyle w:val="Compact"/>
      </w:pPr>
      <w:r>
        <w:t xml:space="preserve">¿Qué métrica o evidencia respondería esa pregunta?</w:t>
      </w:r>
    </w:p>
    <w:p>
      <w:pPr>
        <w:numPr>
          <w:ilvl w:val="0"/>
          <w:numId w:val="1004"/>
        </w:numPr>
        <w:pStyle w:val="Compact"/>
      </w:pPr>
      <w:r>
        <w:t xml:space="preserve">¿Qué población, período y granularidad son pertinentes?</w:t>
      </w:r>
    </w:p>
    <w:p>
      <w:pPr>
        <w:numPr>
          <w:ilvl w:val="0"/>
          <w:numId w:val="1004"/>
        </w:numPr>
        <w:pStyle w:val="Compact"/>
      </w:pPr>
      <w:r>
        <w:t xml:space="preserve">¿Cuál es la fuente autorizada?</w:t>
      </w:r>
    </w:p>
    <w:p>
      <w:pPr>
        <w:numPr>
          <w:ilvl w:val="0"/>
          <w:numId w:val="1004"/>
        </w:numPr>
        <w:pStyle w:val="Compact"/>
      </w:pPr>
      <w:r>
        <w:t xml:space="preserve">¿Qué exclusiones o reglas de negocio aplican?</w:t>
      </w:r>
    </w:p>
    <w:p>
      <w:pPr>
        <w:numPr>
          <w:ilvl w:val="0"/>
          <w:numId w:val="1004"/>
        </w:numPr>
        <w:pStyle w:val="Compact"/>
      </w:pPr>
      <w:r>
        <w:t xml:space="preserve">¿Qué tan recientes deben ser los datos?</w:t>
      </w:r>
    </w:p>
    <w:p>
      <w:pPr>
        <w:numPr>
          <w:ilvl w:val="0"/>
          <w:numId w:val="1004"/>
        </w:numPr>
        <w:pStyle w:val="Compact"/>
      </w:pPr>
      <w:r>
        <w:t xml:space="preserve">¿Quién está autorizado para ver el resultado?</w:t>
      </w:r>
    </w:p>
    <w:p>
      <w:pPr>
        <w:numPr>
          <w:ilvl w:val="0"/>
          <w:numId w:val="1004"/>
        </w:numPr>
        <w:pStyle w:val="Compact"/>
      </w:pPr>
      <w:r>
        <w:t xml:space="preserve">¿Cómo se validará la cifra?</w:t>
      </w:r>
    </w:p>
    <w:p>
      <w:pPr>
        <w:numPr>
          <w:ilvl w:val="0"/>
          <w:numId w:val="1004"/>
        </w:numPr>
        <w:pStyle w:val="Compact"/>
      </w:pPr>
      <w:r>
        <w:t xml:space="preserve">¿Qué limitaciones deben revelarse?</w:t>
      </w:r>
    </w:p>
    <w:p>
      <w:pPr>
        <w:pStyle w:val="FirstParagraph"/>
      </w:pPr>
      <w:r>
        <w:t xml:space="preserve">Un buen BI reduce la ambigüedad antes de producir visualizaciones.</w:t>
      </w:r>
    </w:p>
    <w:bookmarkEnd w:id="28"/>
    <w:bookmarkStart w:id="29" w:name="fuente-de-verdad-y-linaje-de-datos"/>
    <w:p>
      <w:pPr>
        <w:pStyle w:val="Heading2"/>
      </w:pPr>
      <w:r>
        <w:t xml:space="preserve">Fuente de verdad y linaje de datos</w:t>
      </w:r>
    </w:p>
    <w:p>
      <w:pPr>
        <w:pStyle w:val="FirstParagraph"/>
      </w:pPr>
      <w:r>
        <w:t xml:space="preserve">Toda métrica importante debe poder rastrearse.</w:t>
      </w:r>
    </w:p>
    <w:p>
      <w:pPr>
        <w:pStyle w:val="BodyText"/>
      </w:pPr>
      <w:r>
        <w:t xml:space="preserve">Documente:</w:t>
      </w:r>
    </w:p>
    <w:p>
      <w:pPr>
        <w:numPr>
          <w:ilvl w:val="0"/>
          <w:numId w:val="1005"/>
        </w:numPr>
        <w:pStyle w:val="Compact"/>
      </w:pPr>
      <w:r>
        <w:t xml:space="preserve">sistema fuente;</w:t>
      </w:r>
    </w:p>
    <w:p>
      <w:pPr>
        <w:numPr>
          <w:ilvl w:val="0"/>
          <w:numId w:val="1005"/>
        </w:numPr>
        <w:pStyle w:val="Compact"/>
      </w:pPr>
      <w:r>
        <w:t xml:space="preserve">tabla/archivo/API fuente;</w:t>
      </w:r>
    </w:p>
    <w:p>
      <w:pPr>
        <w:numPr>
          <w:ilvl w:val="0"/>
          <w:numId w:val="1005"/>
        </w:numPr>
        <w:pStyle w:val="Compact"/>
      </w:pPr>
      <w:r>
        <w:t xml:space="preserve">responsable del negocio;</w:t>
      </w:r>
    </w:p>
    <w:p>
      <w:pPr>
        <w:numPr>
          <w:ilvl w:val="0"/>
          <w:numId w:val="1005"/>
        </w:numPr>
        <w:pStyle w:val="Compact"/>
      </w:pPr>
      <w:r>
        <w:t xml:space="preserve">fecha/hora de extracción o frecuencia de actualización;</w:t>
      </w:r>
    </w:p>
    <w:p>
      <w:pPr>
        <w:numPr>
          <w:ilvl w:val="0"/>
          <w:numId w:val="1005"/>
        </w:numPr>
        <w:pStyle w:val="Compact"/>
      </w:pPr>
      <w:r>
        <w:t xml:space="preserve">transformaciones;</w:t>
      </w:r>
    </w:p>
    <w:p>
      <w:pPr>
        <w:numPr>
          <w:ilvl w:val="0"/>
          <w:numId w:val="1005"/>
        </w:numPr>
        <w:pStyle w:val="Compact"/>
      </w:pPr>
      <w:r>
        <w:t xml:space="preserve">joins y claves;</w:t>
      </w:r>
    </w:p>
    <w:p>
      <w:pPr>
        <w:numPr>
          <w:ilvl w:val="0"/>
          <w:numId w:val="1005"/>
        </w:numPr>
        <w:pStyle w:val="Compact"/>
      </w:pPr>
      <w:r>
        <w:t xml:space="preserve">filtros/exclusiones;</w:t>
      </w:r>
    </w:p>
    <w:p>
      <w:pPr>
        <w:numPr>
          <w:ilvl w:val="0"/>
          <w:numId w:val="1005"/>
        </w:numPr>
        <w:pStyle w:val="Compact"/>
      </w:pPr>
      <w:r>
        <w:t xml:space="preserve">reglas de cálculo;</w:t>
      </w:r>
    </w:p>
    <w:p>
      <w:pPr>
        <w:numPr>
          <w:ilvl w:val="0"/>
          <w:numId w:val="1005"/>
        </w:numPr>
        <w:pStyle w:val="Compact"/>
      </w:pPr>
      <w:r>
        <w:t xml:space="preserve">reporte/tablero de salida;</w:t>
      </w:r>
    </w:p>
    <w:p>
      <w:pPr>
        <w:numPr>
          <w:ilvl w:val="0"/>
          <w:numId w:val="1005"/>
        </w:numPr>
        <w:pStyle w:val="Compact"/>
      </w:pPr>
      <w:r>
        <w:t xml:space="preserve">versión o historial de cambios cuando corresponda.</w:t>
      </w:r>
    </w:p>
    <w:p>
      <w:pPr>
        <w:pStyle w:val="FirstParagraph"/>
      </w:pPr>
      <w:r>
        <w:t xml:space="preserve">Una cifra sin linaje es difícil de defender cuando finanzas, operaciones, auditoría o liderazgo preguntan por qué cambió.</w:t>
      </w:r>
    </w:p>
    <w:p>
      <w:pPr>
        <w:pStyle w:val="BodyText"/>
      </w:pPr>
      <w:r>
        <w:t xml:space="preserve">No sustituya silenciosamente una fuente autorizada por una hoja de cálculo conveniente porque el resultado “se ve mejor”.</w:t>
      </w:r>
    </w:p>
    <w:bookmarkEnd w:id="29"/>
    <w:bookmarkStart w:id="30" w:name="fundamentos-de-datos-relacionales"/>
    <w:p>
      <w:pPr>
        <w:pStyle w:val="Heading2"/>
      </w:pPr>
      <w:r>
        <w:t xml:space="preserve">Fundamentos de datos relacionales</w:t>
      </w:r>
    </w:p>
    <w:p>
      <w:pPr>
        <w:pStyle w:val="FirstParagraph"/>
      </w:pPr>
      <w:r>
        <w:t xml:space="preserve">Un analista BI debe entender:</w:t>
      </w:r>
    </w:p>
    <w:p>
      <w:pPr>
        <w:numPr>
          <w:ilvl w:val="0"/>
          <w:numId w:val="1006"/>
        </w:numPr>
        <w:pStyle w:val="Compact"/>
      </w:pPr>
      <w:r>
        <w:t xml:space="preserve">tablas y filas;</w:t>
      </w:r>
    </w:p>
    <w:p>
      <w:pPr>
        <w:numPr>
          <w:ilvl w:val="0"/>
          <w:numId w:val="1006"/>
        </w:numPr>
        <w:pStyle w:val="Compact"/>
      </w:pPr>
      <w:r>
        <w:t xml:space="preserve">columnas/campos;</w:t>
      </w:r>
    </w:p>
    <w:p>
      <w:pPr>
        <w:numPr>
          <w:ilvl w:val="0"/>
          <w:numId w:val="1006"/>
        </w:numPr>
        <w:pStyle w:val="Compact"/>
      </w:pPr>
      <w:r>
        <w:t xml:space="preserve">claves primarias;</w:t>
      </w:r>
    </w:p>
    <w:p>
      <w:pPr>
        <w:numPr>
          <w:ilvl w:val="0"/>
          <w:numId w:val="1006"/>
        </w:numPr>
        <w:pStyle w:val="Compact"/>
      </w:pPr>
      <w:r>
        <w:t xml:space="preserve">claves foráneas;</w:t>
      </w:r>
    </w:p>
    <w:p>
      <w:pPr>
        <w:numPr>
          <w:ilvl w:val="0"/>
          <w:numId w:val="1006"/>
        </w:numPr>
        <w:pStyle w:val="Compact"/>
      </w:pPr>
      <w:r>
        <w:t xml:space="preserve">relaciones uno a uno, uno a muchos y muchos a muchos;</w:t>
      </w:r>
    </w:p>
    <w:p>
      <w:pPr>
        <w:numPr>
          <w:ilvl w:val="0"/>
          <w:numId w:val="1006"/>
        </w:numPr>
        <w:pStyle w:val="Compact"/>
      </w:pPr>
      <w:r>
        <w:t xml:space="preserve">normalización;</w:t>
      </w:r>
    </w:p>
    <w:p>
      <w:pPr>
        <w:numPr>
          <w:ilvl w:val="0"/>
          <w:numId w:val="1006"/>
        </w:numPr>
        <w:pStyle w:val="Compact"/>
      </w:pPr>
      <w:r>
        <w:t xml:space="preserve">duplicados;</w:t>
      </w:r>
    </w:p>
    <w:p>
      <w:pPr>
        <w:numPr>
          <w:ilvl w:val="0"/>
          <w:numId w:val="1006"/>
        </w:numPr>
        <w:pStyle w:val="Compact"/>
      </w:pPr>
      <w:r>
        <w:t xml:space="preserve">nulos/faltantes;</w:t>
      </w:r>
    </w:p>
    <w:p>
      <w:pPr>
        <w:numPr>
          <w:ilvl w:val="0"/>
          <w:numId w:val="1006"/>
        </w:numPr>
        <w:pStyle w:val="Compact"/>
      </w:pPr>
      <w:r>
        <w:t xml:space="preserve">tipos de datos;</w:t>
      </w:r>
    </w:p>
    <w:p>
      <w:pPr>
        <w:numPr>
          <w:ilvl w:val="0"/>
          <w:numId w:val="1006"/>
        </w:numPr>
        <w:pStyle w:val="Compact"/>
      </w:pPr>
      <w:r>
        <w:t xml:space="preserve">fechas/horas;</w:t>
      </w:r>
    </w:p>
    <w:p>
      <w:pPr>
        <w:numPr>
          <w:ilvl w:val="0"/>
          <w:numId w:val="1006"/>
        </w:numPr>
        <w:pStyle w:val="Compact"/>
      </w:pPr>
      <w:r>
        <w:t xml:space="preserve">granularidad o nivel de detalle.</w:t>
      </w:r>
    </w:p>
    <w:p>
      <w:pPr>
        <w:pStyle w:val="FirstParagraph"/>
      </w:pPr>
      <w:r>
        <w:t xml:space="preserve">Un error común es unir tablas de granularidad incompatible y multiplicar registros sin darse cuenta.</w:t>
      </w:r>
    </w:p>
    <w:p>
      <w:pPr>
        <w:pStyle w:val="BodyText"/>
      </w:pPr>
      <w:r>
        <w:t xml:space="preserve">Antes de hacer un join, pregunte:</w:t>
      </w:r>
    </w:p>
    <w:p>
      <w:pPr>
        <w:numPr>
          <w:ilvl w:val="0"/>
          <w:numId w:val="1007"/>
        </w:numPr>
        <w:pStyle w:val="Compact"/>
      </w:pPr>
      <w:r>
        <w:t xml:space="preserve">¿Qué representa una fila en cada tabla?</w:t>
      </w:r>
    </w:p>
    <w:p>
      <w:pPr>
        <w:numPr>
          <w:ilvl w:val="0"/>
          <w:numId w:val="1007"/>
        </w:numPr>
        <w:pStyle w:val="Compact"/>
      </w:pPr>
      <w:r>
        <w:t xml:space="preserve">¿La clave es única?</w:t>
      </w:r>
    </w:p>
    <w:p>
      <w:pPr>
        <w:numPr>
          <w:ilvl w:val="0"/>
          <w:numId w:val="1007"/>
        </w:numPr>
        <w:pStyle w:val="Compact"/>
      </w:pPr>
      <w:r>
        <w:t xml:space="preserve">¿Qué pasa con registros sin coincidencia?</w:t>
      </w:r>
    </w:p>
    <w:p>
      <w:pPr>
        <w:numPr>
          <w:ilvl w:val="0"/>
          <w:numId w:val="1007"/>
        </w:numPr>
        <w:pStyle w:val="Compact"/>
      </w:pPr>
      <w:r>
        <w:t xml:space="preserve">¿La unión puede duplicar medidas?</w:t>
      </w:r>
    </w:p>
    <w:bookmarkEnd w:id="30"/>
    <w:bookmarkStart w:id="31" w:name="sql"/>
    <w:p>
      <w:pPr>
        <w:pStyle w:val="Heading2"/>
      </w:pPr>
      <w:r>
        <w:t xml:space="preserve">SQL</w:t>
      </w:r>
    </w:p>
    <w:p>
      <w:pPr>
        <w:pStyle w:val="FirstParagraph"/>
      </w:pPr>
      <w:r>
        <w:t xml:space="preserve">SQL es la señal tecnológica más fuerte en las publicaciones asociadas a la ocupación de O*NET:</w:t>
      </w:r>
      <w:r>
        <w:t xml:space="preserve"> </w:t>
      </w:r>
      <w:r>
        <w:rPr>
          <w:bCs/>
          <w:b/>
        </w:rPr>
        <w:t xml:space="preserve">35%</w:t>
      </w:r>
      <w:r>
        <w:t xml:space="preserve"> </w:t>
      </w:r>
      <w:r>
        <w:t xml:space="preserve">de las ofertas de EE. UU. vinculadas en 2025.</w:t>
      </w:r>
    </w:p>
    <w:p>
      <w:pPr>
        <w:pStyle w:val="BodyText"/>
      </w:pPr>
      <w:r>
        <w:t xml:space="preserve">Conceptos útiles: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SELECT</w:t>
      </w:r>
      <w:r>
        <w:t xml:space="preserve">;</w:t>
      </w:r>
    </w:p>
    <w:p>
      <w:pPr>
        <w:numPr>
          <w:ilvl w:val="0"/>
          <w:numId w:val="1008"/>
        </w:numPr>
        <w:pStyle w:val="Compact"/>
      </w:pPr>
      <w:r>
        <w:t xml:space="preserve">filtros;</w:t>
      </w:r>
    </w:p>
    <w:p>
      <w:pPr>
        <w:numPr>
          <w:ilvl w:val="0"/>
          <w:numId w:val="1008"/>
        </w:numPr>
        <w:pStyle w:val="Compact"/>
      </w:pPr>
      <w:r>
        <w:t xml:space="preserve">ordenamiento;</w:t>
      </w:r>
    </w:p>
    <w:p>
      <w:pPr>
        <w:numPr>
          <w:ilvl w:val="0"/>
          <w:numId w:val="1008"/>
        </w:numPr>
        <w:pStyle w:val="Compact"/>
      </w:pPr>
      <w:r>
        <w:t xml:space="preserve">agregación;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GROUP BY</w:t>
      </w:r>
      <w:r>
        <w:t xml:space="preserve">;</w:t>
      </w:r>
    </w:p>
    <w:p>
      <w:pPr>
        <w:numPr>
          <w:ilvl w:val="0"/>
          <w:numId w:val="1008"/>
        </w:numPr>
        <w:pStyle w:val="Compact"/>
      </w:pPr>
      <w:r>
        <w:t xml:space="preserve">joins;</w:t>
      </w:r>
    </w:p>
    <w:p>
      <w:pPr>
        <w:numPr>
          <w:ilvl w:val="0"/>
          <w:numId w:val="1008"/>
        </w:numPr>
        <w:pStyle w:val="Compact"/>
      </w:pPr>
      <w:r>
        <w:t xml:space="preserve">lógica</w:t>
      </w:r>
      <w:r>
        <w:t xml:space="preserve"> </w:t>
      </w:r>
      <w:r>
        <w:rPr>
          <w:rStyle w:val="VerbatimChar"/>
        </w:rPr>
        <w:t xml:space="preserve">CASE</w:t>
      </w:r>
      <w:r>
        <w:t xml:space="preserve">;</w:t>
      </w:r>
    </w:p>
    <w:p>
      <w:pPr>
        <w:numPr>
          <w:ilvl w:val="0"/>
          <w:numId w:val="1008"/>
        </w:numPr>
        <w:pStyle w:val="Compact"/>
      </w:pPr>
      <w:r>
        <w:t xml:space="preserve">CTE;</w:t>
      </w:r>
    </w:p>
    <w:p>
      <w:pPr>
        <w:numPr>
          <w:ilvl w:val="0"/>
          <w:numId w:val="1008"/>
        </w:numPr>
        <w:pStyle w:val="Compact"/>
      </w:pPr>
      <w:r>
        <w:t xml:space="preserve">subconsultas;</w:t>
      </w:r>
    </w:p>
    <w:p>
      <w:pPr>
        <w:numPr>
          <w:ilvl w:val="0"/>
          <w:numId w:val="1008"/>
        </w:numPr>
        <w:pStyle w:val="Compact"/>
      </w:pPr>
      <w:r>
        <w:t xml:space="preserve">funciones de ventana;</w:t>
      </w:r>
    </w:p>
    <w:p>
      <w:pPr>
        <w:numPr>
          <w:ilvl w:val="0"/>
          <w:numId w:val="1008"/>
        </w:numPr>
        <w:pStyle w:val="Compact"/>
      </w:pPr>
      <w:r>
        <w:t xml:space="preserve">lógica de fechas;</w:t>
      </w:r>
    </w:p>
    <w:p>
      <w:pPr>
        <w:numPr>
          <w:ilvl w:val="0"/>
          <w:numId w:val="1008"/>
        </w:numPr>
        <w:pStyle w:val="Compact"/>
      </w:pPr>
      <w:r>
        <w:t xml:space="preserve">manejo de nulos;</w:t>
      </w:r>
    </w:p>
    <w:p>
      <w:pPr>
        <w:numPr>
          <w:ilvl w:val="0"/>
          <w:numId w:val="1008"/>
        </w:numPr>
        <w:pStyle w:val="Compact"/>
      </w:pPr>
      <w:r>
        <w:t xml:space="preserve">deduplicación;</w:t>
      </w:r>
    </w:p>
    <w:p>
      <w:pPr>
        <w:numPr>
          <w:ilvl w:val="0"/>
          <w:numId w:val="1008"/>
        </w:numPr>
        <w:pStyle w:val="Compact"/>
      </w:pPr>
      <w:r>
        <w:t xml:space="preserve">validación de consultas.</w:t>
      </w:r>
    </w:p>
    <w:p>
      <w:pPr>
        <w:pStyle w:val="FirstParagraph"/>
      </w:pPr>
      <w:r>
        <w:t xml:space="preserve">El objetivo no es solamente lograr que una consulta ejecute. El objetivo es devolver la población y medida correctas.</w:t>
      </w:r>
    </w:p>
    <w:p>
      <w:pPr>
        <w:pStyle w:val="BodyText"/>
      </w:pPr>
      <w:r>
        <w:t xml:space="preserve">Valide consultas importantes con:</w:t>
      </w:r>
    </w:p>
    <w:p>
      <w:pPr>
        <w:numPr>
          <w:ilvl w:val="0"/>
          <w:numId w:val="1009"/>
        </w:numPr>
        <w:pStyle w:val="Compact"/>
      </w:pPr>
      <w:r>
        <w:t xml:space="preserve">conteos de filas;</w:t>
      </w:r>
    </w:p>
    <w:p>
      <w:pPr>
        <w:numPr>
          <w:ilvl w:val="0"/>
          <w:numId w:val="1009"/>
        </w:numPr>
        <w:pStyle w:val="Compact"/>
      </w:pPr>
      <w:r>
        <w:t xml:space="preserve">claves duplicadas;</w:t>
      </w:r>
    </w:p>
    <w:p>
      <w:pPr>
        <w:numPr>
          <w:ilvl w:val="0"/>
          <w:numId w:val="1009"/>
        </w:numPr>
        <w:pStyle w:val="Compact"/>
      </w:pPr>
      <w:r>
        <w:t xml:space="preserve">registros conocidos;</w:t>
      </w:r>
    </w:p>
    <w:p>
      <w:pPr>
        <w:numPr>
          <w:ilvl w:val="0"/>
          <w:numId w:val="1009"/>
        </w:numPr>
        <w:pStyle w:val="Compact"/>
      </w:pPr>
      <w:r>
        <w:t xml:space="preserve">totales contra una fuente autorizada;</w:t>
      </w:r>
    </w:p>
    <w:p>
      <w:pPr>
        <w:numPr>
          <w:ilvl w:val="0"/>
          <w:numId w:val="1009"/>
        </w:numPr>
        <w:pStyle w:val="Compact"/>
      </w:pPr>
      <w:r>
        <w:t xml:space="preserve">límites de fechas esperados;</w:t>
      </w:r>
    </w:p>
    <w:p>
      <w:pPr>
        <w:numPr>
          <w:ilvl w:val="0"/>
          <w:numId w:val="1009"/>
        </w:numPr>
        <w:pStyle w:val="Compact"/>
      </w:pPr>
      <w:r>
        <w:t xml:space="preserve">valores faltantes;</w:t>
      </w:r>
    </w:p>
    <w:p>
      <w:pPr>
        <w:numPr>
          <w:ilvl w:val="0"/>
          <w:numId w:val="1009"/>
        </w:numPr>
        <w:pStyle w:val="Compact"/>
      </w:pPr>
      <w:r>
        <w:t xml:space="preserve">categorías inesperadas;</w:t>
      </w:r>
    </w:p>
    <w:p>
      <w:pPr>
        <w:numPr>
          <w:ilvl w:val="0"/>
          <w:numId w:val="1009"/>
        </w:numPr>
        <w:pStyle w:val="Compact"/>
      </w:pPr>
      <w:r>
        <w:t xml:space="preserve">efecto de cada join y filtro.</w:t>
      </w:r>
    </w:p>
    <w:bookmarkEnd w:id="31"/>
    <w:bookmarkStart w:id="32" w:name="limpieza-y-transformación"/>
    <w:p>
      <w:pPr>
        <w:pStyle w:val="Heading2"/>
      </w:pPr>
      <w:r>
        <w:t xml:space="preserve">Limpieza y transformación</w:t>
      </w:r>
    </w:p>
    <w:p>
      <w:pPr>
        <w:pStyle w:val="FirstParagraph"/>
      </w:pPr>
      <w:r>
        <w:t xml:space="preserve">El trabajo común incluye:</w:t>
      </w:r>
    </w:p>
    <w:p>
      <w:pPr>
        <w:numPr>
          <w:ilvl w:val="0"/>
          <w:numId w:val="1010"/>
        </w:numPr>
        <w:pStyle w:val="Compact"/>
      </w:pPr>
      <w:r>
        <w:t xml:space="preserve">estandarizar categorías;</w:t>
      </w:r>
    </w:p>
    <w:p>
      <w:pPr>
        <w:numPr>
          <w:ilvl w:val="0"/>
          <w:numId w:val="1010"/>
        </w:numPr>
        <w:pStyle w:val="Compact"/>
      </w:pPr>
      <w:r>
        <w:t xml:space="preserve">convertir fechas;</w:t>
      </w:r>
    </w:p>
    <w:p>
      <w:pPr>
        <w:numPr>
          <w:ilvl w:val="0"/>
          <w:numId w:val="1010"/>
        </w:numPr>
        <w:pStyle w:val="Compact"/>
      </w:pPr>
      <w:r>
        <w:t xml:space="preserve">manejar faltantes;</w:t>
      </w:r>
    </w:p>
    <w:p>
      <w:pPr>
        <w:numPr>
          <w:ilvl w:val="0"/>
          <w:numId w:val="1010"/>
        </w:numPr>
        <w:pStyle w:val="Compact"/>
      </w:pPr>
      <w:r>
        <w:t xml:space="preserve">usar tablas de mapeo aprobadas;</w:t>
      </w:r>
    </w:p>
    <w:p>
      <w:pPr>
        <w:numPr>
          <w:ilvl w:val="0"/>
          <w:numId w:val="1010"/>
        </w:numPr>
        <w:pStyle w:val="Compact"/>
      </w:pPr>
      <w:r>
        <w:t xml:space="preserve">reestructurar datos;</w:t>
      </w:r>
    </w:p>
    <w:p>
      <w:pPr>
        <w:numPr>
          <w:ilvl w:val="0"/>
          <w:numId w:val="1010"/>
        </w:numPr>
        <w:pStyle w:val="Compact"/>
      </w:pPr>
      <w:r>
        <w:t xml:space="preserve">unir datos de referencia;</w:t>
      </w:r>
    </w:p>
    <w:p>
      <w:pPr>
        <w:numPr>
          <w:ilvl w:val="0"/>
          <w:numId w:val="1010"/>
        </w:numPr>
        <w:pStyle w:val="Compact"/>
      </w:pPr>
      <w:r>
        <w:t xml:space="preserve">derivar campos;</w:t>
      </w:r>
    </w:p>
    <w:p>
      <w:pPr>
        <w:numPr>
          <w:ilvl w:val="0"/>
          <w:numId w:val="1010"/>
        </w:numPr>
        <w:pStyle w:val="Compact"/>
      </w:pPr>
      <w:r>
        <w:t xml:space="preserve">eliminar duplicados verdaderos;</w:t>
      </w:r>
    </w:p>
    <w:p>
      <w:pPr>
        <w:numPr>
          <w:ilvl w:val="0"/>
          <w:numId w:val="1010"/>
        </w:numPr>
        <w:pStyle w:val="Compact"/>
      </w:pPr>
      <w:r>
        <w:t xml:space="preserve">validar rangos;</w:t>
      </w:r>
    </w:p>
    <w:p>
      <w:pPr>
        <w:numPr>
          <w:ilvl w:val="0"/>
          <w:numId w:val="1010"/>
        </w:numPr>
        <w:pStyle w:val="Compact"/>
      </w:pPr>
      <w:r>
        <w:t xml:space="preserve">documentar la lógica.</w:t>
      </w:r>
    </w:p>
    <w:p>
      <w:pPr>
        <w:pStyle w:val="FirstParagraph"/>
      </w:pPr>
      <w:r>
        <w:t xml:space="preserve">No “limpie” datos eliminando observaciones legítimas y poco comunes solo porque hacen incómodo un gráfico.</w:t>
      </w:r>
    </w:p>
    <w:p>
      <w:pPr>
        <w:pStyle w:val="BodyText"/>
      </w:pPr>
      <w:r>
        <w:t xml:space="preserve">Si un registro fuente está incorrecto, siga el proceso autorizado de corrección. No reescriba silenciosamente datos productivos desde la capa de reporting.</w:t>
      </w:r>
    </w:p>
    <w:bookmarkEnd w:id="32"/>
    <w:bookmarkStart w:id="33" w:name="reproducibilidad"/>
    <w:p>
      <w:pPr>
        <w:pStyle w:val="Heading2"/>
      </w:pPr>
      <w:r>
        <w:t xml:space="preserve">Reproducibilidad</w:t>
      </w:r>
    </w:p>
    <w:p>
      <w:pPr>
        <w:pStyle w:val="FirstParagraph"/>
      </w:pPr>
      <w:r>
        <w:t xml:space="preserve">Un resultado analítico confiable debe poder reproducirse.</w:t>
      </w:r>
    </w:p>
    <w:p>
      <w:pPr>
        <w:pStyle w:val="BodyText"/>
      </w:pPr>
      <w:r>
        <w:t xml:space="preserve">Prefiera:</w:t>
      </w:r>
    </w:p>
    <w:p>
      <w:pPr>
        <w:numPr>
          <w:ilvl w:val="0"/>
          <w:numId w:val="1011"/>
        </w:numPr>
        <w:pStyle w:val="Compact"/>
      </w:pPr>
      <w:r>
        <w:t xml:space="preserve">SQL guardado o consultas gobernadas;</w:t>
      </w:r>
    </w:p>
    <w:p>
      <w:pPr>
        <w:numPr>
          <w:ilvl w:val="0"/>
          <w:numId w:val="1011"/>
        </w:numPr>
        <w:pStyle w:val="Compact"/>
      </w:pPr>
      <w:r>
        <w:t xml:space="preserve">transformaciones documentadas;</w:t>
      </w:r>
    </w:p>
    <w:p>
      <w:pPr>
        <w:numPr>
          <w:ilvl w:val="0"/>
          <w:numId w:val="1011"/>
        </w:numPr>
        <w:pStyle w:val="Compact"/>
      </w:pPr>
      <w:r>
        <w:t xml:space="preserve">scripts con control de versiones cuando corresponda;</w:t>
      </w:r>
    </w:p>
    <w:p>
      <w:pPr>
        <w:numPr>
          <w:ilvl w:val="0"/>
          <w:numId w:val="1011"/>
        </w:numPr>
        <w:pStyle w:val="Compact"/>
      </w:pPr>
      <w:r>
        <w:t xml:space="preserve">fuentes nombradas;</w:t>
      </w:r>
    </w:p>
    <w:p>
      <w:pPr>
        <w:numPr>
          <w:ilvl w:val="0"/>
          <w:numId w:val="1011"/>
        </w:numPr>
        <w:pStyle w:val="Compact"/>
      </w:pPr>
      <w:r>
        <w:t xml:space="preserve">timestamps de actualización;</w:t>
      </w:r>
    </w:p>
    <w:p>
      <w:pPr>
        <w:numPr>
          <w:ilvl w:val="0"/>
          <w:numId w:val="1011"/>
        </w:numPr>
        <w:pStyle w:val="Compact"/>
      </w:pPr>
      <w:r>
        <w:t xml:space="preserve">parámetros controlados;</w:t>
      </w:r>
    </w:p>
    <w:p>
      <w:pPr>
        <w:numPr>
          <w:ilvl w:val="0"/>
          <w:numId w:val="1011"/>
        </w:numPr>
        <w:pStyle w:val="Compact"/>
      </w:pPr>
      <w:r>
        <w:t xml:space="preserve">cálculos reutilizables;</w:t>
      </w:r>
    </w:p>
    <w:p>
      <w:pPr>
        <w:numPr>
          <w:ilvl w:val="0"/>
          <w:numId w:val="1011"/>
        </w:numPr>
        <w:pStyle w:val="Compact"/>
      </w:pPr>
      <w:r>
        <w:t xml:space="preserve">casos de prueba;</w:t>
      </w:r>
    </w:p>
    <w:p>
      <w:pPr>
        <w:numPr>
          <w:ilvl w:val="0"/>
          <w:numId w:val="1011"/>
        </w:numPr>
        <w:pStyle w:val="Compact"/>
      </w:pPr>
      <w:r>
        <w:t xml:space="preserve">historial de cambios.</w:t>
      </w:r>
    </w:p>
    <w:p>
      <w:pPr>
        <w:pStyle w:val="FirstParagraph"/>
      </w:pPr>
      <w:r>
        <w:t xml:space="preserve">Evite reportes críticos que dependan de ediciones manuales de Excel que solo una persona conoce.</w:t>
      </w:r>
    </w:p>
    <w:bookmarkEnd w:id="33"/>
    <w:bookmarkStart w:id="34" w:name="modelado-dimensional-y-esquema-estrella"/>
    <w:p>
      <w:pPr>
        <w:pStyle w:val="Heading2"/>
      </w:pPr>
      <w:r>
        <w:t xml:space="preserve">Modelado dimensional y esquema estrella</w:t>
      </w:r>
    </w:p>
    <w:p>
      <w:pPr>
        <w:pStyle w:val="FirstParagraph"/>
      </w:pPr>
      <w:r>
        <w:t xml:space="preserve">Los sistemas BI suelen organizar datos en: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tablas de hechos:</w:t>
      </w:r>
      <w:r>
        <w:t xml:space="preserve"> </w:t>
      </w:r>
      <w:r>
        <w:t xml:space="preserve">eventos medibles como ventas, órdenes, llamadas o transacciones;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tablas de dimensiones:</w:t>
      </w:r>
      <w:r>
        <w:t xml:space="preserve"> </w:t>
      </w:r>
      <w:r>
        <w:t xml:space="preserve">contexto descriptivo como cliente, producto, lugar o fecha.</w:t>
      </w:r>
    </w:p>
    <w:p>
      <w:pPr>
        <w:pStyle w:val="FirstParagraph"/>
      </w:pPr>
      <w:r>
        <w:t xml:space="preserve">Conceptos útiles:</w:t>
      </w:r>
    </w:p>
    <w:p>
      <w:pPr>
        <w:numPr>
          <w:ilvl w:val="0"/>
          <w:numId w:val="1013"/>
        </w:numPr>
        <w:pStyle w:val="Compact"/>
      </w:pPr>
      <w:r>
        <w:t xml:space="preserve">granularidad;</w:t>
      </w:r>
    </w:p>
    <w:p>
      <w:pPr>
        <w:numPr>
          <w:ilvl w:val="0"/>
          <w:numId w:val="1013"/>
        </w:numPr>
        <w:pStyle w:val="Compact"/>
      </w:pPr>
      <w:r>
        <w:t xml:space="preserve">claves sustitutas;</w:t>
      </w:r>
    </w:p>
    <w:p>
      <w:pPr>
        <w:numPr>
          <w:ilvl w:val="0"/>
          <w:numId w:val="1013"/>
        </w:numPr>
        <w:pStyle w:val="Compact"/>
      </w:pPr>
      <w:r>
        <w:t xml:space="preserve">dimensión fecha;</w:t>
      </w:r>
    </w:p>
    <w:p>
      <w:pPr>
        <w:numPr>
          <w:ilvl w:val="0"/>
          <w:numId w:val="1013"/>
        </w:numPr>
        <w:pStyle w:val="Compact"/>
      </w:pPr>
      <w:r>
        <w:t xml:space="preserve">dimensiones lentamente cambiantes;</w:t>
      </w:r>
    </w:p>
    <w:p>
      <w:pPr>
        <w:numPr>
          <w:ilvl w:val="0"/>
          <w:numId w:val="1013"/>
        </w:numPr>
        <w:pStyle w:val="Compact"/>
      </w:pPr>
      <w:r>
        <w:t xml:space="preserve">dimensiones conformadas;</w:t>
      </w:r>
    </w:p>
    <w:p>
      <w:pPr>
        <w:numPr>
          <w:ilvl w:val="0"/>
          <w:numId w:val="1013"/>
        </w:numPr>
        <w:pStyle w:val="Compact"/>
      </w:pPr>
      <w:r>
        <w:t xml:space="preserve">medidas aditivas y no aditivas;</w:t>
      </w:r>
    </w:p>
    <w:p>
      <w:pPr>
        <w:numPr>
          <w:ilvl w:val="0"/>
          <w:numId w:val="1013"/>
        </w:numPr>
        <w:pStyle w:val="Compact"/>
      </w:pPr>
      <w:r>
        <w:t xml:space="preserve">esquema estrella frente a diseño operacional muy normalizado.</w:t>
      </w:r>
    </w:p>
    <w:p>
      <w:pPr>
        <w:pStyle w:val="FirstParagraph"/>
      </w:pPr>
      <w:r>
        <w:t xml:space="preserve">No es necesario ser arquitecto de datos para comprender por qué un modelo semántico limpio hace más confiables los tableros.</w:t>
      </w:r>
    </w:p>
    <w:bookmarkEnd w:id="34"/>
    <w:bookmarkStart w:id="35" w:name="modelos-semánticos-y-capas-de-cálculo"/>
    <w:p>
      <w:pPr>
        <w:pStyle w:val="Heading2"/>
      </w:pPr>
      <w:r>
        <w:t xml:space="preserve">Modelos semánticos y capas de cálculo</w:t>
      </w:r>
    </w:p>
    <w:p>
      <w:pPr>
        <w:pStyle w:val="FirstParagraph"/>
      </w:pPr>
      <w:r>
        <w:t xml:space="preserve">Un modelo semántico da significado de negocio a los datos subyacentes.</w:t>
      </w:r>
    </w:p>
    <w:p>
      <w:pPr>
        <w:pStyle w:val="BodyText"/>
      </w:pPr>
      <w:r>
        <w:t xml:space="preserve">Puede definir:</w:t>
      </w:r>
    </w:p>
    <w:p>
      <w:pPr>
        <w:numPr>
          <w:ilvl w:val="0"/>
          <w:numId w:val="1014"/>
        </w:numPr>
        <w:pStyle w:val="Compact"/>
      </w:pPr>
      <w:r>
        <w:t xml:space="preserve">relaciones;</w:t>
      </w:r>
    </w:p>
    <w:p>
      <w:pPr>
        <w:numPr>
          <w:ilvl w:val="0"/>
          <w:numId w:val="1014"/>
        </w:numPr>
        <w:pStyle w:val="Compact"/>
      </w:pPr>
      <w:r>
        <w:t xml:space="preserve">medidas;</w:t>
      </w:r>
    </w:p>
    <w:p>
      <w:pPr>
        <w:numPr>
          <w:ilvl w:val="0"/>
          <w:numId w:val="1014"/>
        </w:numPr>
        <w:pStyle w:val="Compact"/>
      </w:pPr>
      <w:r>
        <w:t xml:space="preserve">jerarquías;</w:t>
      </w:r>
    </w:p>
    <w:p>
      <w:pPr>
        <w:numPr>
          <w:ilvl w:val="0"/>
          <w:numId w:val="1014"/>
        </w:numPr>
        <w:pStyle w:val="Compact"/>
      </w:pPr>
      <w:r>
        <w:t xml:space="preserve">columnas calculadas;</w:t>
      </w:r>
    </w:p>
    <w:p>
      <w:pPr>
        <w:numPr>
          <w:ilvl w:val="0"/>
          <w:numId w:val="1014"/>
        </w:numPr>
        <w:pStyle w:val="Compact"/>
      </w:pPr>
      <w:r>
        <w:t xml:space="preserve">etiquetas de negocio;</w:t>
      </w:r>
    </w:p>
    <w:p>
      <w:pPr>
        <w:numPr>
          <w:ilvl w:val="0"/>
          <w:numId w:val="1014"/>
        </w:numPr>
        <w:pStyle w:val="Compact"/>
      </w:pPr>
      <w:r>
        <w:t xml:space="preserve">roles de seguridad;</w:t>
      </w:r>
    </w:p>
    <w:p>
      <w:pPr>
        <w:numPr>
          <w:ilvl w:val="0"/>
          <w:numId w:val="1014"/>
        </w:numPr>
        <w:pStyle w:val="Compact"/>
      </w:pPr>
      <w:r>
        <w:t xml:space="preserve">inteligencia de tiempo;</w:t>
      </w:r>
    </w:p>
    <w:p>
      <w:pPr>
        <w:numPr>
          <w:ilvl w:val="0"/>
          <w:numId w:val="1014"/>
        </w:numPr>
        <w:pStyle w:val="Compact"/>
      </w:pPr>
      <w:r>
        <w:t xml:space="preserve">lógica reutilizable de KPI.</w:t>
      </w:r>
    </w:p>
    <w:p>
      <w:pPr>
        <w:pStyle w:val="FirstParagraph"/>
      </w:pPr>
      <w:r>
        <w:t xml:space="preserve">Centralizar una definición reduce el riesgo de que cinco tableros calculen “cliente activo” de cinco maneras diferentes.</w:t>
      </w:r>
    </w:p>
    <w:bookmarkEnd w:id="35"/>
    <w:bookmarkStart w:id="36" w:name="gobierno-de-kpi-y-métricas"/>
    <w:p>
      <w:pPr>
        <w:pStyle w:val="Heading2"/>
      </w:pPr>
      <w:r>
        <w:t xml:space="preserve">Gobierno de KPI y métricas</w:t>
      </w:r>
    </w:p>
    <w:p>
      <w:pPr>
        <w:pStyle w:val="FirstParagraph"/>
      </w:pPr>
      <w:r>
        <w:t xml:space="preserve">Un KPI no es solamente una fórmula.</w:t>
      </w:r>
    </w:p>
    <w:p>
      <w:pPr>
        <w:pStyle w:val="BodyText"/>
      </w:pPr>
      <w:r>
        <w:t xml:space="preserve">Para métricas importantes, defina:</w:t>
      </w:r>
    </w:p>
    <w:p>
      <w:pPr>
        <w:numPr>
          <w:ilvl w:val="0"/>
          <w:numId w:val="1015"/>
        </w:numPr>
        <w:pStyle w:val="Compact"/>
      </w:pPr>
      <w:r>
        <w:t xml:space="preserve">nombre;</w:t>
      </w:r>
    </w:p>
    <w:p>
      <w:pPr>
        <w:numPr>
          <w:ilvl w:val="0"/>
          <w:numId w:val="1015"/>
        </w:numPr>
        <w:pStyle w:val="Compact"/>
      </w:pPr>
      <w:r>
        <w:t xml:space="preserve">propósito;</w:t>
      </w:r>
    </w:p>
    <w:p>
      <w:pPr>
        <w:numPr>
          <w:ilvl w:val="0"/>
          <w:numId w:val="1015"/>
        </w:numPr>
        <w:pStyle w:val="Compact"/>
      </w:pPr>
      <w:r>
        <w:t xml:space="preserve">fórmula;</w:t>
      </w:r>
    </w:p>
    <w:p>
      <w:pPr>
        <w:numPr>
          <w:ilvl w:val="0"/>
          <w:numId w:val="1015"/>
        </w:numPr>
        <w:pStyle w:val="Compact"/>
      </w:pPr>
      <w:r>
        <w:t xml:space="preserve">numerador/denominador;</w:t>
      </w:r>
    </w:p>
    <w:p>
      <w:pPr>
        <w:numPr>
          <w:ilvl w:val="0"/>
          <w:numId w:val="1015"/>
        </w:numPr>
        <w:pStyle w:val="Compact"/>
      </w:pPr>
      <w:r>
        <w:t xml:space="preserve">población;</w:t>
      </w:r>
    </w:p>
    <w:p>
      <w:pPr>
        <w:numPr>
          <w:ilvl w:val="0"/>
          <w:numId w:val="1015"/>
        </w:numPr>
        <w:pStyle w:val="Compact"/>
      </w:pPr>
      <w:r>
        <w:t xml:space="preserve">exclusiones;</w:t>
      </w:r>
    </w:p>
    <w:p>
      <w:pPr>
        <w:numPr>
          <w:ilvl w:val="0"/>
          <w:numId w:val="1015"/>
        </w:numPr>
        <w:pStyle w:val="Compact"/>
      </w:pPr>
      <w:r>
        <w:t xml:space="preserve">base temporal;</w:t>
      </w:r>
    </w:p>
    <w:p>
      <w:pPr>
        <w:numPr>
          <w:ilvl w:val="0"/>
          <w:numId w:val="1015"/>
        </w:numPr>
        <w:pStyle w:val="Compact"/>
      </w:pPr>
      <w:r>
        <w:t xml:space="preserve">fuente;</w:t>
      </w:r>
    </w:p>
    <w:p>
      <w:pPr>
        <w:numPr>
          <w:ilvl w:val="0"/>
          <w:numId w:val="1015"/>
        </w:numPr>
        <w:pStyle w:val="Compact"/>
      </w:pPr>
      <w:r>
        <w:t xml:space="preserve">frecuencia de actualización;</w:t>
      </w:r>
    </w:p>
    <w:p>
      <w:pPr>
        <w:numPr>
          <w:ilvl w:val="0"/>
          <w:numId w:val="1015"/>
        </w:numPr>
        <w:pStyle w:val="Compact"/>
      </w:pPr>
      <w:r>
        <w:t xml:space="preserve">responsable;</w:t>
      </w:r>
    </w:p>
    <w:p>
      <w:pPr>
        <w:numPr>
          <w:ilvl w:val="0"/>
          <w:numId w:val="1015"/>
        </w:numPr>
        <w:pStyle w:val="Compact"/>
      </w:pPr>
      <w:r>
        <w:t xml:space="preserve">meta/umbral, si aplica;</w:t>
      </w:r>
    </w:p>
    <w:p>
      <w:pPr>
        <w:numPr>
          <w:ilvl w:val="0"/>
          <w:numId w:val="1015"/>
        </w:numPr>
        <w:pStyle w:val="Compact"/>
      </w:pPr>
      <w:r>
        <w:t xml:space="preserve">limitaciones conocidas.</w:t>
      </w:r>
    </w:p>
    <w:p>
      <w:pPr>
        <w:pStyle w:val="FirstParagraph"/>
      </w:pPr>
      <w:r>
        <w:t xml:space="preserve">No cambie una definición porque a alguien no le guste el resultado. Si cambia la definición empresarial, documente quién lo aprobó, fecha de vigencia e impacto en la comparabilidad histórica.</w:t>
      </w:r>
    </w:p>
    <w:bookmarkEnd w:id="36"/>
    <w:bookmarkStart w:id="37" w:name="filtros-y-lógica-de-fechas"/>
    <w:p>
      <w:pPr>
        <w:pStyle w:val="Heading2"/>
      </w:pPr>
      <w:r>
        <w:t xml:space="preserve">Filtros y lógica de fechas</w:t>
      </w:r>
    </w:p>
    <w:p>
      <w:pPr>
        <w:pStyle w:val="FirstParagraph"/>
      </w:pPr>
      <w:r>
        <w:t xml:space="preserve">Los filtros pueden cambiar materialmente una conclusión.</w:t>
      </w:r>
    </w:p>
    <w:p>
      <w:pPr>
        <w:pStyle w:val="BodyText"/>
      </w:pPr>
      <w:r>
        <w:t xml:space="preserve">Sea explícito sobre:</w:t>
      </w:r>
    </w:p>
    <w:p>
      <w:pPr>
        <w:numPr>
          <w:ilvl w:val="0"/>
          <w:numId w:val="1016"/>
        </w:numPr>
        <w:pStyle w:val="Compact"/>
      </w:pPr>
      <w:r>
        <w:t xml:space="preserve">rango de fechas;</w:t>
      </w:r>
    </w:p>
    <w:p>
      <w:pPr>
        <w:numPr>
          <w:ilvl w:val="0"/>
          <w:numId w:val="1016"/>
        </w:numPr>
        <w:pStyle w:val="Compact"/>
      </w:pPr>
      <w:r>
        <w:t xml:space="preserve">período fiscal versus calendario;</w:t>
      </w:r>
    </w:p>
    <w:p>
      <w:pPr>
        <w:numPr>
          <w:ilvl w:val="0"/>
          <w:numId w:val="1016"/>
        </w:numPr>
        <w:pStyle w:val="Compact"/>
      </w:pPr>
      <w:r>
        <w:t xml:space="preserve">zona horaria;</w:t>
      </w:r>
    </w:p>
    <w:p>
      <w:pPr>
        <w:numPr>
          <w:ilvl w:val="0"/>
          <w:numId w:val="1016"/>
        </w:numPr>
        <w:pStyle w:val="Compact"/>
      </w:pPr>
      <w:r>
        <w:t xml:space="preserve">estado activo/inactivo;</w:t>
      </w:r>
    </w:p>
    <w:p>
      <w:pPr>
        <w:numPr>
          <w:ilvl w:val="0"/>
          <w:numId w:val="1016"/>
        </w:numPr>
        <w:pStyle w:val="Compact"/>
      </w:pPr>
      <w:r>
        <w:t xml:space="preserve">geografía;</w:t>
      </w:r>
    </w:p>
    <w:p>
      <w:pPr>
        <w:numPr>
          <w:ilvl w:val="0"/>
          <w:numId w:val="1016"/>
        </w:numPr>
        <w:pStyle w:val="Compact"/>
      </w:pPr>
      <w:r>
        <w:t xml:space="preserve">producto/unidad de negocio;</w:t>
      </w:r>
    </w:p>
    <w:p>
      <w:pPr>
        <w:numPr>
          <w:ilvl w:val="0"/>
          <w:numId w:val="1016"/>
        </w:numPr>
        <w:pStyle w:val="Compact"/>
      </w:pPr>
      <w:r>
        <w:t xml:space="preserve">registros de prueba/internos;</w:t>
      </w:r>
    </w:p>
    <w:p>
      <w:pPr>
        <w:numPr>
          <w:ilvl w:val="0"/>
          <w:numId w:val="1016"/>
        </w:numPr>
        <w:pStyle w:val="Compact"/>
      </w:pPr>
      <w:r>
        <w:t xml:space="preserve">cancelaciones/devoluciones;</w:t>
      </w:r>
    </w:p>
    <w:p>
      <w:pPr>
        <w:numPr>
          <w:ilvl w:val="0"/>
          <w:numId w:val="1016"/>
        </w:numPr>
        <w:pStyle w:val="Compact"/>
      </w:pPr>
      <w:r>
        <w:t xml:space="preserve">datos tardíos;</w:t>
      </w:r>
    </w:p>
    <w:p>
      <w:pPr>
        <w:numPr>
          <w:ilvl w:val="0"/>
          <w:numId w:val="1016"/>
        </w:numPr>
        <w:pStyle w:val="Compact"/>
      </w:pPr>
      <w:r>
        <w:t xml:space="preserve">lógica snapshot versus transacción.</w:t>
      </w:r>
    </w:p>
    <w:p>
      <w:pPr>
        <w:pStyle w:val="FirstParagraph"/>
      </w:pPr>
      <w:r>
        <w:t xml:space="preserve">Un tablero no debe ocultar un filtro que cambie la historia aparente.</w:t>
      </w:r>
    </w:p>
    <w:bookmarkEnd w:id="37"/>
    <w:bookmarkStart w:id="38" w:name="calidad-de-datos"/>
    <w:p>
      <w:pPr>
        <w:pStyle w:val="Heading2"/>
      </w:pPr>
      <w:r>
        <w:t xml:space="preserve">Calidad de datos</w:t>
      </w:r>
    </w:p>
    <w:p>
      <w:pPr>
        <w:pStyle w:val="FirstParagraph"/>
      </w:pPr>
      <w:r>
        <w:t xml:space="preserve">Dimensiones comunes:</w:t>
      </w:r>
    </w:p>
    <w:p>
      <w:pPr>
        <w:numPr>
          <w:ilvl w:val="0"/>
          <w:numId w:val="1017"/>
        </w:numPr>
        <w:pStyle w:val="Compact"/>
      </w:pPr>
      <w:r>
        <w:t xml:space="preserve">completitud;</w:t>
      </w:r>
    </w:p>
    <w:p>
      <w:pPr>
        <w:numPr>
          <w:ilvl w:val="0"/>
          <w:numId w:val="1017"/>
        </w:numPr>
        <w:pStyle w:val="Compact"/>
      </w:pPr>
      <w:r>
        <w:t xml:space="preserve">exactitud;</w:t>
      </w:r>
    </w:p>
    <w:p>
      <w:pPr>
        <w:numPr>
          <w:ilvl w:val="0"/>
          <w:numId w:val="1017"/>
        </w:numPr>
        <w:pStyle w:val="Compact"/>
      </w:pPr>
      <w:r>
        <w:t xml:space="preserve">consistencia;</w:t>
      </w:r>
    </w:p>
    <w:p>
      <w:pPr>
        <w:numPr>
          <w:ilvl w:val="0"/>
          <w:numId w:val="1017"/>
        </w:numPr>
        <w:pStyle w:val="Compact"/>
      </w:pPr>
      <w:r>
        <w:t xml:space="preserve">validez;</w:t>
      </w:r>
    </w:p>
    <w:p>
      <w:pPr>
        <w:numPr>
          <w:ilvl w:val="0"/>
          <w:numId w:val="1017"/>
        </w:numPr>
        <w:pStyle w:val="Compact"/>
      </w:pPr>
      <w:r>
        <w:t xml:space="preserve">oportunidad;</w:t>
      </w:r>
    </w:p>
    <w:p>
      <w:pPr>
        <w:numPr>
          <w:ilvl w:val="0"/>
          <w:numId w:val="1017"/>
        </w:numPr>
        <w:pStyle w:val="Compact"/>
      </w:pPr>
      <w:r>
        <w:t xml:space="preserve">unicidad;</w:t>
      </w:r>
    </w:p>
    <w:p>
      <w:pPr>
        <w:numPr>
          <w:ilvl w:val="0"/>
          <w:numId w:val="1017"/>
        </w:numPr>
        <w:pStyle w:val="Compact"/>
      </w:pPr>
      <w:r>
        <w:t xml:space="preserve">integridad;</w:t>
      </w:r>
    </w:p>
    <w:p>
      <w:pPr>
        <w:numPr>
          <w:ilvl w:val="0"/>
          <w:numId w:val="1017"/>
        </w:numPr>
        <w:pStyle w:val="Compact"/>
      </w:pPr>
      <w:r>
        <w:t xml:space="preserve">trazabilidad.</w:t>
      </w:r>
    </w:p>
    <w:p>
      <w:pPr>
        <w:pStyle w:val="FirstParagraph"/>
      </w:pPr>
      <w:r>
        <w:t xml:space="preserve">Un campo lleno no necesariamente es correcto.</w:t>
      </w:r>
    </w:p>
    <w:p>
      <w:pPr>
        <w:pStyle w:val="BodyText"/>
      </w:pPr>
      <w:r>
        <w:t xml:space="preserve">Rutina útil:</w:t>
      </w:r>
    </w:p>
    <w:p>
      <w:pPr>
        <w:numPr>
          <w:ilvl w:val="0"/>
          <w:numId w:val="1018"/>
        </w:numPr>
        <w:pStyle w:val="Compact"/>
      </w:pPr>
      <w:r>
        <w:t xml:space="preserve">compare conteos con rangos esperados;</w:t>
      </w:r>
    </w:p>
    <w:p>
      <w:pPr>
        <w:numPr>
          <w:ilvl w:val="0"/>
          <w:numId w:val="1018"/>
        </w:numPr>
        <w:pStyle w:val="Compact"/>
      </w:pPr>
      <w:r>
        <w:t xml:space="preserve">revise claves duplicadas;</w:t>
      </w:r>
    </w:p>
    <w:p>
      <w:pPr>
        <w:numPr>
          <w:ilvl w:val="0"/>
          <w:numId w:val="1018"/>
        </w:numPr>
        <w:pStyle w:val="Compact"/>
      </w:pPr>
      <w:r>
        <w:t xml:space="preserve">revise tasas de nulos;</w:t>
      </w:r>
    </w:p>
    <w:p>
      <w:pPr>
        <w:numPr>
          <w:ilvl w:val="0"/>
          <w:numId w:val="1018"/>
        </w:numPr>
        <w:pStyle w:val="Compact"/>
      </w:pPr>
      <w:r>
        <w:t xml:space="preserve">valide categorías;</w:t>
      </w:r>
    </w:p>
    <w:p>
      <w:pPr>
        <w:numPr>
          <w:ilvl w:val="0"/>
          <w:numId w:val="1018"/>
        </w:numPr>
        <w:pStyle w:val="Compact"/>
      </w:pPr>
      <w:r>
        <w:t xml:space="preserve">concilie totales con la fuente autorizada;</w:t>
      </w:r>
    </w:p>
    <w:p>
      <w:pPr>
        <w:numPr>
          <w:ilvl w:val="0"/>
          <w:numId w:val="1018"/>
        </w:numPr>
        <w:pStyle w:val="Compact"/>
      </w:pPr>
      <w:r>
        <w:t xml:space="preserve">pruebe fechas límite;</w:t>
      </w:r>
    </w:p>
    <w:p>
      <w:pPr>
        <w:numPr>
          <w:ilvl w:val="0"/>
          <w:numId w:val="1018"/>
        </w:numPr>
        <w:pStyle w:val="Compact"/>
      </w:pPr>
      <w:r>
        <w:t xml:space="preserve">muestree registros individuales;</w:t>
      </w:r>
    </w:p>
    <w:p>
      <w:pPr>
        <w:numPr>
          <w:ilvl w:val="0"/>
          <w:numId w:val="1018"/>
        </w:numPr>
        <w:pStyle w:val="Compact"/>
      </w:pPr>
      <w:r>
        <w:t xml:space="preserve">compare timestamps de actualización;</w:t>
      </w:r>
    </w:p>
    <w:p>
      <w:pPr>
        <w:numPr>
          <w:ilvl w:val="0"/>
          <w:numId w:val="1018"/>
        </w:numPr>
        <w:pStyle w:val="Compact"/>
      </w:pPr>
      <w:r>
        <w:t xml:space="preserve">documente excepciones;</w:t>
      </w:r>
    </w:p>
    <w:p>
      <w:pPr>
        <w:numPr>
          <w:ilvl w:val="0"/>
          <w:numId w:val="1018"/>
        </w:numPr>
        <w:pStyle w:val="Compact"/>
      </w:pPr>
      <w:r>
        <w:t xml:space="preserve">detenga la publicación si queda una discrepancia material sin resolver.</w:t>
      </w:r>
    </w:p>
    <w:bookmarkEnd w:id="38"/>
    <w:bookmarkStart w:id="39" w:name="conciliación"/>
    <w:p>
      <w:pPr>
        <w:pStyle w:val="Heading2"/>
      </w:pPr>
      <w:r>
        <w:t xml:space="preserve">Conciliación</w:t>
      </w:r>
    </w:p>
    <w:p>
      <w:pPr>
        <w:pStyle w:val="FirstParagraph"/>
      </w:pPr>
      <w:r>
        <w:t xml:space="preserve">Antes de publicar un tablero crítico para decisiones, concílielo.</w:t>
      </w:r>
    </w:p>
    <w:p>
      <w:pPr>
        <w:pStyle w:val="BodyText"/>
      </w:pPr>
      <w:r>
        <w:t xml:space="preserve">Ejemplos:</w:t>
      </w:r>
    </w:p>
    <w:p>
      <w:pPr>
        <w:numPr>
          <w:ilvl w:val="0"/>
          <w:numId w:val="1019"/>
        </w:numPr>
        <w:pStyle w:val="Compact"/>
      </w:pPr>
      <w:r>
        <w:t xml:space="preserve">ingresos BI contra fuente aprobada por finanzas;</w:t>
      </w:r>
    </w:p>
    <w:p>
      <w:pPr>
        <w:numPr>
          <w:ilvl w:val="0"/>
          <w:numId w:val="1019"/>
        </w:numPr>
        <w:pStyle w:val="Compact"/>
      </w:pPr>
      <w:r>
        <w:t xml:space="preserve">conteos de órdenes contra sistema operacional;</w:t>
      </w:r>
    </w:p>
    <w:p>
      <w:pPr>
        <w:numPr>
          <w:ilvl w:val="0"/>
          <w:numId w:val="1019"/>
        </w:numPr>
        <w:pStyle w:val="Compact"/>
      </w:pPr>
      <w:r>
        <w:t xml:space="preserve">headcount contra fuente designada por RR. HH.;</w:t>
      </w:r>
    </w:p>
    <w:p>
      <w:pPr>
        <w:numPr>
          <w:ilvl w:val="0"/>
          <w:numId w:val="1019"/>
        </w:numPr>
        <w:pStyle w:val="Compact"/>
      </w:pPr>
      <w:r>
        <w:t xml:space="preserve">clientes contra maestro gobernado;</w:t>
      </w:r>
    </w:p>
    <w:p>
      <w:pPr>
        <w:numPr>
          <w:ilvl w:val="0"/>
          <w:numId w:val="1019"/>
        </w:numPr>
        <w:pStyle w:val="Compact"/>
      </w:pPr>
      <w:r>
        <w:t xml:space="preserve">inventario contra registro autorizado.</w:t>
      </w:r>
    </w:p>
    <w:p>
      <w:pPr>
        <w:pStyle w:val="FirstParagraph"/>
      </w:pPr>
      <w:r>
        <w:t xml:space="preserve">Diferencias pequeñas pueden tener causas válidas. La tarea es explicarlas, no ocultarlas.</w:t>
      </w:r>
    </w:p>
    <w:bookmarkEnd w:id="39"/>
    <w:bookmarkStart w:id="40" w:name="Xa8356c7cbff038cd98e5fd6f00b3ae893729daf"/>
    <w:p>
      <w:pPr>
        <w:pStyle w:val="Heading2"/>
      </w:pPr>
      <w:r>
        <w:t xml:space="preserve">Estadística descriptiva e interpretación de tendencias</w:t>
      </w:r>
    </w:p>
    <w:p>
      <w:pPr>
        <w:pStyle w:val="FirstParagraph"/>
      </w:pPr>
      <w:r>
        <w:t xml:space="preserve">Conceptos útiles:</w:t>
      </w:r>
    </w:p>
    <w:p>
      <w:pPr>
        <w:numPr>
          <w:ilvl w:val="0"/>
          <w:numId w:val="1020"/>
        </w:numPr>
        <w:pStyle w:val="Compact"/>
      </w:pPr>
      <w:r>
        <w:t xml:space="preserve">media;</w:t>
      </w:r>
    </w:p>
    <w:p>
      <w:pPr>
        <w:numPr>
          <w:ilvl w:val="0"/>
          <w:numId w:val="1020"/>
        </w:numPr>
        <w:pStyle w:val="Compact"/>
      </w:pPr>
      <w:r>
        <w:t xml:space="preserve">mediana;</w:t>
      </w:r>
    </w:p>
    <w:p>
      <w:pPr>
        <w:numPr>
          <w:ilvl w:val="0"/>
          <w:numId w:val="1020"/>
        </w:numPr>
        <w:pStyle w:val="Compact"/>
      </w:pPr>
      <w:r>
        <w:t xml:space="preserve">percentiles;</w:t>
      </w:r>
    </w:p>
    <w:p>
      <w:pPr>
        <w:numPr>
          <w:ilvl w:val="0"/>
          <w:numId w:val="1020"/>
        </w:numPr>
        <w:pStyle w:val="Compact"/>
      </w:pPr>
      <w:r>
        <w:t xml:space="preserve">tasas/ratios;</w:t>
      </w:r>
    </w:p>
    <w:p>
      <w:pPr>
        <w:numPr>
          <w:ilvl w:val="0"/>
          <w:numId w:val="1020"/>
        </w:numPr>
        <w:pStyle w:val="Compact"/>
      </w:pPr>
      <w:r>
        <w:t xml:space="preserve">distribución;</w:t>
      </w:r>
    </w:p>
    <w:p>
      <w:pPr>
        <w:numPr>
          <w:ilvl w:val="0"/>
          <w:numId w:val="1020"/>
        </w:numPr>
        <w:pStyle w:val="Compact"/>
      </w:pPr>
      <w:r>
        <w:t xml:space="preserve">varianza;</w:t>
      </w:r>
    </w:p>
    <w:p>
      <w:pPr>
        <w:numPr>
          <w:ilvl w:val="0"/>
          <w:numId w:val="1020"/>
        </w:numPr>
        <w:pStyle w:val="Compact"/>
      </w:pPr>
      <w:r>
        <w:t xml:space="preserve">desviación estándar;</w:t>
      </w:r>
    </w:p>
    <w:p>
      <w:pPr>
        <w:numPr>
          <w:ilvl w:val="0"/>
          <w:numId w:val="1020"/>
        </w:numPr>
        <w:pStyle w:val="Compact"/>
      </w:pPr>
      <w:r>
        <w:t xml:space="preserve">crecimiento;</w:t>
      </w:r>
    </w:p>
    <w:p>
      <w:pPr>
        <w:numPr>
          <w:ilvl w:val="0"/>
          <w:numId w:val="1020"/>
        </w:numPr>
        <w:pStyle w:val="Compact"/>
      </w:pPr>
      <w:r>
        <w:t xml:space="preserve">promedio móvil;</w:t>
      </w:r>
    </w:p>
    <w:p>
      <w:pPr>
        <w:numPr>
          <w:ilvl w:val="0"/>
          <w:numId w:val="1020"/>
        </w:numPr>
        <w:pStyle w:val="Compact"/>
      </w:pPr>
      <w:r>
        <w:t xml:space="preserve">estacionalidad;</w:t>
      </w:r>
    </w:p>
    <w:p>
      <w:pPr>
        <w:numPr>
          <w:ilvl w:val="0"/>
          <w:numId w:val="1020"/>
        </w:numPr>
        <w:pStyle w:val="Compact"/>
      </w:pPr>
      <w:r>
        <w:t xml:space="preserve">cohortes;</w:t>
      </w:r>
    </w:p>
    <w:p>
      <w:pPr>
        <w:numPr>
          <w:ilvl w:val="0"/>
          <w:numId w:val="1020"/>
        </w:numPr>
        <w:pStyle w:val="Compact"/>
      </w:pPr>
      <w:r>
        <w:t xml:space="preserve">efecto del denominador.</w:t>
      </w:r>
    </w:p>
    <w:p>
      <w:pPr>
        <w:pStyle w:val="FirstParagraph"/>
      </w:pPr>
      <w:r>
        <w:t xml:space="preserve">Evite sobreafirmar. Que dos variables se muevan juntas no prueba causalidad.</w:t>
      </w:r>
    </w:p>
    <w:bookmarkEnd w:id="40"/>
    <w:bookmarkStart w:id="42" w:name="tableros-y-visualización"/>
    <w:p>
      <w:pPr>
        <w:pStyle w:val="Heading2"/>
      </w:pPr>
      <w:r>
        <w:t xml:space="preserve">Tableros y visualización</w:t>
      </w:r>
    </w:p>
    <w:p>
      <w:pPr>
        <w:pStyle w:val="FirstParagraph"/>
      </w:pPr>
      <w:r>
        <w:t xml:space="preserve">Un tablero útil responde preguntas con rapidez.</w:t>
      </w:r>
    </w:p>
    <w:p>
      <w:pPr>
        <w:pStyle w:val="BodyText"/>
      </w:pPr>
      <w:r>
        <w:t xml:space="preserve">Buenas prácticas:</w:t>
      </w:r>
    </w:p>
    <w:p>
      <w:pPr>
        <w:numPr>
          <w:ilvl w:val="0"/>
          <w:numId w:val="1021"/>
        </w:numPr>
        <w:pStyle w:val="Compact"/>
      </w:pPr>
      <w:r>
        <w:t xml:space="preserve">título y propósito claros;</w:t>
      </w:r>
    </w:p>
    <w:p>
      <w:pPr>
        <w:numPr>
          <w:ilvl w:val="0"/>
          <w:numId w:val="1021"/>
        </w:numPr>
        <w:pStyle w:val="Compact"/>
      </w:pPr>
      <w:r>
        <w:t xml:space="preserve">período visible;</w:t>
      </w:r>
    </w:p>
    <w:p>
      <w:pPr>
        <w:numPr>
          <w:ilvl w:val="0"/>
          <w:numId w:val="1021"/>
        </w:numPr>
        <w:pStyle w:val="Compact"/>
      </w:pPr>
      <w:r>
        <w:t xml:space="preserve">unidades claras;</w:t>
      </w:r>
    </w:p>
    <w:p>
      <w:pPr>
        <w:numPr>
          <w:ilvl w:val="0"/>
          <w:numId w:val="1021"/>
        </w:numPr>
        <w:pStyle w:val="Compact"/>
      </w:pPr>
      <w:r>
        <w:t xml:space="preserve">escalas coherentes;</w:t>
      </w:r>
    </w:p>
    <w:p>
      <w:pPr>
        <w:numPr>
          <w:ilvl w:val="0"/>
          <w:numId w:val="1021"/>
        </w:numPr>
        <w:pStyle w:val="Compact"/>
      </w:pPr>
      <w:r>
        <w:t xml:space="preserve">variedad limitada de gráficos;</w:t>
      </w:r>
    </w:p>
    <w:p>
      <w:pPr>
        <w:numPr>
          <w:ilvl w:val="0"/>
          <w:numId w:val="1021"/>
        </w:numPr>
        <w:pStyle w:val="Compact"/>
      </w:pPr>
      <w:r>
        <w:t xml:space="preserve">etiquetas legibles;</w:t>
      </w:r>
    </w:p>
    <w:p>
      <w:pPr>
        <w:numPr>
          <w:ilvl w:val="0"/>
          <w:numId w:val="1021"/>
        </w:numPr>
        <w:pStyle w:val="Compact"/>
      </w:pPr>
      <w:r>
        <w:t xml:space="preserve">ordenamiento útil;</w:t>
      </w:r>
    </w:p>
    <w:p>
      <w:pPr>
        <w:numPr>
          <w:ilvl w:val="0"/>
          <w:numId w:val="1021"/>
        </w:numPr>
        <w:pStyle w:val="Compact"/>
      </w:pPr>
      <w:r>
        <w:t xml:space="preserve">filtros claros;</w:t>
      </w:r>
    </w:p>
    <w:p>
      <w:pPr>
        <w:numPr>
          <w:ilvl w:val="0"/>
          <w:numId w:val="1021"/>
        </w:numPr>
        <w:pStyle w:val="Compact"/>
      </w:pPr>
      <w:r>
        <w:t xml:space="preserve">definiciones para métricas ambiguas;</w:t>
      </w:r>
    </w:p>
    <w:p>
      <w:pPr>
        <w:numPr>
          <w:ilvl w:val="0"/>
          <w:numId w:val="1021"/>
        </w:numPr>
        <w:pStyle w:val="Compact"/>
      </w:pPr>
      <w:r>
        <w:t xml:space="preserve">acceso al detalle cuando corresponda.</w:t>
      </w:r>
    </w:p>
    <w:bookmarkStart w:id="41" w:name="selección-de-gráficos"/>
    <w:p>
      <w:pPr>
        <w:pStyle w:val="Heading3"/>
      </w:pPr>
      <w:r>
        <w:t xml:space="preserve">Selección de gráficos</w:t>
      </w:r>
    </w:p>
    <w:p>
      <w:pPr>
        <w:numPr>
          <w:ilvl w:val="0"/>
          <w:numId w:val="1022"/>
        </w:numPr>
        <w:pStyle w:val="Compact"/>
      </w:pPr>
      <w:r>
        <w:t xml:space="preserve">barras: comparar categorías;</w:t>
      </w:r>
    </w:p>
    <w:p>
      <w:pPr>
        <w:numPr>
          <w:ilvl w:val="0"/>
          <w:numId w:val="1022"/>
        </w:numPr>
        <w:pStyle w:val="Compact"/>
      </w:pPr>
      <w:r>
        <w:t xml:space="preserve">línea: tendencia temporal;</w:t>
      </w:r>
    </w:p>
    <w:p>
      <w:pPr>
        <w:numPr>
          <w:ilvl w:val="0"/>
          <w:numId w:val="1022"/>
        </w:numPr>
        <w:pStyle w:val="Compact"/>
      </w:pPr>
      <w:r>
        <w:t xml:space="preserve">dispersión: relación entre variables numéricas;</w:t>
      </w:r>
    </w:p>
    <w:p>
      <w:pPr>
        <w:numPr>
          <w:ilvl w:val="0"/>
          <w:numId w:val="1022"/>
        </w:numPr>
        <w:pStyle w:val="Compact"/>
      </w:pPr>
      <w:r>
        <w:t xml:space="preserve">tabla: detalle exacto;</w:t>
      </w:r>
    </w:p>
    <w:p>
      <w:pPr>
        <w:numPr>
          <w:ilvl w:val="0"/>
          <w:numId w:val="1022"/>
        </w:numPr>
        <w:pStyle w:val="Compact"/>
      </w:pPr>
      <w:r>
        <w:t xml:space="preserve">tarjeta KPI: una medida principal bien definida;</w:t>
      </w:r>
    </w:p>
    <w:p>
      <w:pPr>
        <w:numPr>
          <w:ilvl w:val="0"/>
          <w:numId w:val="1022"/>
        </w:numPr>
        <w:pStyle w:val="Compact"/>
      </w:pPr>
      <w:r>
        <w:t xml:space="preserve">histograma: distribución;</w:t>
      </w:r>
    </w:p>
    <w:p>
      <w:pPr>
        <w:numPr>
          <w:ilvl w:val="0"/>
          <w:numId w:val="1022"/>
        </w:numPr>
        <w:pStyle w:val="Compact"/>
      </w:pPr>
      <w:r>
        <w:t xml:space="preserve">mapa: solo cuando la geografía realmente importa y la interpretación geográfica es válida.</w:t>
      </w:r>
    </w:p>
    <w:p>
      <w:pPr>
        <w:pStyle w:val="FirstParagraph"/>
      </w:pPr>
      <w:r>
        <w:t xml:space="preserve">Evite gráficos decorativos que dificulten comparar.</w:t>
      </w:r>
    </w:p>
    <w:bookmarkEnd w:id="41"/>
    <w:bookmarkEnd w:id="42"/>
    <w:bookmarkStart w:id="43" w:name="evitar-visualizaciones-engañosas"/>
    <w:p>
      <w:pPr>
        <w:pStyle w:val="Heading2"/>
      </w:pPr>
      <w:r>
        <w:t xml:space="preserve">Evitar visualizaciones engañosas</w:t>
      </w:r>
    </w:p>
    <w:p>
      <w:pPr>
        <w:pStyle w:val="FirstParagraph"/>
      </w:pPr>
      <w:r>
        <w:t xml:space="preserve">No:</w:t>
      </w:r>
    </w:p>
    <w:p>
      <w:pPr>
        <w:numPr>
          <w:ilvl w:val="0"/>
          <w:numId w:val="1023"/>
        </w:numPr>
        <w:pStyle w:val="Compact"/>
      </w:pPr>
      <w:r>
        <w:t xml:space="preserve">recorte ejes para exagerar diferencias sin explicarlo;</w:t>
      </w:r>
    </w:p>
    <w:p>
      <w:pPr>
        <w:numPr>
          <w:ilvl w:val="0"/>
          <w:numId w:val="1023"/>
        </w:numPr>
        <w:pStyle w:val="Compact"/>
      </w:pPr>
      <w:r>
        <w:t xml:space="preserve">use escalas inconsistentes para crear una impresión deseada;</w:t>
      </w:r>
    </w:p>
    <w:p>
      <w:pPr>
        <w:numPr>
          <w:ilvl w:val="0"/>
          <w:numId w:val="1023"/>
        </w:numPr>
        <w:pStyle w:val="Compact"/>
      </w:pPr>
      <w:r>
        <w:t xml:space="preserve">compare períodos incompatibles sin explicación;</w:t>
      </w:r>
    </w:p>
    <w:p>
      <w:pPr>
        <w:numPr>
          <w:ilvl w:val="0"/>
          <w:numId w:val="1023"/>
        </w:numPr>
        <w:pStyle w:val="Compact"/>
      </w:pPr>
      <w:r>
        <w:t xml:space="preserve">oculte datos faltantes;</w:t>
      </w:r>
    </w:p>
    <w:p>
      <w:pPr>
        <w:numPr>
          <w:ilvl w:val="0"/>
          <w:numId w:val="1023"/>
        </w:numPr>
        <w:pStyle w:val="Compact"/>
      </w:pPr>
      <w:r>
        <w:t xml:space="preserve">use efectos de área/volumen que distorsionen magnitudes;</w:t>
      </w:r>
    </w:p>
    <w:p>
      <w:pPr>
        <w:numPr>
          <w:ilvl w:val="0"/>
          <w:numId w:val="1023"/>
        </w:numPr>
        <w:pStyle w:val="Compact"/>
      </w:pPr>
      <w:r>
        <w:t xml:space="preserve">use color como único medio para significado crítico;</w:t>
      </w:r>
    </w:p>
    <w:p>
      <w:pPr>
        <w:numPr>
          <w:ilvl w:val="0"/>
          <w:numId w:val="1023"/>
        </w:numPr>
        <w:pStyle w:val="Compact"/>
      </w:pPr>
      <w:r>
        <w:t xml:space="preserve">muestre precisión excesiva no soportada por la fuente;</w:t>
      </w:r>
    </w:p>
    <w:p>
      <w:pPr>
        <w:numPr>
          <w:ilvl w:val="0"/>
          <w:numId w:val="1023"/>
        </w:numPr>
        <w:pStyle w:val="Compact"/>
      </w:pPr>
      <w:r>
        <w:t xml:space="preserve">presente valores acumulados y de período como si fueran iguales.</w:t>
      </w:r>
    </w:p>
    <w:p>
      <w:pPr>
        <w:pStyle w:val="FirstParagraph"/>
      </w:pPr>
      <w:r>
        <w:t xml:space="preserve">La visualización forma parte de la integridad analítica.</w:t>
      </w:r>
    </w:p>
    <w:bookmarkEnd w:id="43"/>
    <w:bookmarkStart w:id="44" w:name="X4843c24a2da890973fa447ac6d8be6aac44c1b7"/>
    <w:p>
      <w:pPr>
        <w:pStyle w:val="Heading2"/>
      </w:pPr>
      <w:r>
        <w:t xml:space="preserve">Power BI, Tableau y habilidades transferibles</w:t>
      </w:r>
    </w:p>
    <w:p>
      <w:pPr>
        <w:pStyle w:val="FirstParagraph"/>
      </w:pPr>
      <w:r>
        <w:t xml:space="preserve">Las señales actuales incluyen</w:t>
      </w:r>
      <w:r>
        <w:t xml:space="preserve"> </w:t>
      </w:r>
      <w:r>
        <w:rPr>
          <w:bCs/>
          <w:b/>
        </w:rPr>
        <w:t xml:space="preserve">Power BI 20%</w:t>
      </w:r>
      <w:r>
        <w:t xml:space="preserve"> </w:t>
      </w:r>
      <w:r>
        <w:t xml:space="preserve">y</w:t>
      </w:r>
      <w:r>
        <w:t xml:space="preserve"> </w:t>
      </w:r>
      <w:r>
        <w:rPr>
          <w:bCs/>
          <w:b/>
        </w:rPr>
        <w:t xml:space="preserve">Tableau 19%</w:t>
      </w:r>
      <w:r>
        <w:t xml:space="preserve">.</w:t>
      </w:r>
    </w:p>
    <w:p>
      <w:pPr>
        <w:pStyle w:val="BodyText"/>
      </w:pPr>
      <w:r>
        <w:t xml:space="preserve">Conceptos transferibles:</w:t>
      </w:r>
    </w:p>
    <w:p>
      <w:pPr>
        <w:numPr>
          <w:ilvl w:val="0"/>
          <w:numId w:val="1024"/>
        </w:numPr>
        <w:pStyle w:val="Compact"/>
      </w:pPr>
      <w:r>
        <w:t xml:space="preserve">conexión a fuentes;</w:t>
      </w:r>
    </w:p>
    <w:p>
      <w:pPr>
        <w:numPr>
          <w:ilvl w:val="0"/>
          <w:numId w:val="1024"/>
        </w:numPr>
        <w:pStyle w:val="Compact"/>
      </w:pPr>
      <w:r>
        <w:t xml:space="preserve">relaciones/modelado;</w:t>
      </w:r>
    </w:p>
    <w:p>
      <w:pPr>
        <w:numPr>
          <w:ilvl w:val="0"/>
          <w:numId w:val="1024"/>
        </w:numPr>
        <w:pStyle w:val="Compact"/>
      </w:pPr>
      <w:r>
        <w:t xml:space="preserve">medidas/cálculos;</w:t>
      </w:r>
    </w:p>
    <w:p>
      <w:pPr>
        <w:numPr>
          <w:ilvl w:val="0"/>
          <w:numId w:val="1024"/>
        </w:numPr>
        <w:pStyle w:val="Compact"/>
      </w:pPr>
      <w:r>
        <w:t xml:space="preserve">filtros/contexto;</w:t>
      </w:r>
    </w:p>
    <w:p>
      <w:pPr>
        <w:numPr>
          <w:ilvl w:val="0"/>
          <w:numId w:val="1024"/>
        </w:numPr>
        <w:pStyle w:val="Compact"/>
      </w:pPr>
      <w:r>
        <w:t xml:space="preserve">drill-down/drill-through;</w:t>
      </w:r>
    </w:p>
    <w:p>
      <w:pPr>
        <w:numPr>
          <w:ilvl w:val="0"/>
          <w:numId w:val="1024"/>
        </w:numPr>
        <w:pStyle w:val="Compact"/>
      </w:pPr>
      <w:r>
        <w:t xml:space="preserve">seguridad a nivel de fila;</w:t>
      </w:r>
    </w:p>
    <w:p>
      <w:pPr>
        <w:numPr>
          <w:ilvl w:val="0"/>
          <w:numId w:val="1024"/>
        </w:numPr>
        <w:pStyle w:val="Compact"/>
      </w:pPr>
      <w:r>
        <w:t xml:space="preserve">actualización;</w:t>
      </w:r>
    </w:p>
    <w:p>
      <w:pPr>
        <w:numPr>
          <w:ilvl w:val="0"/>
          <w:numId w:val="1024"/>
        </w:numPr>
        <w:pStyle w:val="Compact"/>
      </w:pPr>
      <w:r>
        <w:t xml:space="preserve">rendimiento;</w:t>
      </w:r>
    </w:p>
    <w:p>
      <w:pPr>
        <w:numPr>
          <w:ilvl w:val="0"/>
          <w:numId w:val="1024"/>
        </w:numPr>
        <w:pStyle w:val="Compact"/>
      </w:pPr>
      <w:r>
        <w:t xml:space="preserve">workspaces/despliegue;</w:t>
      </w:r>
    </w:p>
    <w:p>
      <w:pPr>
        <w:numPr>
          <w:ilvl w:val="0"/>
          <w:numId w:val="1024"/>
        </w:numPr>
        <w:pStyle w:val="Compact"/>
      </w:pPr>
      <w:r>
        <w:t xml:space="preserve">diseño visual;</w:t>
      </w:r>
    </w:p>
    <w:p>
      <w:pPr>
        <w:numPr>
          <w:ilvl w:val="0"/>
          <w:numId w:val="1024"/>
        </w:numPr>
        <w:pStyle w:val="Compact"/>
      </w:pPr>
      <w:r>
        <w:t xml:space="preserve">compartir de forma gobernada.</w:t>
      </w:r>
    </w:p>
    <w:p>
      <w:pPr>
        <w:pStyle w:val="FirstParagraph"/>
      </w:pPr>
      <w:r>
        <w:t xml:space="preserve">Comprender estos conceptos facilita aprender otras plataformas.</w:t>
      </w:r>
    </w:p>
    <w:bookmarkEnd w:id="44"/>
    <w:bookmarkStart w:id="45" w:name="señales-tecnológicas-actuales-en-ee-uu"/>
    <w:p>
      <w:pPr>
        <w:pStyle w:val="Heading2"/>
      </w:pPr>
      <w:r>
        <w:t xml:space="preserve">Señales tecnológicas actuales en EE. UU.</w:t>
      </w:r>
    </w:p>
    <w:p>
      <w:pPr>
        <w:pStyle w:val="FirstParagraph"/>
      </w:pPr>
      <w:r>
        <w:t xml:space="preserve">O*NET/Lightcast para publicaciones de 2025 muestra:</w:t>
      </w:r>
    </w:p>
    <w:p>
      <w:pPr>
        <w:numPr>
          <w:ilvl w:val="0"/>
          <w:numId w:val="1025"/>
        </w:numPr>
        <w:pStyle w:val="Compact"/>
      </w:pPr>
      <w:r>
        <w:t xml:space="preserve">SQL</w:t>
      </w:r>
      <w:r>
        <w:t xml:space="preserve"> </w:t>
      </w:r>
      <w:r>
        <w:rPr>
          <w:bCs/>
          <w:b/>
        </w:rPr>
        <w:t xml:space="preserve">35%</w:t>
      </w:r>
      <w:r>
        <w:t xml:space="preserve">;</w:t>
      </w:r>
    </w:p>
    <w:p>
      <w:pPr>
        <w:numPr>
          <w:ilvl w:val="0"/>
          <w:numId w:val="1025"/>
        </w:numPr>
        <w:pStyle w:val="Compact"/>
      </w:pPr>
      <w:r>
        <w:t xml:space="preserve">Microsoft Power BI</w:t>
      </w:r>
      <w:r>
        <w:t xml:space="preserve"> </w:t>
      </w:r>
      <w:r>
        <w:rPr>
          <w:bCs/>
          <w:b/>
        </w:rPr>
        <w:t xml:space="preserve">20%</w:t>
      </w:r>
      <w:r>
        <w:t xml:space="preserve">;</w:t>
      </w:r>
    </w:p>
    <w:p>
      <w:pPr>
        <w:numPr>
          <w:ilvl w:val="0"/>
          <w:numId w:val="1025"/>
        </w:numPr>
        <w:pStyle w:val="Compact"/>
      </w:pPr>
      <w:r>
        <w:t xml:space="preserve">Python</w:t>
      </w:r>
      <w:r>
        <w:t xml:space="preserve"> </w:t>
      </w:r>
      <w:r>
        <w:rPr>
          <w:bCs/>
          <w:b/>
        </w:rPr>
        <w:t xml:space="preserve">20%</w:t>
      </w:r>
      <w:r>
        <w:t xml:space="preserve">;</w:t>
      </w:r>
    </w:p>
    <w:p>
      <w:pPr>
        <w:numPr>
          <w:ilvl w:val="0"/>
          <w:numId w:val="1025"/>
        </w:numPr>
        <w:pStyle w:val="Compact"/>
      </w:pPr>
      <w:r>
        <w:t xml:space="preserve">Tableau</w:t>
      </w:r>
      <w:r>
        <w:t xml:space="preserve"> </w:t>
      </w:r>
      <w:r>
        <w:rPr>
          <w:bCs/>
          <w:b/>
        </w:rPr>
        <w:t xml:space="preserve">19%</w:t>
      </w:r>
      <w:r>
        <w:t xml:space="preserve">;</w:t>
      </w:r>
    </w:p>
    <w:p>
      <w:pPr>
        <w:numPr>
          <w:ilvl w:val="0"/>
          <w:numId w:val="1025"/>
        </w:numPr>
        <w:pStyle w:val="Compact"/>
      </w:pPr>
      <w:r>
        <w:t xml:space="preserve">SAP</w:t>
      </w:r>
      <w:r>
        <w:t xml:space="preserve"> </w:t>
      </w:r>
      <w:r>
        <w:rPr>
          <w:bCs/>
          <w:b/>
        </w:rPr>
        <w:t xml:space="preserve">19%</w:t>
      </w:r>
      <w:r>
        <w:t xml:space="preserve">;</w:t>
      </w:r>
    </w:p>
    <w:p>
      <w:pPr>
        <w:numPr>
          <w:ilvl w:val="0"/>
          <w:numId w:val="1025"/>
        </w:numPr>
        <w:pStyle w:val="Compact"/>
      </w:pPr>
      <w:r>
        <w:t xml:space="preserve">Microsoft Excel</w:t>
      </w:r>
      <w:r>
        <w:t xml:space="preserve"> </w:t>
      </w:r>
      <w:r>
        <w:rPr>
          <w:bCs/>
          <w:b/>
        </w:rPr>
        <w:t xml:space="preserve">17%</w:t>
      </w:r>
      <w:r>
        <w:t xml:space="preserve">;</w:t>
      </w:r>
    </w:p>
    <w:p>
      <w:pPr>
        <w:numPr>
          <w:ilvl w:val="0"/>
          <w:numId w:val="1025"/>
        </w:numPr>
        <w:pStyle w:val="Compact"/>
      </w:pPr>
      <w:r>
        <w:t xml:space="preserve">R</w:t>
      </w:r>
      <w:r>
        <w:t xml:space="preserve"> </w:t>
      </w:r>
      <w:r>
        <w:rPr>
          <w:bCs/>
          <w:b/>
        </w:rPr>
        <w:t xml:space="preserve">10%</w:t>
      </w:r>
      <w:r>
        <w:t xml:space="preserve">;</w:t>
      </w:r>
    </w:p>
    <w:p>
      <w:pPr>
        <w:numPr>
          <w:ilvl w:val="0"/>
          <w:numId w:val="1025"/>
        </w:numPr>
        <w:pStyle w:val="Compact"/>
      </w:pPr>
      <w:r>
        <w:t xml:space="preserve">AWS</w:t>
      </w:r>
      <w:r>
        <w:t xml:space="preserve"> </w:t>
      </w:r>
      <w:r>
        <w:rPr>
          <w:bCs/>
          <w:b/>
        </w:rPr>
        <w:t xml:space="preserve">9%</w:t>
      </w:r>
      <w:r>
        <w:t xml:space="preserve">;</w:t>
      </w:r>
    </w:p>
    <w:p>
      <w:pPr>
        <w:numPr>
          <w:ilvl w:val="0"/>
          <w:numId w:val="1025"/>
        </w:numPr>
        <w:pStyle w:val="Compact"/>
      </w:pPr>
      <w:r>
        <w:t xml:space="preserve">Microsoft PowerPoint</w:t>
      </w:r>
      <w:r>
        <w:t xml:space="preserve"> </w:t>
      </w:r>
      <w:r>
        <w:rPr>
          <w:bCs/>
          <w:b/>
        </w:rPr>
        <w:t xml:space="preserve">8%</w:t>
      </w:r>
      <w:r>
        <w:t xml:space="preserve">;</w:t>
      </w:r>
    </w:p>
    <w:p>
      <w:pPr>
        <w:numPr>
          <w:ilvl w:val="0"/>
          <w:numId w:val="1025"/>
        </w:numPr>
        <w:pStyle w:val="Compact"/>
      </w:pPr>
      <w:r>
        <w:t xml:space="preserve">Microsoft Office</w:t>
      </w:r>
      <w:r>
        <w:t xml:space="preserve"> </w:t>
      </w:r>
      <w:r>
        <w:rPr>
          <w:bCs/>
          <w:b/>
        </w:rPr>
        <w:t xml:space="preserve">8%</w:t>
      </w:r>
      <w:r>
        <w:t xml:space="preserve">;</w:t>
      </w:r>
    </w:p>
    <w:p>
      <w:pPr>
        <w:numPr>
          <w:ilvl w:val="0"/>
          <w:numId w:val="1025"/>
        </w:numPr>
        <w:pStyle w:val="Compact"/>
      </w:pPr>
      <w:r>
        <w:t xml:space="preserve">Microsoft Azure</w:t>
      </w:r>
      <w:r>
        <w:t xml:space="preserve"> </w:t>
      </w:r>
      <w:r>
        <w:rPr>
          <w:bCs/>
          <w:b/>
        </w:rPr>
        <w:t xml:space="preserve">8%</w:t>
      </w:r>
      <w:r>
        <w:t xml:space="preserve">;</w:t>
      </w:r>
    </w:p>
    <w:p>
      <w:pPr>
        <w:numPr>
          <w:ilvl w:val="0"/>
          <w:numId w:val="1025"/>
        </w:numPr>
        <w:pStyle w:val="Compact"/>
      </w:pPr>
      <w:r>
        <w:t xml:space="preserve">Snowflake</w:t>
      </w:r>
      <w:r>
        <w:t xml:space="preserve"> </w:t>
      </w:r>
      <w:r>
        <w:rPr>
          <w:bCs/>
          <w:b/>
        </w:rPr>
        <w:t xml:space="preserve">5%</w:t>
      </w:r>
      <w:r>
        <w:t xml:space="preserve">;</w:t>
      </w:r>
    </w:p>
    <w:p>
      <w:pPr>
        <w:numPr>
          <w:ilvl w:val="0"/>
          <w:numId w:val="1025"/>
        </w:numPr>
        <w:pStyle w:val="Compact"/>
      </w:pPr>
      <w:r>
        <w:t xml:space="preserve">SAS</w:t>
      </w:r>
      <w:r>
        <w:t xml:space="preserve"> </w:t>
      </w:r>
      <w:r>
        <w:rPr>
          <w:bCs/>
          <w:b/>
        </w:rPr>
        <w:t xml:space="preserve">5%</w:t>
      </w:r>
      <w:r>
        <w:t xml:space="preserve">;</w:t>
      </w:r>
    </w:p>
    <w:p>
      <w:pPr>
        <w:numPr>
          <w:ilvl w:val="0"/>
          <w:numId w:val="1025"/>
        </w:numPr>
        <w:pStyle w:val="Compact"/>
      </w:pPr>
      <w:r>
        <w:t xml:space="preserve">Salesforce</w:t>
      </w:r>
      <w:r>
        <w:t xml:space="preserve"> </w:t>
      </w:r>
      <w:r>
        <w:rPr>
          <w:bCs/>
          <w:b/>
        </w:rPr>
        <w:t xml:space="preserve">5%</w:t>
      </w:r>
      <w:r>
        <w:t xml:space="preserve">.</w:t>
      </w:r>
    </w:p>
    <w:p>
      <w:pPr>
        <w:pStyle w:val="FirstParagraph"/>
      </w:pPr>
      <w:r>
        <w:t xml:space="preserve">Son señales de mercado, no requisitos universales.</w:t>
      </w:r>
    </w:p>
    <w:bookmarkEnd w:id="45"/>
    <w:bookmarkStart w:id="46" w:name="excel-y-hojas-de-cálculo"/>
    <w:p>
      <w:pPr>
        <w:pStyle w:val="Heading2"/>
      </w:pPr>
      <w:r>
        <w:t xml:space="preserve">Excel y hojas de cálculo</w:t>
      </w:r>
    </w:p>
    <w:p>
      <w:pPr>
        <w:pStyle w:val="FirstParagraph"/>
      </w:pPr>
      <w:r>
        <w:t xml:space="preserve">Excel aparece en</w:t>
      </w:r>
      <w:r>
        <w:t xml:space="preserve"> </w:t>
      </w:r>
      <w:r>
        <w:rPr>
          <w:bCs/>
          <w:b/>
        </w:rPr>
        <w:t xml:space="preserve">17%</w:t>
      </w:r>
      <w:r>
        <w:t xml:space="preserve"> </w:t>
      </w:r>
      <w:r>
        <w:t xml:space="preserve">de publicaciones vinculadas actuales.</w:t>
      </w:r>
    </w:p>
    <w:p>
      <w:pPr>
        <w:pStyle w:val="BodyText"/>
      </w:pPr>
      <w:r>
        <w:t xml:space="preserve">Capacidades útiles:</w:t>
      </w:r>
    </w:p>
    <w:p>
      <w:pPr>
        <w:numPr>
          <w:ilvl w:val="0"/>
          <w:numId w:val="1026"/>
        </w:numPr>
        <w:pStyle w:val="Compact"/>
      </w:pPr>
      <w:r>
        <w:t xml:space="preserve">tablas estructuradas;</w:t>
      </w:r>
    </w:p>
    <w:p>
      <w:pPr>
        <w:numPr>
          <w:ilvl w:val="0"/>
          <w:numId w:val="1026"/>
        </w:numPr>
        <w:pStyle w:val="Compact"/>
      </w:pPr>
      <w:r>
        <w:t xml:space="preserve">fórmulas;</w:t>
      </w:r>
    </w:p>
    <w:p>
      <w:pPr>
        <w:numPr>
          <w:ilvl w:val="0"/>
          <w:numId w:val="1026"/>
        </w:numPr>
        <w:pStyle w:val="Compact"/>
      </w:pPr>
      <w:r>
        <w:t xml:space="preserve">búsquedas;</w:t>
      </w:r>
    </w:p>
    <w:p>
      <w:pPr>
        <w:numPr>
          <w:ilvl w:val="0"/>
          <w:numId w:val="1026"/>
        </w:numPr>
        <w:pStyle w:val="Compact"/>
      </w:pPr>
      <w:r>
        <w:t xml:space="preserve">tablas dinámicas;</w:t>
      </w:r>
    </w:p>
    <w:p>
      <w:pPr>
        <w:numPr>
          <w:ilvl w:val="0"/>
          <w:numId w:val="1026"/>
        </w:numPr>
        <w:pStyle w:val="Compact"/>
      </w:pPr>
      <w:r>
        <w:t xml:space="preserve">validación;</w:t>
      </w:r>
    </w:p>
    <w:p>
      <w:pPr>
        <w:numPr>
          <w:ilvl w:val="0"/>
          <w:numId w:val="1026"/>
        </w:numPr>
        <w:pStyle w:val="Compact"/>
      </w:pPr>
      <w:r>
        <w:t xml:space="preserve">gráficos;</w:t>
      </w:r>
    </w:p>
    <w:p>
      <w:pPr>
        <w:numPr>
          <w:ilvl w:val="0"/>
          <w:numId w:val="1026"/>
        </w:numPr>
        <w:pStyle w:val="Compact"/>
      </w:pPr>
      <w:r>
        <w:t xml:space="preserve">conceptos de Power Query;</w:t>
      </w:r>
    </w:p>
    <w:p>
      <w:pPr>
        <w:numPr>
          <w:ilvl w:val="0"/>
          <w:numId w:val="1026"/>
        </w:numPr>
        <w:pStyle w:val="Compact"/>
      </w:pPr>
      <w:r>
        <w:t xml:space="preserve">conciliación;</w:t>
      </w:r>
    </w:p>
    <w:p>
      <w:pPr>
        <w:numPr>
          <w:ilvl w:val="0"/>
          <w:numId w:val="1026"/>
        </w:numPr>
        <w:pStyle w:val="Compact"/>
      </w:pPr>
      <w:r>
        <w:t xml:space="preserve">importaciones/exportaciones controladas.</w:t>
      </w:r>
    </w:p>
    <w:p>
      <w:pPr>
        <w:pStyle w:val="FirstParagraph"/>
      </w:pPr>
      <w:r>
        <w:t xml:space="preserve">Las hojas se vuelven riesgosas cuando funcionan como bases de datos no documentadas o contienen lógica crítica manual oculta.</w:t>
      </w:r>
    </w:p>
    <w:bookmarkEnd w:id="46"/>
    <w:bookmarkStart w:id="47" w:name="python-y-r"/>
    <w:p>
      <w:pPr>
        <w:pStyle w:val="Heading2"/>
      </w:pPr>
      <w:r>
        <w:t xml:space="preserve">Python y R</w:t>
      </w:r>
    </w:p>
    <w:p>
      <w:pPr>
        <w:pStyle w:val="FirstParagraph"/>
      </w:pPr>
      <w:r>
        <w:t xml:space="preserve">Las señales incluyen</w:t>
      </w:r>
      <w:r>
        <w:t xml:space="preserve"> </w:t>
      </w:r>
      <w:r>
        <w:rPr>
          <w:bCs/>
          <w:b/>
        </w:rPr>
        <w:t xml:space="preserve">Python 20%</w:t>
      </w:r>
      <w:r>
        <w:t xml:space="preserve"> </w:t>
      </w:r>
      <w:r>
        <w:t xml:space="preserve">y</w:t>
      </w:r>
      <w:r>
        <w:t xml:space="preserve"> </w:t>
      </w:r>
      <w:r>
        <w:rPr>
          <w:bCs/>
          <w:b/>
        </w:rPr>
        <w:t xml:space="preserve">R 10%</w:t>
      </w:r>
      <w:r>
        <w:t xml:space="preserve">.</w:t>
      </w:r>
    </w:p>
    <w:p>
      <w:pPr>
        <w:pStyle w:val="BodyText"/>
      </w:pPr>
      <w:r>
        <w:t xml:space="preserve">Pueden ayudar con:</w:t>
      </w:r>
    </w:p>
    <w:p>
      <w:pPr>
        <w:numPr>
          <w:ilvl w:val="0"/>
          <w:numId w:val="1027"/>
        </w:numPr>
        <w:pStyle w:val="Compact"/>
      </w:pPr>
      <w:r>
        <w:t xml:space="preserve">limpieza;</w:t>
      </w:r>
    </w:p>
    <w:p>
      <w:pPr>
        <w:numPr>
          <w:ilvl w:val="0"/>
          <w:numId w:val="1027"/>
        </w:numPr>
        <w:pStyle w:val="Compact"/>
      </w:pPr>
      <w:r>
        <w:t xml:space="preserve">análisis repetible;</w:t>
      </w:r>
    </w:p>
    <w:p>
      <w:pPr>
        <w:numPr>
          <w:ilvl w:val="0"/>
          <w:numId w:val="1027"/>
        </w:numPr>
        <w:pStyle w:val="Compact"/>
      </w:pPr>
      <w:r>
        <w:t xml:space="preserve">APIs/archivos;</w:t>
      </w:r>
    </w:p>
    <w:p>
      <w:pPr>
        <w:numPr>
          <w:ilvl w:val="0"/>
          <w:numId w:val="1027"/>
        </w:numPr>
        <w:pStyle w:val="Compact"/>
      </w:pPr>
      <w:r>
        <w:t xml:space="preserve">estadística;</w:t>
      </w:r>
    </w:p>
    <w:p>
      <w:pPr>
        <w:numPr>
          <w:ilvl w:val="0"/>
          <w:numId w:val="1027"/>
        </w:numPr>
        <w:pStyle w:val="Compact"/>
      </w:pPr>
      <w:r>
        <w:t xml:space="preserve">automatización;</w:t>
      </w:r>
    </w:p>
    <w:p>
      <w:pPr>
        <w:numPr>
          <w:ilvl w:val="0"/>
          <w:numId w:val="1027"/>
        </w:numPr>
        <w:pStyle w:val="Compact"/>
      </w:pPr>
      <w:r>
        <w:t xml:space="preserve">validación;</w:t>
      </w:r>
    </w:p>
    <w:p>
      <w:pPr>
        <w:numPr>
          <w:ilvl w:val="0"/>
          <w:numId w:val="1027"/>
        </w:numPr>
        <w:pStyle w:val="Compact"/>
      </w:pPr>
      <w:r>
        <w:t xml:space="preserve">visualización.</w:t>
      </w:r>
    </w:p>
    <w:p>
      <w:pPr>
        <w:pStyle w:val="FirstParagraph"/>
      </w:pPr>
      <w:r>
        <w:t xml:space="preserve">No todos los empleos BI requieren programación avanzada. Aprenda según el rol objetivo.</w:t>
      </w:r>
    </w:p>
    <w:bookmarkEnd w:id="47"/>
    <w:bookmarkStart w:id="48" w:name="nube-y-plataformas-modernas-de-datos"/>
    <w:p>
      <w:pPr>
        <w:pStyle w:val="Heading2"/>
      </w:pPr>
      <w:r>
        <w:t xml:space="preserve">Nube y plataformas modernas de datos</w:t>
      </w:r>
    </w:p>
    <w:p>
      <w:pPr>
        <w:pStyle w:val="FirstParagraph"/>
      </w:pPr>
      <w:r>
        <w:t xml:space="preserve">Señales actuales incluyen AWS</w:t>
      </w:r>
      <w:r>
        <w:t xml:space="preserve"> </w:t>
      </w:r>
      <w:r>
        <w:rPr>
          <w:bCs/>
          <w:b/>
        </w:rPr>
        <w:t xml:space="preserve">9%</w:t>
      </w:r>
      <w:r>
        <w:t xml:space="preserve">, Azure</w:t>
      </w:r>
      <w:r>
        <w:t xml:space="preserve"> </w:t>
      </w:r>
      <w:r>
        <w:rPr>
          <w:bCs/>
          <w:b/>
        </w:rPr>
        <w:t xml:space="preserve">8%</w:t>
      </w:r>
      <w:r>
        <w:t xml:space="preserve"> </w:t>
      </w:r>
      <w:r>
        <w:t xml:space="preserve">y Snowflake</w:t>
      </w:r>
      <w:r>
        <w:t xml:space="preserve"> </w:t>
      </w:r>
      <w:r>
        <w:rPr>
          <w:bCs/>
          <w:b/>
        </w:rPr>
        <w:t xml:space="preserve">5%</w:t>
      </w:r>
      <w:r>
        <w:t xml:space="preserve">.</w:t>
      </w:r>
    </w:p>
    <w:p>
      <w:pPr>
        <w:pStyle w:val="BodyText"/>
      </w:pPr>
      <w:r>
        <w:t xml:space="preserve">Conceptos útiles:</w:t>
      </w:r>
    </w:p>
    <w:p>
      <w:pPr>
        <w:numPr>
          <w:ilvl w:val="0"/>
          <w:numId w:val="1028"/>
        </w:numPr>
        <w:pStyle w:val="Compact"/>
      </w:pPr>
      <w:r>
        <w:t xml:space="preserve">almacenamiento/warehouse en nube;</w:t>
      </w:r>
    </w:p>
    <w:p>
      <w:pPr>
        <w:numPr>
          <w:ilvl w:val="0"/>
          <w:numId w:val="1028"/>
        </w:numPr>
        <w:pStyle w:val="Compact"/>
      </w:pPr>
      <w:r>
        <w:t xml:space="preserve">identidad y acceso;</w:t>
      </w:r>
    </w:p>
    <w:p>
      <w:pPr>
        <w:numPr>
          <w:ilvl w:val="0"/>
          <w:numId w:val="1028"/>
        </w:numPr>
        <w:pStyle w:val="Compact"/>
      </w:pPr>
      <w:r>
        <w:t xml:space="preserve">separación de cómputo/consulta;</w:t>
      </w:r>
    </w:p>
    <w:p>
      <w:pPr>
        <w:numPr>
          <w:ilvl w:val="0"/>
          <w:numId w:val="1028"/>
        </w:numPr>
        <w:pStyle w:val="Compact"/>
      </w:pPr>
      <w:r>
        <w:t xml:space="preserve">pipelines programados;</w:t>
      </w:r>
    </w:p>
    <w:p>
      <w:pPr>
        <w:numPr>
          <w:ilvl w:val="0"/>
          <w:numId w:val="1028"/>
        </w:numPr>
        <w:pStyle w:val="Compact"/>
      </w:pPr>
      <w:r>
        <w:t xml:space="preserve">actualización;</w:t>
      </w:r>
    </w:p>
    <w:p>
      <w:pPr>
        <w:numPr>
          <w:ilvl w:val="0"/>
          <w:numId w:val="1028"/>
        </w:numPr>
        <w:pStyle w:val="Compact"/>
      </w:pPr>
      <w:r>
        <w:t xml:space="preserve">conciencia de costos;</w:t>
      </w:r>
    </w:p>
    <w:p>
      <w:pPr>
        <w:numPr>
          <w:ilvl w:val="0"/>
          <w:numId w:val="1028"/>
        </w:numPr>
        <w:pStyle w:val="Compact"/>
      </w:pPr>
      <w:r>
        <w:t xml:space="preserve">compartir gobernado;</w:t>
      </w:r>
    </w:p>
    <w:p>
      <w:pPr>
        <w:numPr>
          <w:ilvl w:val="0"/>
          <w:numId w:val="1028"/>
        </w:numPr>
        <w:pStyle w:val="Compact"/>
      </w:pPr>
      <w:r>
        <w:t xml:space="preserve">logs/monitoreo;</w:t>
      </w:r>
    </w:p>
    <w:p>
      <w:pPr>
        <w:numPr>
          <w:ilvl w:val="0"/>
          <w:numId w:val="1028"/>
        </w:numPr>
        <w:pStyle w:val="Compact"/>
      </w:pPr>
      <w:r>
        <w:t xml:space="preserve">gestión de secretos.</w:t>
      </w:r>
    </w:p>
    <w:p>
      <w:pPr>
        <w:pStyle w:val="FirstParagraph"/>
      </w:pPr>
      <w:r>
        <w:t xml:space="preserve">Un analista debe entender suficiente arquitectura para usar datos con seguridad sin atribuirse autoridad de arquitecto de nube o seguridad.</w:t>
      </w:r>
    </w:p>
    <w:bookmarkEnd w:id="48"/>
    <w:bookmarkStart w:id="49" w:name="Xa782f9875b3c57e8dd59327c576de4814cd6aef"/>
    <w:p>
      <w:pPr>
        <w:pStyle w:val="Heading2"/>
      </w:pPr>
      <w:r>
        <w:t xml:space="preserve">Requerimientos y comunicación con stakeholders</w:t>
      </w:r>
    </w:p>
    <w:p>
      <w:pPr>
        <w:pStyle w:val="FirstParagraph"/>
      </w:pPr>
      <w:r>
        <w:t xml:space="preserve">BI falla con frecuencia porque el resultado técnico responde otra pregunta.</w:t>
      </w:r>
    </w:p>
    <w:p>
      <w:pPr>
        <w:pStyle w:val="BodyText"/>
      </w:pPr>
      <w:r>
        <w:t xml:space="preserve">Aclare:</w:t>
      </w:r>
    </w:p>
    <w:p>
      <w:pPr>
        <w:numPr>
          <w:ilvl w:val="0"/>
          <w:numId w:val="1029"/>
        </w:numPr>
        <w:pStyle w:val="Compact"/>
      </w:pPr>
      <w:r>
        <w:t xml:space="preserve">decisión deseada;</w:t>
      </w:r>
    </w:p>
    <w:p>
      <w:pPr>
        <w:numPr>
          <w:ilvl w:val="0"/>
          <w:numId w:val="1029"/>
        </w:numPr>
        <w:pStyle w:val="Compact"/>
      </w:pPr>
      <w:r>
        <w:t xml:space="preserve">audiencia;</w:t>
      </w:r>
    </w:p>
    <w:p>
      <w:pPr>
        <w:numPr>
          <w:ilvl w:val="0"/>
          <w:numId w:val="1029"/>
        </w:numPr>
        <w:pStyle w:val="Compact"/>
      </w:pPr>
      <w:r>
        <w:t xml:space="preserve">definiciones;</w:t>
      </w:r>
    </w:p>
    <w:p>
      <w:pPr>
        <w:numPr>
          <w:ilvl w:val="0"/>
          <w:numId w:val="1029"/>
        </w:numPr>
        <w:pStyle w:val="Compact"/>
      </w:pPr>
      <w:r>
        <w:t xml:space="preserve">frecuencia;</w:t>
      </w:r>
    </w:p>
    <w:p>
      <w:pPr>
        <w:numPr>
          <w:ilvl w:val="0"/>
          <w:numId w:val="1029"/>
        </w:numPr>
        <w:pStyle w:val="Compact"/>
      </w:pPr>
      <w:r>
        <w:t xml:space="preserve">tolerancia a latencia;</w:t>
      </w:r>
    </w:p>
    <w:p>
      <w:pPr>
        <w:numPr>
          <w:ilvl w:val="0"/>
          <w:numId w:val="1029"/>
        </w:numPr>
        <w:pStyle w:val="Compact"/>
      </w:pPr>
      <w:r>
        <w:t xml:space="preserve">nivel de detalle;</w:t>
      </w:r>
    </w:p>
    <w:p>
      <w:pPr>
        <w:numPr>
          <w:ilvl w:val="0"/>
          <w:numId w:val="1029"/>
        </w:numPr>
        <w:pStyle w:val="Compact"/>
      </w:pPr>
      <w:r>
        <w:t xml:space="preserve">alcance de seguridad;</w:t>
      </w:r>
    </w:p>
    <w:p>
      <w:pPr>
        <w:numPr>
          <w:ilvl w:val="0"/>
          <w:numId w:val="1029"/>
        </w:numPr>
        <w:pStyle w:val="Compact"/>
      </w:pPr>
      <w:r>
        <w:t xml:space="preserve">necesidad de exportación;</w:t>
      </w:r>
    </w:p>
    <w:p>
      <w:pPr>
        <w:numPr>
          <w:ilvl w:val="0"/>
          <w:numId w:val="1029"/>
        </w:numPr>
        <w:pStyle w:val="Compact"/>
      </w:pPr>
      <w:r>
        <w:t xml:space="preserve">criterios de éxito;</w:t>
      </w:r>
    </w:p>
    <w:p>
      <w:pPr>
        <w:numPr>
          <w:ilvl w:val="0"/>
          <w:numId w:val="1029"/>
        </w:numPr>
        <w:pStyle w:val="Compact"/>
      </w:pPr>
      <w:r>
        <w:t xml:space="preserve">pruebas de aceptación.</w:t>
      </w:r>
    </w:p>
    <w:p>
      <w:pPr>
        <w:pStyle w:val="FirstParagraph"/>
      </w:pPr>
      <w:r>
        <w:t xml:space="preserve">Use ejemplos y mockups si hay ambigüedad.</w:t>
      </w:r>
    </w:p>
    <w:bookmarkEnd w:id="49"/>
    <w:bookmarkStart w:id="50" w:name="storytelling-analítico-sin-distorsión"/>
    <w:p>
      <w:pPr>
        <w:pStyle w:val="Heading2"/>
      </w:pPr>
      <w:r>
        <w:t xml:space="preserve">Storytelling analítico sin distorsión</w:t>
      </w:r>
    </w:p>
    <w:p>
      <w:pPr>
        <w:pStyle w:val="FirstParagraph"/>
      </w:pPr>
      <w:r>
        <w:t xml:space="preserve">Separe:</w:t>
      </w:r>
    </w:p>
    <w:p>
      <w:pPr>
        <w:numPr>
          <w:ilvl w:val="0"/>
          <w:numId w:val="1030"/>
        </w:numPr>
        <w:pStyle w:val="Compact"/>
      </w:pPr>
      <w:r>
        <w:t xml:space="preserve">hechos observados;</w:t>
      </w:r>
    </w:p>
    <w:p>
      <w:pPr>
        <w:numPr>
          <w:ilvl w:val="0"/>
          <w:numId w:val="1030"/>
        </w:numPr>
        <w:pStyle w:val="Compact"/>
      </w:pPr>
      <w:r>
        <w:t xml:space="preserve">métricas calculadas;</w:t>
      </w:r>
    </w:p>
    <w:p>
      <w:pPr>
        <w:numPr>
          <w:ilvl w:val="0"/>
          <w:numId w:val="1030"/>
        </w:numPr>
        <w:pStyle w:val="Compact"/>
      </w:pPr>
      <w:r>
        <w:t xml:space="preserve">supuestos;</w:t>
      </w:r>
    </w:p>
    <w:p>
      <w:pPr>
        <w:numPr>
          <w:ilvl w:val="0"/>
          <w:numId w:val="1030"/>
        </w:numPr>
        <w:pStyle w:val="Compact"/>
      </w:pPr>
      <w:r>
        <w:t xml:space="preserve">interpretación;</w:t>
      </w:r>
    </w:p>
    <w:p>
      <w:pPr>
        <w:numPr>
          <w:ilvl w:val="0"/>
          <w:numId w:val="1030"/>
        </w:numPr>
        <w:pStyle w:val="Compact"/>
      </w:pPr>
      <w:r>
        <w:t xml:space="preserve">recomendación.</w:t>
      </w:r>
    </w:p>
    <w:p>
      <w:pPr>
        <w:pStyle w:val="FirstParagraph"/>
      </w:pPr>
      <w:r>
        <w:t xml:space="preserve">Frases útiles:</w:t>
      </w:r>
    </w:p>
    <w:p>
      <w:pPr>
        <w:numPr>
          <w:ilvl w:val="0"/>
          <w:numId w:val="1031"/>
        </w:numPr>
        <w:pStyle w:val="Compact"/>
      </w:pPr>
      <w:r>
        <w:t xml:space="preserve">“Los datos muestran...”</w:t>
      </w:r>
    </w:p>
    <w:p>
      <w:pPr>
        <w:numPr>
          <w:ilvl w:val="0"/>
          <w:numId w:val="1031"/>
        </w:numPr>
        <w:pStyle w:val="Compact"/>
      </w:pPr>
      <w:r>
        <w:t xml:space="preserve">“Este cálculo supone...”</w:t>
      </w:r>
    </w:p>
    <w:p>
      <w:pPr>
        <w:numPr>
          <w:ilvl w:val="0"/>
          <w:numId w:val="1031"/>
        </w:numPr>
        <w:pStyle w:val="Compact"/>
      </w:pPr>
      <w:r>
        <w:t xml:space="preserve">“Una posible explicación es...”</w:t>
      </w:r>
    </w:p>
    <w:p>
      <w:pPr>
        <w:numPr>
          <w:ilvl w:val="0"/>
          <w:numId w:val="1031"/>
        </w:numPr>
        <w:pStyle w:val="Compact"/>
      </w:pPr>
      <w:r>
        <w:t xml:space="preserve">“Los datos no establecen causalidad...”</w:t>
      </w:r>
    </w:p>
    <w:p>
      <w:pPr>
        <w:numPr>
          <w:ilvl w:val="0"/>
          <w:numId w:val="1031"/>
        </w:numPr>
        <w:pStyle w:val="Compact"/>
      </w:pPr>
      <w:r>
        <w:t xml:space="preserve">“Este resultado excluye...”</w:t>
      </w:r>
    </w:p>
    <w:p>
      <w:pPr>
        <w:pStyle w:val="FirstParagraph"/>
      </w:pPr>
      <w:r>
        <w:t xml:space="preserve">La claridad genera confianza.</w:t>
      </w:r>
    </w:p>
    <w:bookmarkEnd w:id="50"/>
    <w:bookmarkStart w:id="51" w:name="privacidad-y-datos-confidenciales"/>
    <w:p>
      <w:pPr>
        <w:pStyle w:val="Heading2"/>
      </w:pPr>
      <w:r>
        <w:t xml:space="preserve">Privacidad y datos confidenciales</w:t>
      </w:r>
    </w:p>
    <w:p>
      <w:pPr>
        <w:pStyle w:val="FirstParagraph"/>
      </w:pPr>
      <w:r>
        <w:t xml:space="preserve">BI puede exponer información sensible incluso cuando un tablero parece inofensivo.</w:t>
      </w:r>
    </w:p>
    <w:p>
      <w:pPr>
        <w:pStyle w:val="BodyText"/>
      </w:pPr>
      <w:r>
        <w:t xml:space="preserve">Siga reglas aprobadas para:</w:t>
      </w:r>
    </w:p>
    <w:p>
      <w:pPr>
        <w:numPr>
          <w:ilvl w:val="0"/>
          <w:numId w:val="1032"/>
        </w:numPr>
        <w:pStyle w:val="Compact"/>
      </w:pPr>
      <w:r>
        <w:t xml:space="preserve">datos de clientes;</w:t>
      </w:r>
    </w:p>
    <w:p>
      <w:pPr>
        <w:numPr>
          <w:ilvl w:val="0"/>
          <w:numId w:val="1032"/>
        </w:numPr>
        <w:pStyle w:val="Compact"/>
      </w:pPr>
      <w:r>
        <w:t xml:space="preserve">empleados;</w:t>
      </w:r>
    </w:p>
    <w:p>
      <w:pPr>
        <w:numPr>
          <w:ilvl w:val="0"/>
          <w:numId w:val="1032"/>
        </w:numPr>
        <w:pStyle w:val="Compact"/>
      </w:pPr>
      <w:r>
        <w:t xml:space="preserve">finanzas;</w:t>
      </w:r>
    </w:p>
    <w:p>
      <w:pPr>
        <w:numPr>
          <w:ilvl w:val="0"/>
          <w:numId w:val="1032"/>
        </w:numPr>
        <w:pStyle w:val="Compact"/>
      </w:pPr>
      <w:r>
        <w:t xml:space="preserve">salud u otros datos regulados;</w:t>
      </w:r>
    </w:p>
    <w:p>
      <w:pPr>
        <w:numPr>
          <w:ilvl w:val="0"/>
          <w:numId w:val="1032"/>
        </w:numPr>
        <w:pStyle w:val="Compact"/>
      </w:pPr>
      <w:r>
        <w:t xml:space="preserve">datos comerciales sensibles;</w:t>
      </w:r>
    </w:p>
    <w:p>
      <w:pPr>
        <w:numPr>
          <w:ilvl w:val="0"/>
          <w:numId w:val="1032"/>
        </w:numPr>
        <w:pStyle w:val="Compact"/>
      </w:pPr>
      <w:r>
        <w:t xml:space="preserve">contratos/precios confidenciales;</w:t>
      </w:r>
    </w:p>
    <w:p>
      <w:pPr>
        <w:numPr>
          <w:ilvl w:val="0"/>
          <w:numId w:val="1032"/>
        </w:numPr>
        <w:pStyle w:val="Compact"/>
      </w:pPr>
      <w:r>
        <w:t xml:space="preserve">identificadores;</w:t>
      </w:r>
    </w:p>
    <w:p>
      <w:pPr>
        <w:numPr>
          <w:ilvl w:val="0"/>
          <w:numId w:val="1032"/>
        </w:numPr>
        <w:pStyle w:val="Compact"/>
      </w:pPr>
      <w:r>
        <w:t xml:space="preserve">acceso a nivel de fila.</w:t>
      </w:r>
    </w:p>
    <w:p>
      <w:pPr>
        <w:pStyle w:val="FirstParagraph"/>
      </w:pPr>
      <w:r>
        <w:t xml:space="preserve">Buenas prácticas:</w:t>
      </w:r>
    </w:p>
    <w:p>
      <w:pPr>
        <w:numPr>
          <w:ilvl w:val="0"/>
          <w:numId w:val="1033"/>
        </w:numPr>
        <w:pStyle w:val="Compact"/>
      </w:pPr>
      <w:r>
        <w:t xml:space="preserve">mínimo privilegio;</w:t>
      </w:r>
    </w:p>
    <w:p>
      <w:pPr>
        <w:numPr>
          <w:ilvl w:val="0"/>
          <w:numId w:val="1033"/>
        </w:numPr>
        <w:pStyle w:val="Compact"/>
      </w:pPr>
      <w:r>
        <w:t xml:space="preserve">fuentes aprobadas;</w:t>
      </w:r>
    </w:p>
    <w:p>
      <w:pPr>
        <w:numPr>
          <w:ilvl w:val="0"/>
          <w:numId w:val="1033"/>
        </w:numPr>
        <w:pStyle w:val="Compact"/>
      </w:pPr>
      <w:r>
        <w:t xml:space="preserve">exportaciones controladas;</w:t>
      </w:r>
    </w:p>
    <w:p>
      <w:pPr>
        <w:numPr>
          <w:ilvl w:val="0"/>
          <w:numId w:val="1033"/>
        </w:numPr>
        <w:pStyle w:val="Compact"/>
      </w:pPr>
      <w:r>
        <w:t xml:space="preserve">almacenamiento seguro;</w:t>
      </w:r>
    </w:p>
    <w:p>
      <w:pPr>
        <w:numPr>
          <w:ilvl w:val="0"/>
          <w:numId w:val="1033"/>
        </w:numPr>
        <w:pStyle w:val="Compact"/>
      </w:pPr>
      <w:r>
        <w:t xml:space="preserve">compartir aprobado;</w:t>
      </w:r>
    </w:p>
    <w:p>
      <w:pPr>
        <w:numPr>
          <w:ilvl w:val="0"/>
          <w:numId w:val="1033"/>
        </w:numPr>
        <w:pStyle w:val="Compact"/>
      </w:pPr>
      <w:r>
        <w:t xml:space="preserve">enmascaramiento/agregación cuando se requiera;</w:t>
      </w:r>
    </w:p>
    <w:p>
      <w:pPr>
        <w:numPr>
          <w:ilvl w:val="0"/>
          <w:numId w:val="1033"/>
        </w:numPr>
        <w:pStyle w:val="Compact"/>
      </w:pPr>
      <w:r>
        <w:t xml:space="preserve">retención/eliminación;</w:t>
      </w:r>
    </w:p>
    <w:p>
      <w:pPr>
        <w:numPr>
          <w:ilvl w:val="0"/>
          <w:numId w:val="1033"/>
        </w:numPr>
        <w:pStyle w:val="Compact"/>
      </w:pPr>
      <w:r>
        <w:t xml:space="preserve">reporte de incidentes.</w:t>
      </w:r>
    </w:p>
    <w:p>
      <w:pPr>
        <w:pStyle w:val="FirstParagraph"/>
      </w:pPr>
      <w:r>
        <w:t xml:space="preserve">Poder consultar una tabla no demuestra autorización para usar cada campo.</w:t>
      </w:r>
    </w:p>
    <w:bookmarkEnd w:id="51"/>
    <w:bookmarkStart w:id="52" w:name="ciberseguridad-en-bi"/>
    <w:p>
      <w:pPr>
        <w:pStyle w:val="Heading2"/>
      </w:pPr>
      <w:r>
        <w:t xml:space="preserve">Ciberseguridad en BI</w:t>
      </w:r>
    </w:p>
    <w:p>
      <w:pPr>
        <w:pStyle w:val="FirstParagraph"/>
      </w:pPr>
      <w:r>
        <w:t xml:space="preserve">Controles prácticos:</w:t>
      </w:r>
    </w:p>
    <w:p>
      <w:pPr>
        <w:numPr>
          <w:ilvl w:val="0"/>
          <w:numId w:val="1034"/>
        </w:numPr>
        <w:pStyle w:val="Compact"/>
      </w:pPr>
      <w:r>
        <w:t xml:space="preserve">proteger credenciales/tokens;</w:t>
      </w:r>
    </w:p>
    <w:p>
      <w:pPr>
        <w:numPr>
          <w:ilvl w:val="0"/>
          <w:numId w:val="1034"/>
        </w:numPr>
        <w:pStyle w:val="Compact"/>
      </w:pPr>
      <w:r>
        <w:t xml:space="preserve">usar MFA cuando se requiera;</w:t>
      </w:r>
    </w:p>
    <w:p>
      <w:pPr>
        <w:numPr>
          <w:ilvl w:val="0"/>
          <w:numId w:val="1034"/>
        </w:numPr>
        <w:pStyle w:val="Compact"/>
      </w:pPr>
      <w:r>
        <w:t xml:space="preserve">no incrustar secretos en reportes compartidos o repositorios públicos;</w:t>
      </w:r>
    </w:p>
    <w:p>
      <w:pPr>
        <w:numPr>
          <w:ilvl w:val="0"/>
          <w:numId w:val="1034"/>
        </w:numPr>
        <w:pStyle w:val="Compact"/>
      </w:pPr>
      <w:r>
        <w:t xml:space="preserve">limitar cuentas de servicio;</w:t>
      </w:r>
    </w:p>
    <w:p>
      <w:pPr>
        <w:numPr>
          <w:ilvl w:val="0"/>
          <w:numId w:val="1034"/>
        </w:numPr>
        <w:pStyle w:val="Compact"/>
      </w:pPr>
      <w:r>
        <w:t xml:space="preserve">usar conectores aprobados;</w:t>
      </w:r>
    </w:p>
    <w:p>
      <w:pPr>
        <w:numPr>
          <w:ilvl w:val="0"/>
          <w:numId w:val="1034"/>
        </w:numPr>
        <w:pStyle w:val="Compact"/>
      </w:pPr>
      <w:r>
        <w:t xml:space="preserve">reportar accesos o exposiciones inesperadas;</w:t>
      </w:r>
    </w:p>
    <w:p>
      <w:pPr>
        <w:numPr>
          <w:ilvl w:val="0"/>
          <w:numId w:val="1034"/>
        </w:numPr>
        <w:pStyle w:val="Compact"/>
      </w:pPr>
      <w:r>
        <w:t xml:space="preserve">validar solicitudes inusuales de exportación masiva;</w:t>
      </w:r>
    </w:p>
    <w:p>
      <w:pPr>
        <w:numPr>
          <w:ilvl w:val="0"/>
          <w:numId w:val="1034"/>
        </w:numPr>
        <w:pStyle w:val="Compact"/>
      </w:pPr>
      <w:r>
        <w:t xml:space="preserve">no eludir seguridad a nivel de fila;</w:t>
      </w:r>
    </w:p>
    <w:p>
      <w:pPr>
        <w:numPr>
          <w:ilvl w:val="0"/>
          <w:numId w:val="1034"/>
        </w:numPr>
        <w:pStyle w:val="Compact"/>
      </w:pPr>
      <w:r>
        <w:t xml:space="preserve">no copiar datos productivos a herramientas personales no administradas.</w:t>
      </w:r>
    </w:p>
    <w:p>
      <w:pPr>
        <w:pStyle w:val="FirstParagraph"/>
      </w:pPr>
      <w:r>
        <w:t xml:space="preserve">NIST Cybersecurity Framework y Privacy Framework aportan contexto de gobernanza. Las políticas y leyes aplicables siguen siendo determinantes.</w:t>
      </w:r>
    </w:p>
    <w:bookmarkEnd w:id="52"/>
    <w:bookmarkStart w:id="53" w:name="ia-y-automatización-responsables"/>
    <w:p>
      <w:pPr>
        <w:pStyle w:val="Heading2"/>
      </w:pPr>
      <w:r>
        <w:t xml:space="preserve">IA y automatización responsables</w:t>
      </w:r>
    </w:p>
    <w:p>
      <w:pPr>
        <w:pStyle w:val="FirstParagraph"/>
      </w:pPr>
      <w:r>
        <w:t xml:space="preserve">La IA puede ayudar con:</w:t>
      </w:r>
    </w:p>
    <w:p>
      <w:pPr>
        <w:numPr>
          <w:ilvl w:val="0"/>
          <w:numId w:val="1035"/>
        </w:numPr>
        <w:pStyle w:val="Compact"/>
      </w:pPr>
      <w:r>
        <w:t xml:space="preserve">redactar SQL;</w:t>
      </w:r>
    </w:p>
    <w:p>
      <w:pPr>
        <w:numPr>
          <w:ilvl w:val="0"/>
          <w:numId w:val="1035"/>
        </w:numPr>
        <w:pStyle w:val="Compact"/>
      </w:pPr>
      <w:r>
        <w:t xml:space="preserve">explicar lógica;</w:t>
      </w:r>
    </w:p>
    <w:p>
      <w:pPr>
        <w:numPr>
          <w:ilvl w:val="0"/>
          <w:numId w:val="1035"/>
        </w:numPr>
        <w:pStyle w:val="Compact"/>
      </w:pPr>
      <w:r>
        <w:t xml:space="preserve">sugerir DAX/fórmulas;</w:t>
      </w:r>
    </w:p>
    <w:p>
      <w:pPr>
        <w:numPr>
          <w:ilvl w:val="0"/>
          <w:numId w:val="1035"/>
        </w:numPr>
        <w:pStyle w:val="Compact"/>
      </w:pPr>
      <w:r>
        <w:t xml:space="preserve">crear casos de prueba;</w:t>
      </w:r>
    </w:p>
    <w:p>
      <w:pPr>
        <w:numPr>
          <w:ilvl w:val="0"/>
          <w:numId w:val="1035"/>
        </w:numPr>
        <w:pStyle w:val="Compact"/>
      </w:pPr>
      <w:r>
        <w:t xml:space="preserve">resumir hallazgos no sensibles;</w:t>
      </w:r>
    </w:p>
    <w:p>
      <w:pPr>
        <w:numPr>
          <w:ilvl w:val="0"/>
          <w:numId w:val="1035"/>
        </w:numPr>
        <w:pStyle w:val="Compact"/>
      </w:pPr>
      <w:r>
        <w:t xml:space="preserve">redactar documentación;</w:t>
      </w:r>
    </w:p>
    <w:p>
      <w:pPr>
        <w:numPr>
          <w:ilvl w:val="0"/>
          <w:numId w:val="1035"/>
        </w:numPr>
        <w:pStyle w:val="Compact"/>
      </w:pPr>
      <w:r>
        <w:t xml:space="preserve">generar ejemplos sintéticos.</w:t>
      </w:r>
    </w:p>
    <w:p>
      <w:pPr>
        <w:pStyle w:val="FirstParagraph"/>
      </w:pPr>
      <w:r>
        <w:t xml:space="preserve">Controles:</w:t>
      </w:r>
    </w:p>
    <w:p>
      <w:pPr>
        <w:numPr>
          <w:ilvl w:val="0"/>
          <w:numId w:val="1036"/>
        </w:numPr>
        <w:pStyle w:val="Compact"/>
      </w:pPr>
      <w:r>
        <w:t xml:space="preserve">use solo sistemas y clases de datos aprobados;</w:t>
      </w:r>
    </w:p>
    <w:p>
      <w:pPr>
        <w:numPr>
          <w:ilvl w:val="0"/>
          <w:numId w:val="1036"/>
        </w:numPr>
        <w:pStyle w:val="Compact"/>
      </w:pPr>
      <w:r>
        <w:t xml:space="preserve">no coloque datos confidenciales, credenciales o extractos protegidos en IA pública no aprobada;</w:t>
      </w:r>
    </w:p>
    <w:p>
      <w:pPr>
        <w:numPr>
          <w:ilvl w:val="0"/>
          <w:numId w:val="1036"/>
        </w:numPr>
        <w:pStyle w:val="Compact"/>
      </w:pPr>
      <w:r>
        <w:t xml:space="preserve">valide SQL generado antes de ejecutarlo;</w:t>
      </w:r>
    </w:p>
    <w:p>
      <w:pPr>
        <w:numPr>
          <w:ilvl w:val="0"/>
          <w:numId w:val="1036"/>
        </w:numPr>
        <w:pStyle w:val="Compact"/>
      </w:pPr>
      <w:r>
        <w:t xml:space="preserve">valide cálculos y fórmulas;</w:t>
      </w:r>
    </w:p>
    <w:p>
      <w:pPr>
        <w:numPr>
          <w:ilvl w:val="0"/>
          <w:numId w:val="1036"/>
        </w:numPr>
        <w:pStyle w:val="Compact"/>
      </w:pPr>
      <w:r>
        <w:t xml:space="preserve">concilie contra fuentes autorizadas;</w:t>
      </w:r>
    </w:p>
    <w:p>
      <w:pPr>
        <w:numPr>
          <w:ilvl w:val="0"/>
          <w:numId w:val="1036"/>
        </w:numPr>
        <w:pStyle w:val="Compact"/>
      </w:pPr>
      <w:r>
        <w:t xml:space="preserve">distinga narrativa generada de evidencia observada;</w:t>
      </w:r>
    </w:p>
    <w:p>
      <w:pPr>
        <w:numPr>
          <w:ilvl w:val="0"/>
          <w:numId w:val="1036"/>
        </w:numPr>
        <w:pStyle w:val="Compact"/>
      </w:pPr>
      <w:r>
        <w:t xml:space="preserve">revise afirmaciones causales no soportadas;</w:t>
      </w:r>
    </w:p>
    <w:p>
      <w:pPr>
        <w:numPr>
          <w:ilvl w:val="0"/>
          <w:numId w:val="1036"/>
        </w:numPr>
        <w:pStyle w:val="Compact"/>
      </w:pPr>
      <w:r>
        <w:t xml:space="preserve">revise error sistemático y sesgo;</w:t>
      </w:r>
    </w:p>
    <w:p>
      <w:pPr>
        <w:numPr>
          <w:ilvl w:val="0"/>
          <w:numId w:val="1036"/>
        </w:numPr>
        <w:pStyle w:val="Compact"/>
      </w:pPr>
      <w:r>
        <w:t xml:space="preserve">exija aprobación humana antes de publicar resultados críticos cuando corresponda.</w:t>
      </w:r>
    </w:p>
    <w:p>
      <w:pPr>
        <w:pStyle w:val="FirstParagraph"/>
      </w:pPr>
      <w:r>
        <w:t xml:space="preserve">El AI Risk Management Framework de NIST y su Generative AI Profile son guías voluntarias; no sustituyen el gobierno de datos organizacional.</w:t>
      </w:r>
    </w:p>
    <w:bookmarkEnd w:id="53"/>
    <w:bookmarkStart w:id="54" w:name="accesibilidad-e-inclusión"/>
    <w:p>
      <w:pPr>
        <w:pStyle w:val="Heading2"/>
      </w:pPr>
      <w:r>
        <w:t xml:space="preserve">Accesibilidad e inclusión</w:t>
      </w:r>
    </w:p>
    <w:p>
      <w:pPr>
        <w:pStyle w:val="FirstParagraph"/>
      </w:pPr>
      <w:r>
        <w:t xml:space="preserve">Buenas prácticas:</w:t>
      </w:r>
    </w:p>
    <w:p>
      <w:pPr>
        <w:numPr>
          <w:ilvl w:val="0"/>
          <w:numId w:val="1037"/>
        </w:numPr>
        <w:pStyle w:val="Compact"/>
      </w:pPr>
      <w:r>
        <w:t xml:space="preserve">contraste legible;</w:t>
      </w:r>
    </w:p>
    <w:p>
      <w:pPr>
        <w:numPr>
          <w:ilvl w:val="0"/>
          <w:numId w:val="1037"/>
        </w:numPr>
        <w:pStyle w:val="Compact"/>
      </w:pPr>
      <w:r>
        <w:t xml:space="preserve">tamaño de texto adecuado;</w:t>
      </w:r>
    </w:p>
    <w:p>
      <w:pPr>
        <w:numPr>
          <w:ilvl w:val="0"/>
          <w:numId w:val="1037"/>
        </w:numPr>
        <w:pStyle w:val="Compact"/>
      </w:pPr>
      <w:r>
        <w:t xml:space="preserve">títulos significativos;</w:t>
      </w:r>
    </w:p>
    <w:p>
      <w:pPr>
        <w:numPr>
          <w:ilvl w:val="0"/>
          <w:numId w:val="1037"/>
        </w:numPr>
        <w:pStyle w:val="Compact"/>
      </w:pPr>
      <w:r>
        <w:t xml:space="preserve">etiquetas descriptivas;</w:t>
      </w:r>
    </w:p>
    <w:p>
      <w:pPr>
        <w:numPr>
          <w:ilvl w:val="0"/>
          <w:numId w:val="1037"/>
        </w:numPr>
        <w:pStyle w:val="Compact"/>
      </w:pPr>
      <w:r>
        <w:t xml:space="preserve">acceso por teclado cuando la plataforma lo soporte;</w:t>
      </w:r>
    </w:p>
    <w:p>
      <w:pPr>
        <w:numPr>
          <w:ilvl w:val="0"/>
          <w:numId w:val="1037"/>
        </w:numPr>
        <w:pStyle w:val="Compact"/>
      </w:pPr>
      <w:r>
        <w:t xml:space="preserve">navegación/orden lógico;</w:t>
      </w:r>
    </w:p>
    <w:p>
      <w:pPr>
        <w:numPr>
          <w:ilvl w:val="0"/>
          <w:numId w:val="1037"/>
        </w:numPr>
        <w:pStyle w:val="Compact"/>
      </w:pPr>
      <w:r>
        <w:t xml:space="preserve">no depender solamente de color;</w:t>
      </w:r>
    </w:p>
    <w:p>
      <w:pPr>
        <w:numPr>
          <w:ilvl w:val="0"/>
          <w:numId w:val="1037"/>
        </w:numPr>
        <w:pStyle w:val="Compact"/>
      </w:pPr>
      <w:r>
        <w:t xml:space="preserve">alternativas de tabla/texto para información crítica cuando sea práctico;</w:t>
      </w:r>
    </w:p>
    <w:p>
      <w:pPr>
        <w:numPr>
          <w:ilvl w:val="0"/>
          <w:numId w:val="1037"/>
        </w:numPr>
        <w:pStyle w:val="Compact"/>
      </w:pPr>
      <w:r>
        <w:t xml:space="preserve">alt text significativo en gráficos exportados cuando aplique;</w:t>
      </w:r>
    </w:p>
    <w:p>
      <w:pPr>
        <w:numPr>
          <w:ilvl w:val="0"/>
          <w:numId w:val="1037"/>
        </w:numPr>
        <w:pStyle w:val="Compact"/>
      </w:pPr>
      <w:r>
        <w:t xml:space="preserve">lenguaje conciso y unidades comprensibles.</w:t>
      </w:r>
    </w:p>
    <w:p>
      <w:pPr>
        <w:pStyle w:val="FirstParagraph"/>
      </w:pPr>
      <w:r>
        <w:t xml:space="preserve">Las verificaciones automáticas no demuestran cumplimiento legal completo. WCAG 2.2 y recursos de Section 508 pueden aportar contexto de diseño/prueba.</w:t>
      </w:r>
    </w:p>
    <w:bookmarkEnd w:id="54"/>
    <w:bookmarkStart w:id="55" w:name="portafolio-ético"/>
    <w:p>
      <w:pPr>
        <w:pStyle w:val="Heading2"/>
      </w:pPr>
      <w:r>
        <w:t xml:space="preserve">Portafolio ético</w:t>
      </w:r>
    </w:p>
    <w:p>
      <w:pPr>
        <w:pStyle w:val="FirstParagraph"/>
      </w:pPr>
      <w:r>
        <w:t xml:space="preserve">Use datos públicos, sintéticos o autorizados.</w:t>
      </w:r>
    </w:p>
    <w:p>
      <w:pPr>
        <w:pStyle w:val="BodyText"/>
      </w:pPr>
      <w:r>
        <w:t xml:space="preserve">Ideas:</w:t>
      </w:r>
    </w:p>
    <w:p>
      <w:pPr>
        <w:numPr>
          <w:ilvl w:val="0"/>
          <w:numId w:val="1038"/>
        </w:numPr>
        <w:pStyle w:val="Compact"/>
      </w:pPr>
      <w:r>
        <w:t xml:space="preserve">tablero de ventas con transacciones sintéticas;</w:t>
      </w:r>
    </w:p>
    <w:p>
      <w:pPr>
        <w:numPr>
          <w:ilvl w:val="0"/>
          <w:numId w:val="1038"/>
        </w:numPr>
        <w:pStyle w:val="Compact"/>
      </w:pPr>
      <w:r>
        <w:t xml:space="preserve">tablero de servicio con tickets inventados;</w:t>
      </w:r>
    </w:p>
    <w:p>
      <w:pPr>
        <w:numPr>
          <w:ilvl w:val="0"/>
          <w:numId w:val="1038"/>
        </w:numPr>
        <w:pStyle w:val="Compact"/>
      </w:pPr>
      <w:r>
        <w:t xml:space="preserve">modelo KPI de inventario;</w:t>
      </w:r>
    </w:p>
    <w:p>
      <w:pPr>
        <w:numPr>
          <w:ilvl w:val="0"/>
          <w:numId w:val="1038"/>
        </w:numPr>
        <w:pStyle w:val="Compact"/>
      </w:pPr>
      <w:r>
        <w:t xml:space="preserve">conciliación financiera con cuentas sintéticas;</w:t>
      </w:r>
    </w:p>
    <w:p>
      <w:pPr>
        <w:numPr>
          <w:ilvl w:val="0"/>
          <w:numId w:val="1038"/>
        </w:numPr>
        <w:pStyle w:val="Compact"/>
      </w:pPr>
      <w:r>
        <w:t xml:space="preserve">análisis SQL con pruebas documentadas;</w:t>
      </w:r>
    </w:p>
    <w:p>
      <w:pPr>
        <w:numPr>
          <w:ilvl w:val="0"/>
          <w:numId w:val="1038"/>
        </w:numPr>
        <w:pStyle w:val="Compact"/>
      </w:pPr>
      <w:r>
        <w:t xml:space="preserve">esquema estrella;</w:t>
      </w:r>
    </w:p>
    <w:p>
      <w:pPr>
        <w:numPr>
          <w:ilvl w:val="0"/>
          <w:numId w:val="1038"/>
        </w:numPr>
        <w:pStyle w:val="Compact"/>
      </w:pPr>
      <w:r>
        <w:t xml:space="preserve">tablero Power BI/Tableau con checklist de accesibilidad;</w:t>
      </w:r>
    </w:p>
    <w:p>
      <w:pPr>
        <w:numPr>
          <w:ilvl w:val="0"/>
          <w:numId w:val="1038"/>
        </w:numPr>
        <w:pStyle w:val="Compact"/>
      </w:pPr>
      <w:r>
        <w:t xml:space="preserve">caso que muestre cómo un join incorrecto duplicó ingresos;</w:t>
      </w:r>
    </w:p>
    <w:p>
      <w:pPr>
        <w:numPr>
          <w:ilvl w:val="0"/>
          <w:numId w:val="1038"/>
        </w:numPr>
        <w:pStyle w:val="Compact"/>
      </w:pPr>
      <w:r>
        <w:t xml:space="preserve">reporte de calidad con nulos/duplicados;</w:t>
      </w:r>
    </w:p>
    <w:p>
      <w:pPr>
        <w:numPr>
          <w:ilvl w:val="0"/>
          <w:numId w:val="1038"/>
        </w:numPr>
        <w:pStyle w:val="Compact"/>
      </w:pPr>
      <w:r>
        <w:t xml:space="preserve">diccionario de métricas y linaje.</w:t>
      </w:r>
    </w:p>
    <w:p>
      <w:pPr>
        <w:pStyle w:val="FirstParagraph"/>
      </w:pPr>
      <w:r>
        <w:t xml:space="preserve">No publique datos de empleadores/clientes ni capturas confidenciales sin autorización.</w:t>
      </w:r>
    </w:p>
    <w:bookmarkEnd w:id="55"/>
    <w:bookmarkStart w:id="56" w:name="ruta-en-estados-unidos"/>
    <w:p>
      <w:pPr>
        <w:pStyle w:val="Heading2"/>
      </w:pPr>
      <w:r>
        <w:t xml:space="preserve">Ruta en Estados Unidos</w:t>
      </w:r>
    </w:p>
    <w:p>
      <w:pPr>
        <w:pStyle w:val="FirstParagraph"/>
      </w:pPr>
      <w:r>
        <w:t xml:space="preserve">O*NET ubica BI en</w:t>
      </w:r>
      <w:r>
        <w:t xml:space="preserve"> </w:t>
      </w:r>
      <w:r>
        <w:rPr>
          <w:bCs/>
          <w:b/>
        </w:rPr>
        <w:t xml:space="preserve">Job Zone Four — Considerable Preparation Needed</w:t>
      </w:r>
      <w:r>
        <w:t xml:space="preserve">.</w:t>
      </w:r>
    </w:p>
    <w:p>
      <w:pPr>
        <w:pStyle w:val="BodyText"/>
      </w:pPr>
      <w:r>
        <w:t xml:space="preserve">Respuestas actuales sobre educación de nuevas contrataciones: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68% licenciatura/bachelor's</w:t>
      </w:r>
      <w:r>
        <w:t xml:space="preserve">;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23% maestría</w:t>
      </w:r>
      <w:r>
        <w:t xml:space="preserve">;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5% associate degree</w:t>
      </w:r>
      <w:r>
        <w:t xml:space="preserve">.</w:t>
      </w:r>
    </w:p>
    <w:p>
      <w:pPr>
        <w:pStyle w:val="FirstParagraph"/>
      </w:pPr>
      <w:r>
        <w:t xml:space="preserve">Son patrones, no requisitos legales universales.</w:t>
      </w:r>
    </w:p>
    <w:p>
      <w:pPr>
        <w:pStyle w:val="BodyText"/>
      </w:pPr>
      <w:r>
        <w:t xml:space="preserve">O*NET lista</w:t>
      </w:r>
      <w:r>
        <w:t xml:space="preserve"> </w:t>
      </w:r>
      <w:r>
        <w:rPr>
          <w:bCs/>
          <w:b/>
        </w:rPr>
        <w:t xml:space="preserve">Business Intelligence Engineer</w:t>
      </w:r>
      <w:r>
        <w:t xml:space="preserve"> </w:t>
      </w:r>
      <w:r>
        <w:t xml:space="preserve">como título aprobado de Registered Apprenticeship. No garantiza una vacante local.</w:t>
      </w:r>
    </w:p>
    <w:p>
      <w:pPr>
        <w:pStyle w:val="BodyText"/>
      </w:pPr>
      <w:r>
        <w:t xml:space="preserve">CareerOneStop puede ayudar a localizar formación WIOA y otras opciones. Elegibilidad y financiación deben confirmarse.</w:t>
      </w:r>
    </w:p>
    <w:bookmarkEnd w:id="56"/>
    <w:bookmarkStart w:id="60" w:name="Xbc7c9eaf9d308c1bbcf227375450008cebed835"/>
    <w:p>
      <w:pPr>
        <w:pStyle w:val="Heading2"/>
      </w:pPr>
      <w:r>
        <w:t xml:space="preserve">Salarios y perspectiva en Estados Unidos — divulgación obligatoria de correspondencia</w:t>
      </w:r>
    </w:p>
    <w:p>
      <w:pPr>
        <w:pStyle w:val="FirstParagraph"/>
      </w:pPr>
      <w:r>
        <w:t xml:space="preserve">O*NET declara expresamente que los datos salariales y de empleo para</w:t>
      </w:r>
      <w:r>
        <w:t xml:space="preserve"> </w:t>
      </w:r>
      <w:r>
        <w:rPr>
          <w:bCs/>
          <w:b/>
        </w:rPr>
        <w:t xml:space="preserve">Business Intelligence Analysts</w:t>
      </w:r>
      <w:r>
        <w:t xml:space="preserve"> </w:t>
      </w:r>
      <w:r>
        <w:t xml:space="preserve">se recopilan de</w:t>
      </w:r>
      <w:r>
        <w:t xml:space="preserve"> </w:t>
      </w:r>
      <w:r>
        <w:rPr>
          <w:bCs/>
          <w:b/>
        </w:rPr>
        <w:t xml:space="preserve">Data Scientists</w:t>
      </w:r>
      <w:r>
        <w:t xml:space="preserve">.</w:t>
      </w:r>
    </w:p>
    <w:p>
      <w:pPr>
        <w:pStyle w:val="BodyText"/>
      </w:pPr>
      <w:r>
        <w:t xml:space="preserve">Por eso, las siguientes cifras son referencias oficiales BLS/O*NET de la serie asignada,</w:t>
      </w:r>
      <w:r>
        <w:t xml:space="preserve"> </w:t>
      </w:r>
      <w:r>
        <w:rPr>
          <w:bCs/>
          <w:b/>
        </w:rPr>
        <w:t xml:space="preserve">no una muestra exclusiva de personas con título BI Analyst</w:t>
      </w:r>
      <w:r>
        <w:t xml:space="preserve">.</w:t>
      </w:r>
    </w:p>
    <w:bookmarkStart w:id="57" w:name="Xad19d791c66a657828ead4043399233dc03b0ed"/>
    <w:p>
      <w:pPr>
        <w:pStyle w:val="Heading3"/>
      </w:pPr>
      <w:r>
        <w:t xml:space="preserve">Serie salarial BLS 2025 utilizada por O*NET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Percentil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Anual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Por hora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$67,240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$32.33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$85,660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$41.18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Mediana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$120,230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$57.80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$158,880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$76.39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$199,130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$95.74</w:t>
            </w:r>
          </w:p>
        </w:tc>
      </w:tr>
    </w:tbl>
    <w:bookmarkEnd w:id="57"/>
    <w:bookmarkStart w:id="58" w:name="X1fccdb2f775af8681340bb938dae9de57344bad"/>
    <w:p>
      <w:pPr>
        <w:pStyle w:val="Heading3"/>
      </w:pPr>
      <w:r>
        <w:t xml:space="preserve">Proyecciones 2024–2034 utilizadas por O*NET</w:t>
      </w:r>
    </w:p>
    <w:p>
      <w:pPr>
        <w:numPr>
          <w:ilvl w:val="0"/>
          <w:numId w:val="1040"/>
        </w:numPr>
        <w:pStyle w:val="Compact"/>
      </w:pPr>
      <w:r>
        <w:t xml:space="preserve">empleo 2024:</w:t>
      </w:r>
      <w:r>
        <w:t xml:space="preserve"> </w:t>
      </w:r>
      <w:r>
        <w:rPr>
          <w:bCs/>
          <w:b/>
        </w:rPr>
        <w:t xml:space="preserve">245,900</w:t>
      </w:r>
      <w:r>
        <w:t xml:space="preserve">;</w:t>
      </w:r>
    </w:p>
    <w:p>
      <w:pPr>
        <w:numPr>
          <w:ilvl w:val="0"/>
          <w:numId w:val="1040"/>
        </w:numPr>
        <w:pStyle w:val="Compact"/>
      </w:pPr>
      <w:r>
        <w:t xml:space="preserve">empleo proyectado 2034:</w:t>
      </w:r>
      <w:r>
        <w:t xml:space="preserve"> </w:t>
      </w:r>
      <w:r>
        <w:rPr>
          <w:bCs/>
          <w:b/>
        </w:rPr>
        <w:t xml:space="preserve">328,300</w:t>
      </w:r>
      <w:r>
        <w:t xml:space="preserve">;</w:t>
      </w:r>
    </w:p>
    <w:p>
      <w:pPr>
        <w:numPr>
          <w:ilvl w:val="0"/>
          <w:numId w:val="1040"/>
        </w:numPr>
        <w:pStyle w:val="Compact"/>
      </w:pPr>
      <w:r>
        <w:t xml:space="preserve">crecimiento proyectado:</w:t>
      </w:r>
      <w:r>
        <w:t xml:space="preserve"> </w:t>
      </w:r>
      <w:r>
        <w:rPr>
          <w:bCs/>
          <w:b/>
        </w:rPr>
        <w:t xml:space="preserve">34%</w:t>
      </w:r>
      <w:r>
        <w:t xml:space="preserve">, mucho más rápido que el promedio;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23,400 vacantes proyectadas por año</w:t>
      </w:r>
      <w:r>
        <w:t xml:space="preserve">.</w:t>
      </w:r>
    </w:p>
    <w:p>
      <w:pPr>
        <w:pStyle w:val="FirstParagraph"/>
      </w:pPr>
      <w:r>
        <w:t xml:space="preserve">No convierta las vacantes anuales en un total garantizado ni asuma que cada vacante lleva el título Business Intelligence Analyst.</w:t>
      </w:r>
    </w:p>
    <w:bookmarkEnd w:id="58"/>
    <w:bookmarkStart w:id="59" w:name="X094e47fa6ceb19356bc92fa525161edc49c22a9"/>
    <w:p>
      <w:pPr>
        <w:pStyle w:val="Heading3"/>
      </w:pPr>
      <w:r>
        <w:t xml:space="preserve">Contexto actual específico del título BI, no gubernamental</w:t>
      </w:r>
    </w:p>
    <w:p>
      <w:pPr>
        <w:pStyle w:val="FirstParagraph"/>
      </w:pPr>
      <w:r>
        <w:t xml:space="preserve">Indeed informó un salario base promedio de</w:t>
      </w:r>
      <w:r>
        <w:t xml:space="preserve"> </w:t>
      </w:r>
      <w:r>
        <w:rPr>
          <w:bCs/>
          <w:b/>
        </w:rPr>
        <w:t xml:space="preserve">$94,707/año</w:t>
      </w:r>
      <w:r>
        <w:t xml:space="preserve"> </w:t>
      </w:r>
      <w:r>
        <w:t xml:space="preserve">para</w:t>
      </w:r>
      <w:r>
        <w:t xml:space="preserve"> </w:t>
      </w:r>
      <w:r>
        <w:rPr>
          <w:bCs/>
          <w:b/>
        </w:rPr>
        <w:t xml:space="preserve">Business Intelligence Analyst</w:t>
      </w:r>
      <w:r>
        <w:t xml:space="preserve"> </w:t>
      </w:r>
      <w:r>
        <w:t xml:space="preserve">en Estados Unidos, con rango mostrado de</w:t>
      </w:r>
      <w:r>
        <w:t xml:space="preserve"> </w:t>
      </w:r>
      <w:r>
        <w:rPr>
          <w:bCs/>
          <w:b/>
        </w:rPr>
        <w:t xml:space="preserve">$61,569–$145,682/año</w:t>
      </w:r>
      <w:r>
        <w:t xml:space="preserve">, basado en aproximadamente</w:t>
      </w:r>
      <w:r>
        <w:t xml:space="preserve"> </w:t>
      </w:r>
      <w:r>
        <w:rPr>
          <w:bCs/>
          <w:b/>
        </w:rPr>
        <w:t xml:space="preserve">1.6k salarios</w:t>
      </w:r>
      <w:r>
        <w:t xml:space="preserve"> </w:t>
      </w:r>
      <w:r>
        <w:t xml:space="preserve">de publicaciones de los</w:t>
      </w:r>
      <w:r>
        <w:t xml:space="preserve"> </w:t>
      </w:r>
      <w:r>
        <w:rPr>
          <w:bCs/>
          <w:b/>
        </w:rPr>
        <w:t xml:space="preserve">36 meses</w:t>
      </w:r>
      <w:r>
        <w:t xml:space="preserve"> </w:t>
      </w:r>
      <w:r>
        <w:t xml:space="preserve">anteriores, actualizado el</w:t>
      </w:r>
      <w:r>
        <w:t xml:space="preserve"> </w:t>
      </w:r>
      <w:r>
        <w:rPr>
          <w:bCs/>
          <w:b/>
        </w:rPr>
        <w:t xml:space="preserve">3 de agosto de 2026</w:t>
      </w:r>
      <w:r>
        <w:t xml:space="preserve">.</w:t>
      </w:r>
    </w:p>
    <w:p>
      <w:pPr>
        <w:pStyle w:val="BodyText"/>
      </w:pPr>
      <w:r>
        <w:t xml:space="preserve">Es una estimación actual no gubernamental y más específica del título BI. No es sustituto de estadísticas oficiales ni debe mezclarse con la serie de Data Scientists como si midieran la misma población.</w:t>
      </w:r>
    </w:p>
    <w:bookmarkEnd w:id="59"/>
    <w:bookmarkEnd w:id="60"/>
    <w:bookmarkStart w:id="61" w:name="ruta-en-canadá"/>
    <w:p>
      <w:pPr>
        <w:pStyle w:val="Heading2"/>
      </w:pPr>
      <w:r>
        <w:t xml:space="preserve">Ruta en Canadá</w:t>
      </w:r>
    </w:p>
    <w:p>
      <w:pPr>
        <w:pStyle w:val="FirstParagraph"/>
      </w:pPr>
      <w:r>
        <w:t xml:space="preserve">Canada Job Bank asigna el título de TI</w:t>
      </w:r>
      <w:r>
        <w:t xml:space="preserve"> </w:t>
      </w:r>
      <w:r>
        <w:rPr>
          <w:bCs/>
          <w:b/>
        </w:rPr>
        <w:t xml:space="preserve">Business Intelligence Analyst - Information Technology (IT)</w:t>
      </w:r>
      <w:r>
        <w:t xml:space="preserve"> </w:t>
      </w:r>
      <w:r>
        <w:t xml:space="preserve">a</w:t>
      </w:r>
      <w:r>
        <w:t xml:space="preserve"> </w:t>
      </w:r>
      <w:r>
        <w:rPr>
          <w:bCs/>
          <w:b/>
        </w:rPr>
        <w:t xml:space="preserve">NOC 21221 — Business systems specialists</w:t>
      </w:r>
      <w:r>
        <w:t xml:space="preserve">.</w:t>
      </w:r>
    </w:p>
    <w:p>
      <w:pPr>
        <w:pStyle w:val="BodyText"/>
      </w:pPr>
      <w:r>
        <w:t xml:space="preserve">Requisitos típicos actuales:</w:t>
      </w:r>
    </w:p>
    <w:p>
      <w:pPr>
        <w:numPr>
          <w:ilvl w:val="0"/>
          <w:numId w:val="1041"/>
        </w:numPr>
        <w:pStyle w:val="Compact"/>
      </w:pPr>
      <w:r>
        <w:t xml:space="preserve">bachelor's en computer science, business administration, information systems o disciplina relacionada</w:t>
      </w:r>
      <w:r>
        <w:t xml:space="preserve"> </w:t>
      </w:r>
      <w:r>
        <w:rPr>
          <w:bCs/>
          <w:b/>
        </w:rPr>
        <w:t xml:space="preserve">o</w:t>
      </w:r>
      <w:r>
        <w:t xml:space="preserve"> </w:t>
      </w:r>
      <w:r>
        <w:t xml:space="preserve">programa de college en computer science generalmente requerido;</w:t>
      </w:r>
    </w:p>
    <w:p>
      <w:pPr>
        <w:numPr>
          <w:ilvl w:val="0"/>
          <w:numId w:val="1041"/>
        </w:numPr>
        <w:pStyle w:val="Compact"/>
      </w:pPr>
      <w:r>
        <w:t xml:space="preserve">algunos empleadores pueden exigir certificación/formación de proveedor;</w:t>
      </w:r>
    </w:p>
    <w:p>
      <w:pPr>
        <w:numPr>
          <w:ilvl w:val="0"/>
          <w:numId w:val="1041"/>
        </w:numPr>
        <w:pStyle w:val="Compact"/>
      </w:pPr>
      <w:r>
        <w:t xml:space="preserve">según Job Bank, la ocupación</w:t>
      </w:r>
      <w:r>
        <w:t xml:space="preserve"> </w:t>
      </w:r>
      <w:r>
        <w:rPr>
          <w:bCs/>
          <w:b/>
        </w:rPr>
        <w:t xml:space="preserve">no está regulada en Canadá</w:t>
      </w:r>
      <w:r>
        <w:t xml:space="preserve">.</w:t>
      </w:r>
    </w:p>
    <w:p>
      <w:pPr>
        <w:pStyle w:val="FirstParagraph"/>
      </w:pPr>
      <w:r>
        <w:t xml:space="preserve">Salarios nacionales actuales, actualizados el 19 de noviembre de 2025:</w:t>
      </w:r>
    </w:p>
    <w:p>
      <w:pPr>
        <w:numPr>
          <w:ilvl w:val="0"/>
          <w:numId w:val="1042"/>
        </w:numPr>
        <w:pStyle w:val="Compact"/>
      </w:pPr>
      <w:r>
        <w:t xml:space="preserve">bajo:</w:t>
      </w:r>
      <w:r>
        <w:t xml:space="preserve"> </w:t>
      </w:r>
      <w:r>
        <w:rPr>
          <w:bCs/>
          <w:b/>
        </w:rPr>
        <w:t xml:space="preserve">C$30.67/hora</w:t>
      </w:r>
      <w:r>
        <w:t xml:space="preserve">;</w:t>
      </w:r>
    </w:p>
    <w:p>
      <w:pPr>
        <w:numPr>
          <w:ilvl w:val="0"/>
          <w:numId w:val="1042"/>
        </w:numPr>
        <w:pStyle w:val="Compact"/>
      </w:pPr>
      <w:r>
        <w:t xml:space="preserve">mediana:</w:t>
      </w:r>
      <w:r>
        <w:t xml:space="preserve"> </w:t>
      </w:r>
      <w:r>
        <w:rPr>
          <w:bCs/>
          <w:b/>
        </w:rPr>
        <w:t xml:space="preserve">C$45.13/hora</w:t>
      </w:r>
      <w:r>
        <w:t xml:space="preserve">;</w:t>
      </w:r>
    </w:p>
    <w:p>
      <w:pPr>
        <w:numPr>
          <w:ilvl w:val="0"/>
          <w:numId w:val="1042"/>
        </w:numPr>
        <w:pStyle w:val="Compact"/>
      </w:pPr>
      <w:r>
        <w:t xml:space="preserve">alto:</w:t>
      </w:r>
      <w:r>
        <w:t xml:space="preserve"> </w:t>
      </w:r>
      <w:r>
        <w:rPr>
          <w:bCs/>
          <w:b/>
        </w:rPr>
        <w:t xml:space="preserve">C$62.50/hora</w:t>
      </w:r>
      <w:r>
        <w:t xml:space="preserve">.</w:t>
      </w:r>
    </w:p>
    <w:p>
      <w:pPr>
        <w:pStyle w:val="FirstParagraph"/>
      </w:pPr>
      <w:r>
        <w:t xml:space="preserve">NOC 21221 es más amplio que BI exclusivamente; se trata de una comparación ocupacional. Las perspectivas cambian por provincia/territorio.</w:t>
      </w:r>
    </w:p>
    <w:bookmarkEnd w:id="61"/>
    <w:bookmarkStart w:id="66" w:name="ruta-en-colombia"/>
    <w:p>
      <w:pPr>
        <w:pStyle w:val="Heading2"/>
      </w:pPr>
      <w:r>
        <w:t xml:space="preserve">Ruta en Colombia</w:t>
      </w:r>
    </w:p>
    <w:bookmarkStart w:id="62" w:name="cuoc-25110--analistas-de-sistemas"/>
    <w:p>
      <w:pPr>
        <w:pStyle w:val="Heading3"/>
      </w:pPr>
      <w:r>
        <w:t xml:space="preserve">CUOC 25110 — Analistas de sistemas</w:t>
      </w:r>
    </w:p>
    <w:p>
      <w:pPr>
        <w:pStyle w:val="FirstParagraph"/>
      </w:pPr>
      <w:r>
        <w:t xml:space="preserve">OCUPACOL incluye explícitamente:</w:t>
      </w:r>
    </w:p>
    <w:p>
      <w:pPr>
        <w:numPr>
          <w:ilvl w:val="0"/>
          <w:numId w:val="1043"/>
        </w:numPr>
        <w:pStyle w:val="Compact"/>
      </w:pPr>
      <w:r>
        <w:t xml:space="preserve">Analista de analytics;</w:t>
      </w:r>
    </w:p>
    <w:p>
      <w:pPr>
        <w:numPr>
          <w:ilvl w:val="0"/>
          <w:numId w:val="1043"/>
        </w:numPr>
        <w:pStyle w:val="Compact"/>
      </w:pPr>
      <w:r>
        <w:t xml:space="preserve">Analista de inteligencia de negocio TI;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Analista de inteligencia de negocios</w:t>
      </w:r>
      <w:r>
        <w:t xml:space="preserve">;</w:t>
      </w:r>
    </w:p>
    <w:p>
      <w:pPr>
        <w:numPr>
          <w:ilvl w:val="0"/>
          <w:numId w:val="1043"/>
        </w:numPr>
        <w:pStyle w:val="Compact"/>
      </w:pPr>
      <w:r>
        <w:t xml:space="preserve">Analista de Power BI;</w:t>
      </w:r>
    </w:p>
    <w:p>
      <w:pPr>
        <w:numPr>
          <w:ilvl w:val="0"/>
          <w:numId w:val="1043"/>
        </w:numPr>
        <w:pStyle w:val="Compact"/>
      </w:pPr>
      <w:r>
        <w:t xml:space="preserve">Analista de información comercial;</w:t>
      </w:r>
    </w:p>
    <w:p>
      <w:pPr>
        <w:numPr>
          <w:ilvl w:val="0"/>
          <w:numId w:val="1043"/>
        </w:numPr>
        <w:pStyle w:val="Compact"/>
      </w:pPr>
      <w:r>
        <w:t xml:space="preserve">Analista de procesamiento de información;</w:t>
      </w:r>
    </w:p>
    <w:p>
      <w:pPr>
        <w:numPr>
          <w:ilvl w:val="0"/>
          <w:numId w:val="1043"/>
        </w:numPr>
        <w:pStyle w:val="Compact"/>
      </w:pPr>
      <w:r>
        <w:t xml:space="preserve">Analista informático para análisis de negocio;</w:t>
      </w:r>
    </w:p>
    <w:p>
      <w:pPr>
        <w:numPr>
          <w:ilvl w:val="0"/>
          <w:numId w:val="1043"/>
        </w:numPr>
        <w:pStyle w:val="Compact"/>
      </w:pPr>
      <w:r>
        <w:t xml:space="preserve">Especialista en inteligencia comercial.</w:t>
      </w:r>
    </w:p>
    <w:p>
      <w:pPr>
        <w:pStyle w:val="FirstParagraph"/>
      </w:pPr>
      <w:r>
        <w:t xml:space="preserve">Las funciones oficiales incluyen análisis de requerimientos/procesos, especificaciones funcionales, pruebas, integración de datos con técnicas de visualización/análisis, sistematización de datos masivos y gestión de representaciones de datos.</w:t>
      </w:r>
    </w:p>
    <w:p>
      <w:pPr>
        <w:pStyle w:val="BodyText"/>
      </w:pPr>
      <w:r>
        <w:t xml:space="preserve">OCUPACOL muestra un rango histórico/derivado de</w:t>
      </w:r>
      <w:r>
        <w:t xml:space="preserve"> </w:t>
      </w:r>
      <w:r>
        <w:rPr>
          <w:bCs/>
          <w:b/>
        </w:rPr>
        <w:t xml:space="preserve">COP 800,000–7,113,801</w:t>
      </w:r>
      <w:r>
        <w:t xml:space="preserve">, pero declara que los datos</w:t>
      </w:r>
      <w:r>
        <w:t xml:space="preserve"> </w:t>
      </w:r>
      <w:r>
        <w:rPr>
          <w:bCs/>
          <w:b/>
        </w:rPr>
        <w:t xml:space="preserve">no cuentan con representatividad estadística</w:t>
      </w:r>
      <w:r>
        <w:t xml:space="preserve">. Esta guía no lo usa como salario nacional actual representativo para BI en Colombia.</w:t>
      </w:r>
    </w:p>
    <w:bookmarkEnd w:id="62"/>
    <w:bookmarkStart w:id="63" w:name="X1633b76ee02a42d43fca140a945ba8e05da4f90"/>
    <w:p>
      <w:pPr>
        <w:pStyle w:val="Heading3"/>
      </w:pPr>
      <w:r>
        <w:t xml:space="preserve">SENA — Programación para analítica de datos</w:t>
      </w:r>
    </w:p>
    <w:p>
      <w:pPr>
        <w:pStyle w:val="FirstParagraph"/>
      </w:pPr>
      <w:r>
        <w:t xml:space="preserve">SENA Betowa muestra: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Técnico</w:t>
      </w:r>
      <w:r>
        <w:t xml:space="preserve">;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2,208 horas</w:t>
      </w:r>
      <w:r>
        <w:t xml:space="preserve">;</w:t>
      </w:r>
    </w:p>
    <w:p>
      <w:pPr>
        <w:numPr>
          <w:ilvl w:val="0"/>
          <w:numId w:val="1044"/>
        </w:numPr>
        <w:pStyle w:val="Compact"/>
      </w:pPr>
      <w:r>
        <w:t xml:space="preserve">formación titulada;</w:t>
      </w:r>
    </w:p>
    <w:p>
      <w:pPr>
        <w:numPr>
          <w:ilvl w:val="0"/>
          <w:numId w:val="1044"/>
        </w:numPr>
        <w:pStyle w:val="Compact"/>
      </w:pPr>
      <w:r>
        <w:t xml:space="preserve">procesamiento de datos, metodología estadística e integración/visualización de datos.</w:t>
      </w:r>
    </w:p>
    <w:p>
      <w:pPr>
        <w:pStyle w:val="FirstParagraph"/>
      </w:pPr>
      <w:r>
        <w:t xml:space="preserve">La página puede no tener cohortes abiertas en un momento dado. Verifique la oferta actual.</w:t>
      </w:r>
    </w:p>
    <w:bookmarkEnd w:id="63"/>
    <w:bookmarkStart w:id="64" w:name="X4d772c589ca0d518f58db6305103450bd1e4bd8"/>
    <w:p>
      <w:pPr>
        <w:pStyle w:val="Heading3"/>
      </w:pPr>
      <w:r>
        <w:t xml:space="preserve">SENA — Visualización de datos usando Power BI</w:t>
      </w:r>
    </w:p>
    <w:p>
      <w:pPr>
        <w:pStyle w:val="FirstParagraph"/>
      </w:pPr>
      <w:r>
        <w:t xml:space="preserve">SENA Betowa muestra:</w:t>
      </w:r>
    </w:p>
    <w:p>
      <w:pPr>
        <w:numPr>
          <w:ilvl w:val="0"/>
          <w:numId w:val="1045"/>
        </w:numPr>
        <w:pStyle w:val="Compact"/>
      </w:pPr>
      <w:r>
        <w:t xml:space="preserve">formación complementaria/curso especial;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48 horas</w:t>
      </w:r>
      <w:r>
        <w:t xml:space="preserve">;</w:t>
      </w:r>
    </w:p>
    <w:p>
      <w:pPr>
        <w:numPr>
          <w:ilvl w:val="0"/>
          <w:numId w:val="1045"/>
        </w:numPr>
        <w:pStyle w:val="Compact"/>
      </w:pPr>
      <w:r>
        <w:t xml:space="preserve">ofertas 2026 en algunas modalidades/sedes;</w:t>
      </w:r>
    </w:p>
    <w:p>
      <w:pPr>
        <w:numPr>
          <w:ilvl w:val="0"/>
          <w:numId w:val="1045"/>
        </w:numPr>
        <w:pStyle w:val="Compact"/>
      </w:pPr>
      <w:r>
        <w:t xml:space="preserve">conocimiento básico de ofimática y fundamentos de bases/estadística recomendados.</w:t>
      </w:r>
    </w:p>
    <w:p>
      <w:pPr>
        <w:pStyle w:val="FirstParagraph"/>
      </w:pPr>
      <w:r>
        <w:t xml:space="preserve">Es un curso de habilidad puntual, no una cualificación profesional completa de BI.</w:t>
      </w:r>
    </w:p>
    <w:bookmarkEnd w:id="64"/>
    <w:bookmarkStart w:id="65" w:name="Xb9547773fdd86edfa36d43a06745efff8a17f58"/>
    <w:p>
      <w:pPr>
        <w:pStyle w:val="Heading3"/>
      </w:pPr>
      <w:r>
        <w:t xml:space="preserve">SENA — Analítica de datos para procesos logísticos</w:t>
      </w:r>
    </w:p>
    <w:p>
      <w:pPr>
        <w:pStyle w:val="FirstParagraph"/>
      </w:pPr>
      <w:r>
        <w:t xml:space="preserve">SENA Betowa muestra:</w:t>
      </w:r>
    </w:p>
    <w:p>
      <w:pPr>
        <w:numPr>
          <w:ilvl w:val="0"/>
          <w:numId w:val="1046"/>
        </w:numPr>
        <w:pStyle w:val="Compact"/>
      </w:pPr>
      <w:r>
        <w:t xml:space="preserve">complementaria virtual;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48 horas</w:t>
      </w:r>
      <w:r>
        <w:t xml:space="preserve">;</w:t>
      </w:r>
    </w:p>
    <w:p>
      <w:pPr>
        <w:numPr>
          <w:ilvl w:val="0"/>
          <w:numId w:val="1046"/>
        </w:numPr>
        <w:pStyle w:val="Compact"/>
      </w:pPr>
      <w:r>
        <w:t xml:space="preserve">almacenamiento/tratamiento, consultas, homogenización y presentación analítica.</w:t>
      </w:r>
    </w:p>
    <w:p>
      <w:pPr>
        <w:pStyle w:val="FirstParagraph"/>
      </w:pPr>
      <w:r>
        <w:t xml:space="preserve">Es un complemento específico de dominio, no una credencial universal de BI.</w:t>
      </w:r>
    </w:p>
    <w:bookmarkEnd w:id="65"/>
    <w:bookmarkEnd w:id="66"/>
    <w:bookmarkStart w:id="67" w:name="ruta-más-amplia-en-américa-latina"/>
    <w:p>
      <w:pPr>
        <w:pStyle w:val="Heading2"/>
      </w:pPr>
      <w:r>
        <w:t xml:space="preserve">Ruta más amplia en América Latina</w:t>
      </w:r>
    </w:p>
    <w:p>
      <w:pPr>
        <w:pStyle w:val="FirstParagraph"/>
      </w:pPr>
      <w:r>
        <w:t xml:space="preserve">Los sistemas de formación varían. OIT/Cinterfor puede ayudar a localizar instituciones nacionales. Verifique directamente programa, costo, modalidad, admisión y reconocimiento.</w:t>
      </w:r>
    </w:p>
    <w:bookmarkEnd w:id="67"/>
    <w:bookmarkStart w:id="68" w:name="evidencia-para-el-currículum"/>
    <w:p>
      <w:pPr>
        <w:pStyle w:val="Heading2"/>
      </w:pPr>
      <w:r>
        <w:t xml:space="preserve">Evidencia para el currículum</w:t>
      </w:r>
    </w:p>
    <w:p>
      <w:pPr>
        <w:pStyle w:val="FirstParagraph"/>
      </w:pPr>
      <w:r>
        <w:t xml:space="preserve">Bullets fuertes muestran impacto y evidencia, por ejemplo:</w:t>
      </w:r>
    </w:p>
    <w:p>
      <w:pPr>
        <w:numPr>
          <w:ilvl w:val="0"/>
          <w:numId w:val="1047"/>
        </w:numPr>
        <w:pStyle w:val="Compact"/>
      </w:pPr>
      <w:r>
        <w:t xml:space="preserve">concilió métricas ejecutivas con la fuente gobernada de finanzas;</w:t>
      </w:r>
    </w:p>
    <w:p>
      <w:pPr>
        <w:numPr>
          <w:ilvl w:val="0"/>
          <w:numId w:val="1047"/>
        </w:numPr>
        <w:pStyle w:val="Compact"/>
      </w:pPr>
      <w:r>
        <w:t xml:space="preserve">redujo reporting manual automatizando un pipeline validado;</w:t>
      </w:r>
    </w:p>
    <w:p>
      <w:pPr>
        <w:numPr>
          <w:ilvl w:val="0"/>
          <w:numId w:val="1047"/>
        </w:numPr>
        <w:pStyle w:val="Compact"/>
      </w:pPr>
      <w:r>
        <w:t xml:space="preserve">definió KPI con responsables y documentó linaje;</w:t>
      </w:r>
    </w:p>
    <w:p>
      <w:pPr>
        <w:numPr>
          <w:ilvl w:val="0"/>
          <w:numId w:val="1047"/>
        </w:numPr>
        <w:pStyle w:val="Compact"/>
      </w:pPr>
      <w:r>
        <w:t xml:space="preserve">identificó un error de join que sobrestimaba transacciones;</w:t>
      </w:r>
    </w:p>
    <w:p>
      <w:pPr>
        <w:numPr>
          <w:ilvl w:val="0"/>
          <w:numId w:val="1047"/>
        </w:numPr>
        <w:pStyle w:val="Compact"/>
      </w:pPr>
      <w:r>
        <w:t xml:space="preserve">creó tableros con acceso restringido por roles;</w:t>
      </w:r>
    </w:p>
    <w:p>
      <w:pPr>
        <w:numPr>
          <w:ilvl w:val="0"/>
          <w:numId w:val="1047"/>
        </w:numPr>
        <w:pStyle w:val="Compact"/>
      </w:pPr>
      <w:r>
        <w:t xml:space="preserve">mejoró monitoreo de calidad de nulos y duplicados.</w:t>
      </w:r>
    </w:p>
    <w:p>
      <w:pPr>
        <w:pStyle w:val="FirstParagraph"/>
      </w:pPr>
      <w:r>
        <w:t xml:space="preserve">Use solo hechos demostrables. No invente impacto financiero, usuarios, certificaciones o experiencia con herramientas.</w:t>
      </w:r>
    </w:p>
    <w:bookmarkEnd w:id="68"/>
    <w:bookmarkStart w:id="69" w:name="preparación-para-entrevistas"/>
    <w:p>
      <w:pPr>
        <w:pStyle w:val="Heading2"/>
      </w:pPr>
      <w:r>
        <w:t xml:space="preserve">Preparación para entrevistas</w:t>
      </w:r>
    </w:p>
    <w:p>
      <w:pPr>
        <w:pStyle w:val="FirstParagraph"/>
      </w:pPr>
      <w:r>
        <w:t xml:space="preserve">Prepárese para explicar:</w:t>
      </w:r>
    </w:p>
    <w:p>
      <w:pPr>
        <w:numPr>
          <w:ilvl w:val="0"/>
          <w:numId w:val="1048"/>
        </w:numPr>
        <w:pStyle w:val="Compact"/>
      </w:pPr>
      <w:r>
        <w:t xml:space="preserve">cómo convierte una solicitud vaga en una métrica;</w:t>
      </w:r>
    </w:p>
    <w:p>
      <w:pPr>
        <w:numPr>
          <w:ilvl w:val="0"/>
          <w:numId w:val="1048"/>
        </w:numPr>
        <w:pStyle w:val="Compact"/>
      </w:pPr>
      <w:r>
        <w:t xml:space="preserve">cómo valida SQL;</w:t>
      </w:r>
    </w:p>
    <w:p>
      <w:pPr>
        <w:numPr>
          <w:ilvl w:val="0"/>
          <w:numId w:val="1048"/>
        </w:numPr>
        <w:pStyle w:val="Compact"/>
      </w:pPr>
      <w:r>
        <w:t xml:space="preserve">riesgo de joins muchos-a-muchos;</w:t>
      </w:r>
    </w:p>
    <w:p>
      <w:pPr>
        <w:numPr>
          <w:ilvl w:val="0"/>
          <w:numId w:val="1048"/>
        </w:numPr>
        <w:pStyle w:val="Compact"/>
      </w:pPr>
      <w:r>
        <w:t xml:space="preserve">diferencia entre hecho y dimensión;</w:t>
      </w:r>
    </w:p>
    <w:p>
      <w:pPr>
        <w:numPr>
          <w:ilvl w:val="0"/>
          <w:numId w:val="1048"/>
        </w:numPr>
        <w:pStyle w:val="Compact"/>
      </w:pPr>
      <w:r>
        <w:t xml:space="preserve">cómo concilia un tablero;</w:t>
      </w:r>
    </w:p>
    <w:p>
      <w:pPr>
        <w:numPr>
          <w:ilvl w:val="0"/>
          <w:numId w:val="1048"/>
        </w:numPr>
        <w:pStyle w:val="Compact"/>
      </w:pPr>
      <w:r>
        <w:t xml:space="preserve">cómo maneja definiciones de KPI conflictivas;</w:t>
      </w:r>
    </w:p>
    <w:p>
      <w:pPr>
        <w:numPr>
          <w:ilvl w:val="0"/>
          <w:numId w:val="1048"/>
        </w:numPr>
        <w:pStyle w:val="Compact"/>
      </w:pPr>
      <w:r>
        <w:t xml:space="preserve">cómo elige un gráfico;</w:t>
      </w:r>
    </w:p>
    <w:p>
      <w:pPr>
        <w:numPr>
          <w:ilvl w:val="0"/>
          <w:numId w:val="1048"/>
        </w:numPr>
        <w:pStyle w:val="Compact"/>
      </w:pPr>
      <w:r>
        <w:t xml:space="preserve">cómo evita interpretación engañosa;</w:t>
      </w:r>
    </w:p>
    <w:p>
      <w:pPr>
        <w:numPr>
          <w:ilvl w:val="0"/>
          <w:numId w:val="1048"/>
        </w:numPr>
        <w:pStyle w:val="Compact"/>
      </w:pPr>
      <w:r>
        <w:t xml:space="preserve">cómo protege datos sensibles;</w:t>
      </w:r>
    </w:p>
    <w:p>
      <w:pPr>
        <w:numPr>
          <w:ilvl w:val="0"/>
          <w:numId w:val="1048"/>
        </w:numPr>
        <w:pStyle w:val="Compact"/>
      </w:pPr>
      <w:r>
        <w:t xml:space="preserve">cómo valida SQL/narrativa de IA;</w:t>
      </w:r>
    </w:p>
    <w:p>
      <w:pPr>
        <w:numPr>
          <w:ilvl w:val="0"/>
          <w:numId w:val="1048"/>
        </w:numPr>
        <w:pStyle w:val="Compact"/>
      </w:pPr>
      <w:r>
        <w:t xml:space="preserve">qué hace si el resultado contradice expectativas.</w:t>
      </w:r>
    </w:p>
    <w:p>
      <w:pPr>
        <w:pStyle w:val="FirstParagraph"/>
      </w:pPr>
      <w:r>
        <w:t xml:space="preserve">Un buen analista explica método y limitaciones, no solo herramientas.</w:t>
      </w:r>
    </w:p>
    <w:bookmarkEnd w:id="69"/>
    <w:bookmarkStart w:id="70" w:name="preguntas-para-un-empleador"/>
    <w:p>
      <w:pPr>
        <w:pStyle w:val="Heading2"/>
      </w:pPr>
      <w:r>
        <w:t xml:space="preserve">Preguntas para un empleador</w:t>
      </w:r>
    </w:p>
    <w:p>
      <w:pPr>
        <w:pStyle w:val="FirstParagraph"/>
      </w:pPr>
      <w:r>
        <w:t xml:space="preserve">Pregunte sobre:</w:t>
      </w:r>
    </w:p>
    <w:p>
      <w:pPr>
        <w:numPr>
          <w:ilvl w:val="0"/>
          <w:numId w:val="1049"/>
        </w:numPr>
        <w:pStyle w:val="Compact"/>
      </w:pPr>
      <w:r>
        <w:t xml:space="preserve">plataformas de datos autorizadas;</w:t>
      </w:r>
    </w:p>
    <w:p>
      <w:pPr>
        <w:numPr>
          <w:ilvl w:val="0"/>
          <w:numId w:val="1049"/>
        </w:numPr>
        <w:pStyle w:val="Compact"/>
      </w:pPr>
      <w:r>
        <w:t xml:space="preserve">herramientas BI;</w:t>
      </w:r>
    </w:p>
    <w:p>
      <w:pPr>
        <w:numPr>
          <w:ilvl w:val="0"/>
          <w:numId w:val="1049"/>
        </w:numPr>
        <w:pStyle w:val="Compact"/>
      </w:pPr>
      <w:r>
        <w:t xml:space="preserve">arquitectura warehouse/lakehouse;</w:t>
      </w:r>
    </w:p>
    <w:p>
      <w:pPr>
        <w:numPr>
          <w:ilvl w:val="0"/>
          <w:numId w:val="1049"/>
        </w:numPr>
        <w:pStyle w:val="Compact"/>
      </w:pPr>
      <w:r>
        <w:t xml:space="preserve">propiedad/gobierno de métricas;</w:t>
      </w:r>
    </w:p>
    <w:p>
      <w:pPr>
        <w:numPr>
          <w:ilvl w:val="0"/>
          <w:numId w:val="1049"/>
        </w:numPr>
        <w:pStyle w:val="Compact"/>
      </w:pPr>
      <w:r>
        <w:t xml:space="preserve">calidad de datos;</w:t>
      </w:r>
    </w:p>
    <w:p>
      <w:pPr>
        <w:numPr>
          <w:ilvl w:val="0"/>
          <w:numId w:val="1049"/>
        </w:numPr>
        <w:pStyle w:val="Compact"/>
      </w:pPr>
      <w:r>
        <w:t xml:space="preserve">revisión/despliegue;</w:t>
      </w:r>
    </w:p>
    <w:p>
      <w:pPr>
        <w:numPr>
          <w:ilvl w:val="0"/>
          <w:numId w:val="1049"/>
        </w:numPr>
        <w:pStyle w:val="Compact"/>
      </w:pPr>
      <w:r>
        <w:t xml:space="preserve">acceso/seguridad;</w:t>
      </w:r>
    </w:p>
    <w:p>
      <w:pPr>
        <w:numPr>
          <w:ilvl w:val="0"/>
          <w:numId w:val="1049"/>
        </w:numPr>
        <w:pStyle w:val="Compact"/>
      </w:pPr>
      <w:r>
        <w:t xml:space="preserve">división analista-ingeniería;</w:t>
      </w:r>
    </w:p>
    <w:p>
      <w:pPr>
        <w:numPr>
          <w:ilvl w:val="0"/>
          <w:numId w:val="1049"/>
        </w:numPr>
        <w:pStyle w:val="Compact"/>
      </w:pPr>
      <w:r>
        <w:t xml:space="preserve">profundidad esperada de SQL;</w:t>
      </w:r>
    </w:p>
    <w:p>
      <w:pPr>
        <w:numPr>
          <w:ilvl w:val="0"/>
          <w:numId w:val="1049"/>
        </w:numPr>
        <w:pStyle w:val="Compact"/>
      </w:pPr>
      <w:r>
        <w:t xml:space="preserve">estadística/experimentación;</w:t>
      </w:r>
    </w:p>
    <w:p>
      <w:pPr>
        <w:numPr>
          <w:ilvl w:val="0"/>
          <w:numId w:val="1049"/>
        </w:numPr>
        <w:pStyle w:val="Compact"/>
      </w:pPr>
      <w:r>
        <w:t xml:space="preserve">política de IA;</w:t>
      </w:r>
    </w:p>
    <w:p>
      <w:pPr>
        <w:numPr>
          <w:ilvl w:val="0"/>
          <w:numId w:val="1049"/>
        </w:numPr>
        <w:pStyle w:val="Compact"/>
      </w:pPr>
      <w:r>
        <w:t xml:space="preserve">documentación/control de versiones;</w:t>
      </w:r>
    </w:p>
    <w:p>
      <w:pPr>
        <w:numPr>
          <w:ilvl w:val="0"/>
          <w:numId w:val="1049"/>
        </w:numPr>
        <w:pStyle w:val="Compact"/>
      </w:pPr>
      <w:r>
        <w:t xml:space="preserve">apoyo a formación;</w:t>
      </w:r>
    </w:p>
    <w:p>
      <w:pPr>
        <w:numPr>
          <w:ilvl w:val="0"/>
          <w:numId w:val="1049"/>
        </w:numPr>
        <w:pStyle w:val="Compact"/>
      </w:pPr>
      <w:r>
        <w:t xml:space="preserve">estándares de accesibilidad.</w:t>
      </w:r>
    </w:p>
    <w:bookmarkEnd w:id="70"/>
    <w:bookmarkStart w:id="71" w:name="primeros-30-días"/>
    <w:p>
      <w:pPr>
        <w:pStyle w:val="Heading2"/>
      </w:pPr>
      <w:r>
        <w:t xml:space="preserve">Primeros 30 días</w:t>
      </w:r>
    </w:p>
    <w:p>
      <w:pPr>
        <w:pStyle w:val="FirstParagraph"/>
      </w:pPr>
      <w:r>
        <w:t xml:space="preserve">Prioridades:</w:t>
      </w:r>
    </w:p>
    <w:p>
      <w:pPr>
        <w:numPr>
          <w:ilvl w:val="0"/>
          <w:numId w:val="1050"/>
        </w:numPr>
        <w:pStyle w:val="Compact"/>
      </w:pPr>
      <w:r>
        <w:t xml:space="preserve">aprender el modelo de negocio y decisiones clave;</w:t>
      </w:r>
    </w:p>
    <w:p>
      <w:pPr>
        <w:numPr>
          <w:ilvl w:val="0"/>
          <w:numId w:val="1050"/>
        </w:numPr>
        <w:pStyle w:val="Compact"/>
      </w:pPr>
      <w:r>
        <w:t xml:space="preserve">identificar fuentes autorizadas y responsables;</w:t>
      </w:r>
    </w:p>
    <w:p>
      <w:pPr>
        <w:numPr>
          <w:ilvl w:val="0"/>
          <w:numId w:val="1050"/>
        </w:numPr>
        <w:pStyle w:val="Compact"/>
      </w:pPr>
      <w:r>
        <w:t xml:space="preserve">aprender definiciones de métricas;</w:t>
      </w:r>
    </w:p>
    <w:p>
      <w:pPr>
        <w:numPr>
          <w:ilvl w:val="0"/>
          <w:numId w:val="1050"/>
        </w:numPr>
        <w:pStyle w:val="Compact"/>
      </w:pPr>
      <w:r>
        <w:t xml:space="preserve">comprender frecuencia/latencia;</w:t>
      </w:r>
    </w:p>
    <w:p>
      <w:pPr>
        <w:numPr>
          <w:ilvl w:val="0"/>
          <w:numId w:val="1050"/>
        </w:numPr>
        <w:pStyle w:val="Compact"/>
      </w:pPr>
      <w:r>
        <w:t xml:space="preserve">aprender reglas de acceso/seguridad;</w:t>
      </w:r>
    </w:p>
    <w:p>
      <w:pPr>
        <w:numPr>
          <w:ilvl w:val="0"/>
          <w:numId w:val="1050"/>
        </w:numPr>
        <w:pStyle w:val="Compact"/>
      </w:pPr>
      <w:r>
        <w:t xml:space="preserve">revisar tableros recurrentes y problemas conocidos;</w:t>
      </w:r>
    </w:p>
    <w:p>
      <w:pPr>
        <w:numPr>
          <w:ilvl w:val="0"/>
          <w:numId w:val="1050"/>
        </w:numPr>
        <w:pStyle w:val="Compact"/>
      </w:pPr>
      <w:r>
        <w:t xml:space="preserve">conocer revisión/despliegue;</w:t>
      </w:r>
    </w:p>
    <w:p>
      <w:pPr>
        <w:numPr>
          <w:ilvl w:val="0"/>
          <w:numId w:val="1050"/>
        </w:numPr>
        <w:pStyle w:val="Compact"/>
      </w:pPr>
      <w:r>
        <w:t xml:space="preserve">comprender expectativas de stakeholders;</w:t>
      </w:r>
    </w:p>
    <w:p>
      <w:pPr>
        <w:numPr>
          <w:ilvl w:val="0"/>
          <w:numId w:val="1050"/>
        </w:numPr>
        <w:pStyle w:val="Compact"/>
      </w:pPr>
      <w:r>
        <w:t xml:space="preserve">documentar linaje y supuestos;</w:t>
      </w:r>
    </w:p>
    <w:p>
      <w:pPr>
        <w:numPr>
          <w:ilvl w:val="0"/>
          <w:numId w:val="1050"/>
        </w:numPr>
        <w:pStyle w:val="Compact"/>
      </w:pPr>
      <w:r>
        <w:t xml:space="preserve">no cambiar lógica KPI productiva sin aprobación.</w:t>
      </w:r>
    </w:p>
    <w:bookmarkEnd w:id="71"/>
    <w:bookmarkStart w:id="72" w:name="plan-de-progreso-de-90-días"/>
    <w:p>
      <w:pPr>
        <w:pStyle w:val="Heading2"/>
      </w:pPr>
      <w:r>
        <w:t xml:space="preserve">Plan de progreso de 90 días</w:t>
      </w:r>
    </w:p>
    <w:p>
      <w:pPr>
        <w:pStyle w:val="FirstParagraph"/>
      </w:pPr>
      <w:r>
        <w:t xml:space="preserve">Busque poder:</w:t>
      </w:r>
    </w:p>
    <w:p>
      <w:pPr>
        <w:numPr>
          <w:ilvl w:val="0"/>
          <w:numId w:val="1051"/>
        </w:numPr>
        <w:pStyle w:val="Compact"/>
      </w:pPr>
      <w:r>
        <w:t xml:space="preserve">aclarar requerimientos comunes;</w:t>
      </w:r>
    </w:p>
    <w:p>
      <w:pPr>
        <w:numPr>
          <w:ilvl w:val="0"/>
          <w:numId w:val="1051"/>
        </w:numPr>
        <w:pStyle w:val="Compact"/>
      </w:pPr>
      <w:r>
        <w:t xml:space="preserve">escribir/validar SQL confiable;</w:t>
      </w:r>
    </w:p>
    <w:p>
      <w:pPr>
        <w:numPr>
          <w:ilvl w:val="0"/>
          <w:numId w:val="1051"/>
        </w:numPr>
        <w:pStyle w:val="Compact"/>
      </w:pPr>
      <w:r>
        <w:t xml:space="preserve">explicar linaje;</w:t>
      </w:r>
    </w:p>
    <w:p>
      <w:pPr>
        <w:numPr>
          <w:ilvl w:val="0"/>
          <w:numId w:val="1051"/>
        </w:numPr>
        <w:pStyle w:val="Compact"/>
      </w:pPr>
      <w:r>
        <w:t xml:space="preserve">mantener métricas gobernadas;</w:t>
      </w:r>
    </w:p>
    <w:p>
      <w:pPr>
        <w:numPr>
          <w:ilvl w:val="0"/>
          <w:numId w:val="1051"/>
        </w:numPr>
        <w:pStyle w:val="Compact"/>
      </w:pPr>
      <w:r>
        <w:t xml:space="preserve">conciliar tableros;</w:t>
      </w:r>
    </w:p>
    <w:p>
      <w:pPr>
        <w:numPr>
          <w:ilvl w:val="0"/>
          <w:numId w:val="1051"/>
        </w:numPr>
        <w:pStyle w:val="Compact"/>
      </w:pPr>
      <w:r>
        <w:t xml:space="preserve">detectar problemas de calidad;</w:t>
      </w:r>
    </w:p>
    <w:p>
      <w:pPr>
        <w:numPr>
          <w:ilvl w:val="0"/>
          <w:numId w:val="1051"/>
        </w:numPr>
        <w:pStyle w:val="Compact"/>
      </w:pPr>
      <w:r>
        <w:t xml:space="preserve">comunicar limitaciones;</w:t>
      </w:r>
    </w:p>
    <w:p>
      <w:pPr>
        <w:numPr>
          <w:ilvl w:val="0"/>
          <w:numId w:val="1051"/>
        </w:numPr>
        <w:pStyle w:val="Compact"/>
      </w:pPr>
      <w:r>
        <w:t xml:space="preserve">crear visuales accesibles y orientados a decisiones;</w:t>
      </w:r>
    </w:p>
    <w:p>
      <w:pPr>
        <w:numPr>
          <w:ilvl w:val="0"/>
          <w:numId w:val="1051"/>
        </w:numPr>
        <w:pStyle w:val="Compact"/>
      </w:pPr>
      <w:r>
        <w:t xml:space="preserve">manejar datos sensibles correctamente;</w:t>
      </w:r>
    </w:p>
    <w:p>
      <w:pPr>
        <w:numPr>
          <w:ilvl w:val="0"/>
          <w:numId w:val="1051"/>
        </w:numPr>
        <w:pStyle w:val="Compact"/>
      </w:pPr>
      <w:r>
        <w:t xml:space="preserve">usar IA/automatización bajo controles;</w:t>
      </w:r>
    </w:p>
    <w:p>
      <w:pPr>
        <w:numPr>
          <w:ilvl w:val="0"/>
          <w:numId w:val="1051"/>
        </w:numPr>
        <w:pStyle w:val="Compact"/>
      </w:pPr>
      <w:r>
        <w:t xml:space="preserve">elegir la siguiente ruta: BI senior, analytics engineering, data engineering, data science, sistemas o liderazgo.</w:t>
      </w:r>
    </w:p>
    <w:bookmarkEnd w:id="72"/>
    <w:bookmarkStart w:id="73" w:name="lista-antes-de-postularse"/>
    <w:p>
      <w:pPr>
        <w:pStyle w:val="Heading2"/>
      </w:pPr>
      <w:r>
        <w:t xml:space="preserve">Lista antes de postularse</w:t>
      </w:r>
    </w:p>
    <w:p>
      <w:pPr>
        <w:pStyle w:val="FirstParagraph"/>
      </w:pPr>
      <w:r>
        <w:t xml:space="preserve">Confirme que puede hablar de:</w:t>
      </w:r>
    </w:p>
    <w:p>
      <w:pPr>
        <w:numPr>
          <w:ilvl w:val="0"/>
          <w:numId w:val="1052"/>
        </w:numPr>
        <w:pStyle w:val="Compact"/>
      </w:pPr>
      <w:r>
        <w:t xml:space="preserve">pregunta de negocio/KPI;</w:t>
      </w:r>
    </w:p>
    <w:p>
      <w:pPr>
        <w:numPr>
          <w:ilvl w:val="0"/>
          <w:numId w:val="1052"/>
        </w:numPr>
        <w:pStyle w:val="Compact"/>
      </w:pPr>
      <w:r>
        <w:t xml:space="preserve">joins/agregación SQL;</w:t>
      </w:r>
    </w:p>
    <w:p>
      <w:pPr>
        <w:numPr>
          <w:ilvl w:val="0"/>
          <w:numId w:val="1052"/>
        </w:numPr>
        <w:pStyle w:val="Compact"/>
      </w:pPr>
      <w:r>
        <w:t xml:space="preserve">granularidad/duplicación;</w:t>
      </w:r>
    </w:p>
    <w:p>
      <w:pPr>
        <w:numPr>
          <w:ilvl w:val="0"/>
          <w:numId w:val="1052"/>
        </w:numPr>
        <w:pStyle w:val="Compact"/>
      </w:pPr>
      <w:r>
        <w:t xml:space="preserve">limpieza/transformación;</w:t>
      </w:r>
    </w:p>
    <w:p>
      <w:pPr>
        <w:numPr>
          <w:ilvl w:val="0"/>
          <w:numId w:val="1052"/>
        </w:numPr>
        <w:pStyle w:val="Compact"/>
      </w:pPr>
      <w:r>
        <w:t xml:space="preserve">esquema estrella;</w:t>
      </w:r>
    </w:p>
    <w:p>
      <w:pPr>
        <w:numPr>
          <w:ilvl w:val="0"/>
          <w:numId w:val="1052"/>
        </w:numPr>
        <w:pStyle w:val="Compact"/>
      </w:pPr>
      <w:r>
        <w:t xml:space="preserve">conciliación;</w:t>
      </w:r>
    </w:p>
    <w:p>
      <w:pPr>
        <w:numPr>
          <w:ilvl w:val="0"/>
          <w:numId w:val="1052"/>
        </w:numPr>
        <w:pStyle w:val="Compact"/>
      </w:pPr>
      <w:r>
        <w:t xml:space="preserve">diseño de tableros;</w:t>
      </w:r>
    </w:p>
    <w:p>
      <w:pPr>
        <w:numPr>
          <w:ilvl w:val="0"/>
          <w:numId w:val="1052"/>
        </w:numPr>
        <w:pStyle w:val="Compact"/>
      </w:pPr>
      <w:r>
        <w:t xml:space="preserve">estadística descriptiva;</w:t>
      </w:r>
    </w:p>
    <w:p>
      <w:pPr>
        <w:numPr>
          <w:ilvl w:val="0"/>
          <w:numId w:val="1052"/>
        </w:numPr>
        <w:pStyle w:val="Compact"/>
      </w:pPr>
      <w:r>
        <w:t xml:space="preserve">riesgos de visualización engañosa;</w:t>
      </w:r>
    </w:p>
    <w:p>
      <w:pPr>
        <w:numPr>
          <w:ilvl w:val="0"/>
          <w:numId w:val="1052"/>
        </w:numPr>
        <w:pStyle w:val="Compact"/>
      </w:pPr>
      <w:r>
        <w:t xml:space="preserve">privacidad/acceso;</w:t>
      </w:r>
    </w:p>
    <w:p>
      <w:pPr>
        <w:numPr>
          <w:ilvl w:val="0"/>
          <w:numId w:val="1052"/>
        </w:numPr>
        <w:pStyle w:val="Compact"/>
      </w:pPr>
      <w:r>
        <w:t xml:space="preserve">IA responsable;</w:t>
      </w:r>
    </w:p>
    <w:p>
      <w:pPr>
        <w:numPr>
          <w:ilvl w:val="0"/>
          <w:numId w:val="1052"/>
        </w:numPr>
        <w:pStyle w:val="Compact"/>
      </w:pPr>
      <w:r>
        <w:t xml:space="preserve">un proyecto de portafolio con fuente/validación documentada.</w:t>
      </w:r>
    </w:p>
    <w:bookmarkEnd w:id="73"/>
    <w:bookmarkStart w:id="74" w:name="preguntas-antes-de-comprar-formación"/>
    <w:p>
      <w:pPr>
        <w:pStyle w:val="Heading2"/>
      </w:pPr>
      <w:r>
        <w:t xml:space="preserve">Preguntas antes de comprar formación</w:t>
      </w:r>
    </w:p>
    <w:p>
      <w:pPr>
        <w:numPr>
          <w:ilvl w:val="0"/>
          <w:numId w:val="1053"/>
        </w:numPr>
        <w:pStyle w:val="Compact"/>
      </w:pPr>
      <w:r>
        <w:t xml:space="preserve">¿Enseña SQL con práctica?</w:t>
      </w:r>
    </w:p>
    <w:p>
      <w:pPr>
        <w:numPr>
          <w:ilvl w:val="0"/>
          <w:numId w:val="1053"/>
        </w:numPr>
        <w:pStyle w:val="Compact"/>
      </w:pPr>
      <w:r>
        <w:t xml:space="preserve">¿Cubre modelado, no solo clics de dashboard?</w:t>
      </w:r>
    </w:p>
    <w:p>
      <w:pPr>
        <w:numPr>
          <w:ilvl w:val="0"/>
          <w:numId w:val="1053"/>
        </w:numPr>
        <w:pStyle w:val="Compact"/>
      </w:pPr>
      <w:r>
        <w:t xml:space="preserve">¿Incluye calidad y conciliación?</w:t>
      </w:r>
    </w:p>
    <w:p>
      <w:pPr>
        <w:numPr>
          <w:ilvl w:val="0"/>
          <w:numId w:val="1053"/>
        </w:numPr>
        <w:pStyle w:val="Compact"/>
      </w:pPr>
      <w:r>
        <w:t xml:space="preserve">¿Qué plataformas usa?</w:t>
      </w:r>
    </w:p>
    <w:p>
      <w:pPr>
        <w:numPr>
          <w:ilvl w:val="0"/>
          <w:numId w:val="1053"/>
        </w:numPr>
        <w:pStyle w:val="Compact"/>
      </w:pPr>
      <w:r>
        <w:t xml:space="preserve">¿Hay portafolio con datos públicos/sintéticos?</w:t>
      </w:r>
    </w:p>
    <w:p>
      <w:pPr>
        <w:numPr>
          <w:ilvl w:val="0"/>
          <w:numId w:val="1053"/>
        </w:numPr>
        <w:pStyle w:val="Compact"/>
      </w:pPr>
      <w:r>
        <w:t xml:space="preserve">¿Los instructores/resultados son verificables?</w:t>
      </w:r>
    </w:p>
    <w:p>
      <w:pPr>
        <w:numPr>
          <w:ilvl w:val="0"/>
          <w:numId w:val="1053"/>
        </w:numPr>
        <w:pStyle w:val="Compact"/>
      </w:pPr>
      <w:r>
        <w:t xml:space="preserve">¿Cuál es el costo total, incluidos exámenes/software?</w:t>
      </w:r>
    </w:p>
    <w:p>
      <w:pPr>
        <w:numPr>
          <w:ilvl w:val="0"/>
          <w:numId w:val="1053"/>
        </w:numPr>
        <w:pStyle w:val="Compact"/>
      </w:pPr>
      <w:r>
        <w:t xml:space="preserve">¿Hay financiación y cuáles son las reglas?</w:t>
      </w:r>
    </w:p>
    <w:p>
      <w:pPr>
        <w:numPr>
          <w:ilvl w:val="0"/>
          <w:numId w:val="1053"/>
        </w:numPr>
        <w:pStyle w:val="Compact"/>
      </w:pPr>
      <w:r>
        <w:t xml:space="preserve">¿Qué adaptaciones de accesibilidad ofrece?</w:t>
      </w:r>
    </w:p>
    <w:p>
      <w:pPr>
        <w:numPr>
          <w:ilvl w:val="0"/>
          <w:numId w:val="1053"/>
        </w:numPr>
        <w:pStyle w:val="Compact"/>
      </w:pPr>
      <w:r>
        <w:t xml:space="preserve">¿La credencial coincide con empleadores objetivo?</w:t>
      </w:r>
    </w:p>
    <w:p>
      <w:pPr>
        <w:pStyle w:val="FirstParagraph"/>
      </w:pPr>
      <w:r>
        <w:t xml:space="preserve">No dependa de promesas de trabajo o ingresos garantizados.</w:t>
      </w:r>
    </w:p>
    <w:bookmarkEnd w:id="74"/>
    <w:bookmarkStart w:id="100" w:name="fuentes-controladas"/>
    <w:p>
      <w:pPr>
        <w:pStyle w:val="Heading2"/>
      </w:pPr>
      <w:r>
        <w:t xml:space="preserve">Fuentes controladas</w:t>
      </w:r>
    </w:p>
    <w:p>
      <w:pPr>
        <w:numPr>
          <w:ilvl w:val="0"/>
          <w:numId w:val="1054"/>
        </w:numPr>
        <w:pStyle w:val="Compact"/>
      </w:pPr>
      <w:hyperlink r:id="rId75">
        <w:hyperlink r:id="rId75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54"/>
        </w:numPr>
        <w:pStyle w:val="Compact"/>
      </w:pPr>
      <w:hyperlink r:id="rId76">
        <w:hyperlink r:id="rId76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54"/>
        </w:numPr>
        <w:pStyle w:val="Compact"/>
      </w:pPr>
      <w:hyperlink r:id="rId77">
        <w:hyperlink r:id="rId77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54"/>
        </w:numPr>
        <w:pStyle w:val="Compact"/>
      </w:pPr>
      <w:hyperlink r:id="rId78">
        <w:hyperlink r:id="rId78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54"/>
        </w:numPr>
        <w:pStyle w:val="Compact"/>
      </w:pPr>
      <w:hyperlink r:id="rId79">
        <w:hyperlink r:id="rId79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54"/>
        </w:numPr>
        <w:pStyle w:val="Compact"/>
      </w:pPr>
      <w:hyperlink r:id="rId80">
        <w:hyperlink r:id="rId80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54"/>
        </w:numPr>
        <w:pStyle w:val="Compact"/>
      </w:pPr>
      <w:hyperlink r:id="rId81">
        <w:hyperlink r:id="rId81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54"/>
        </w:numPr>
        <w:pStyle w:val="Compact"/>
      </w:pPr>
      <w:hyperlink r:id="rId82">
        <w:hyperlink r:id="rId82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54"/>
        </w:numPr>
        <w:pStyle w:val="Compact"/>
      </w:pPr>
      <w:hyperlink r:id="rId83">
        <w:hyperlink r:id="rId83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54"/>
        </w:numPr>
        <w:pStyle w:val="Compact"/>
      </w:pPr>
      <w:hyperlink r:id="rId84">
        <w:hyperlink r:id="rId84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54"/>
        </w:numPr>
        <w:pStyle w:val="Compact"/>
      </w:pPr>
      <w:hyperlink r:id="rId85">
        <w:hyperlink r:id="rId85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54"/>
        </w:numPr>
        <w:pStyle w:val="Compact"/>
      </w:pPr>
      <w:hyperlink r:id="rId86">
        <w:hyperlink r:id="rId86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54"/>
        </w:numPr>
        <w:pStyle w:val="Compact"/>
      </w:pPr>
      <w:hyperlink r:id="rId87">
        <w:hyperlink r:id="rId87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54"/>
        </w:numPr>
        <w:pStyle w:val="Compact"/>
      </w:pPr>
      <w:hyperlink r:id="rId88">
        <w:hyperlink r:id="rId88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54"/>
        </w:numPr>
        <w:pStyle w:val="Compact"/>
      </w:pPr>
      <w:hyperlink r:id="rId89">
        <w:hyperlink r:id="rId89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54"/>
        </w:numPr>
        <w:pStyle w:val="Compact"/>
      </w:pPr>
      <w:hyperlink r:id="rId90">
        <w:hyperlink r:id="rId90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54"/>
        </w:numPr>
        <w:pStyle w:val="Compact"/>
      </w:pPr>
      <w:hyperlink r:id="rId91">
        <w:hyperlink r:id="rId91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54"/>
        </w:numPr>
        <w:pStyle w:val="Compact"/>
      </w:pPr>
      <w:hyperlink r:id="rId92">
        <w:r>
          <w:rPr>
            <w:rStyle w:val="Hyperlink"/>
          </w:rPr>
          <w:t xml:space="preserve">https://www.oitcinterfor.org/statsfp/paises</w:t>
        </w:r>
      </w:hyperlink>
    </w:p>
    <w:p>
      <w:pPr>
        <w:numPr>
          <w:ilvl w:val="0"/>
          <w:numId w:val="1054"/>
        </w:numPr>
        <w:pStyle w:val="Compact"/>
      </w:pPr>
      <w:hyperlink r:id="rId93">
        <w:r>
          <w:rPr>
            <w:rStyle w:val="Hyperlink"/>
          </w:rPr>
          <w:t xml:space="preserve">https://www.cisa.gov/secure-our-world</w:t>
        </w:r>
      </w:hyperlink>
    </w:p>
    <w:p>
      <w:pPr>
        <w:numPr>
          <w:ilvl w:val="0"/>
          <w:numId w:val="1054"/>
        </w:numPr>
        <w:pStyle w:val="Compact"/>
      </w:pPr>
      <w:hyperlink r:id="rId94">
        <w:r>
          <w:rPr>
            <w:rStyle w:val="Hyperlink"/>
          </w:rPr>
          <w:t xml:space="preserve">https://www.nist.gov/cyberframework</w:t>
        </w:r>
      </w:hyperlink>
    </w:p>
    <w:p>
      <w:pPr>
        <w:numPr>
          <w:ilvl w:val="0"/>
          <w:numId w:val="1054"/>
        </w:numPr>
        <w:pStyle w:val="Compact"/>
      </w:pPr>
      <w:hyperlink r:id="rId95">
        <w:r>
          <w:rPr>
            <w:rStyle w:val="Hyperlink"/>
          </w:rPr>
          <w:t xml:space="preserve">https://www.nist.gov/privacy-framework</w:t>
        </w:r>
      </w:hyperlink>
    </w:p>
    <w:p>
      <w:pPr>
        <w:numPr>
          <w:ilvl w:val="0"/>
          <w:numId w:val="1054"/>
        </w:numPr>
        <w:pStyle w:val="Compact"/>
      </w:pPr>
      <w:hyperlink r:id="rId96">
        <w:hyperlink r:id="rId96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54"/>
        </w:numPr>
        <w:pStyle w:val="Compact"/>
      </w:pPr>
      <w:hyperlink r:id="rId97">
        <w:hyperlink r:id="rId97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54"/>
        </w:numPr>
        <w:pStyle w:val="Compact"/>
      </w:pPr>
      <w:hyperlink r:id="rId98">
        <w:r>
          <w:rPr>
            <w:rStyle w:val="Hyperlink"/>
          </w:rPr>
          <w:t xml:space="preserve">https://www.section508.gov/create/</w:t>
        </w:r>
      </w:hyperlink>
    </w:p>
    <w:p>
      <w:pPr>
        <w:numPr>
          <w:ilvl w:val="0"/>
          <w:numId w:val="1054"/>
        </w:numPr>
        <w:pStyle w:val="Compact"/>
      </w:pPr>
      <w:hyperlink r:id="rId99">
        <w:r>
          <w:rPr>
            <w:rStyle w:val="Hyperlink"/>
          </w:rPr>
          <w:t xml:space="preserve">https://www.w3.org/TR/WCAG22/</w:t>
        </w:r>
      </w:hyperlink>
    </w:p>
    <w:bookmarkEnd w:id="100"/>
    <w:bookmarkStart w:id="101" w:name="aviso-de-alcance-y-no-garantía"/>
    <w:p>
      <w:pPr>
        <w:pStyle w:val="Heading2"/>
      </w:pPr>
      <w:r>
        <w:t xml:space="preserve">Aviso de alcance y no garantía</w:t>
      </w:r>
    </w:p>
    <w:p>
      <w:pPr>
        <w:pStyle w:val="FirstParagraph"/>
      </w:pPr>
      <w:r>
        <w:t xml:space="preserve">Esta guía ofrece información educativa y de planificación profesional. No garantiza empleo, ingresos, admisión, financiación, certificación, licencia, promoción ni otro resultado. Requisitos, compensación y oportunidades cambian según jurisdicción, empleador y tiempo.</w:t>
      </w:r>
    </w:p>
    <w:p>
      <w:pPr>
        <w:pStyle w:val="BodyText"/>
      </w:pPr>
      <w:r>
        <w:t xml:space="preserve">No proporciona certificación legal, contable, de privacidad, ciberseguridad, regulación o accesibilidad. Siga la ley aplicable, políticas del empleador, gobierno aprobado de datos/métricas y autoridad asignada.</w:t>
      </w:r>
    </w:p>
    <w:p>
      <w:pPr>
        <w:pStyle w:val="BodyText"/>
      </w:pPr>
      <w:r>
        <w:t xml:space="preserve">Creada y dirigida por</w:t>
      </w:r>
      <w:r>
        <w:t xml:space="preserve"> </w:t>
      </w:r>
      <w:r>
        <w:rPr>
          <w:bCs/>
          <w:b/>
        </w:rPr>
        <w:t xml:space="preserve">Alberto “Al” Leiva</w:t>
      </w:r>
      <w:r>
        <w:t xml:space="preserve">. ChatGPT apoyó investigación, organización, edición, apoyo de traducción y preparación de documentos bajo la dirección del autor. El autor mantiene la responsabilidad por las decisiones editoriales y de publicación.</w:t>
      </w:r>
    </w:p>
    <w:p>
      <w:pPr>
        <w:pStyle w:val="BodyText"/>
      </w:pPr>
      <w:r>
        <w:t xml:space="preserve">Salvo que un archivo indique lo contrario, estos materiales están bajo licencia</w:t>
      </w:r>
      <w:r>
        <w:t xml:space="preserve"> </w:t>
      </w:r>
      <w:r>
        <w:rPr>
          <w:bCs/>
          <w:b/>
        </w:rPr>
        <w:t xml:space="preserve">CC BY-NC-SA 4.0</w:t>
      </w:r>
      <w:r>
        <w:t xml:space="preserve">.</w:t>
      </w:r>
    </w:p>
    <w:bookmarkEnd w:id="101"/>
    <w:bookmarkEnd w:id="10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91" Target="https://betowa.sena.edu.co/oferta/analitica-de-datos-para-procesos-logisticos?modality=V&amp;offertype=company" TargetMode="External" /><Relationship Type="http://schemas.openxmlformats.org/officeDocument/2006/relationships/hyperlink" Id="rId89" Target="https://betowa.sena.edu.co/oferta/programacion-para-analitica-de-datos?location=57054001&amp;modality=P&amp;programId=133094" TargetMode="External" /><Relationship Type="http://schemas.openxmlformats.org/officeDocument/2006/relationships/hyperlink" Id="rId90" Target="https://betowa.sena.edu.co/oferta/visualizacion-de-datos-usando-power-bi?modality=V&amp;offertype=company&amp;programId=160058" TargetMode="External" /><Relationship Type="http://schemas.openxmlformats.org/officeDocument/2006/relationships/hyperlink" Id="rId88" Target="https://ocupacol.mintrabajo.gov.co/Profile/OccupationalProfile/25110" TargetMode="External" /><Relationship Type="http://schemas.openxmlformats.org/officeDocument/2006/relationships/hyperlink" Id="rId87" Target="https://www.canada.ca/en/services/jobs/training.html" TargetMode="External" /><Relationship Type="http://schemas.openxmlformats.org/officeDocument/2006/relationships/hyperlink" Id="rId82" Target="https://www.careeronestop.org/FindTraining/find-training.aspx" TargetMode="External" /><Relationship Type="http://schemas.openxmlformats.org/officeDocument/2006/relationships/hyperlink" Id="rId81" Target="https://www.careeronestop.org/LocalHelp/EmploymentAndTraining/find-WIOA-training-programs.aspx" TargetMode="External" /><Relationship Type="http://schemas.openxmlformats.org/officeDocument/2006/relationships/hyperlink" Id="rId93" Target="https://www.cisa.gov/secure-our-world" TargetMode="External" /><Relationship Type="http://schemas.openxmlformats.org/officeDocument/2006/relationships/hyperlink" Id="rId83" Target="https://www.indeed.com/career/business-intelligence-analyst/salaries" TargetMode="External" /><Relationship Type="http://schemas.openxmlformats.org/officeDocument/2006/relationships/hyperlink" Id="rId85" Target="https://www.jobbank.gc.ca/marketreport/requirements/296881/ca" TargetMode="External" /><Relationship Type="http://schemas.openxmlformats.org/officeDocument/2006/relationships/hyperlink" Id="rId84" Target="https://www.jobbank.gc.ca/marketreport/summary-occupation/296881/ca" TargetMode="External" /><Relationship Type="http://schemas.openxmlformats.org/officeDocument/2006/relationships/hyperlink" Id="rId86" Target="https://www.jobbank.gc.ca/marketreport/wages-occupation/296881/ca" TargetMode="External" /><Relationship Type="http://schemas.openxmlformats.org/officeDocument/2006/relationships/hyperlink" Id="rId94" Target="https://www.nist.gov/cyberframework" TargetMode="External" /><Relationship Type="http://schemas.openxmlformats.org/officeDocument/2006/relationships/hyperlink" Id="rId96" Target="https://www.nist.gov/itl/ai-risk-management-framework" TargetMode="External" /><Relationship Type="http://schemas.openxmlformats.org/officeDocument/2006/relationships/hyperlink" Id="rId95" Target="https://www.nist.gov/privacy-framework" TargetMode="External" /><Relationship Type="http://schemas.openxmlformats.org/officeDocument/2006/relationships/hyperlink" Id="rId97" Target="https://www.nist.gov/publications/artificial-intelligence-risk-management-framework-generative-artificial-intelligence" TargetMode="External" /><Relationship Type="http://schemas.openxmlformats.org/officeDocument/2006/relationships/hyperlink" Id="rId92" Target="https://www.oitcinterfor.org/statsfp/paises" TargetMode="External" /><Relationship Type="http://schemas.openxmlformats.org/officeDocument/2006/relationships/hyperlink" Id="rId80" Target="https://www.onetonline.org/link/demand/15-2051.01" TargetMode="External" /><Relationship Type="http://schemas.openxmlformats.org/officeDocument/2006/relationships/hyperlink" Id="rId75" Target="https://www.onetonline.org/link/details/15-2051.01" TargetMode="External" /><Relationship Type="http://schemas.openxmlformats.org/officeDocument/2006/relationships/hyperlink" Id="rId79" Target="https://www.onetonline.org/link/hot_tech/15-2051.01" TargetMode="External" /><Relationship Type="http://schemas.openxmlformats.org/officeDocument/2006/relationships/hyperlink" Id="rId78" Target="https://www.onetonline.org/link/localtrends/15-2051.01" TargetMode="External" /><Relationship Type="http://schemas.openxmlformats.org/officeDocument/2006/relationships/hyperlink" Id="rId77" Target="https://www.onetonline.org/link/localwages/15-2051.01" TargetMode="External" /><Relationship Type="http://schemas.openxmlformats.org/officeDocument/2006/relationships/hyperlink" Id="rId76" Target="https://www.onetonline.org/link/summary/15-2051.01" TargetMode="External" /><Relationship Type="http://schemas.openxmlformats.org/officeDocument/2006/relationships/hyperlink" Id="rId98" Target="https://www.section508.gov/create/" TargetMode="External" /><Relationship Type="http://schemas.openxmlformats.org/officeDocument/2006/relationships/hyperlink" Id="rId99" Target="https://www.w3.org/TR/WCAG22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1" Target="https://betowa.sena.edu.co/oferta/analitica-de-datos-para-procesos-logisticos?modality=V&amp;offertype=company" TargetMode="External" /><Relationship Type="http://schemas.openxmlformats.org/officeDocument/2006/relationships/hyperlink" Id="rId89" Target="https://betowa.sena.edu.co/oferta/programacion-para-analitica-de-datos?location=57054001&amp;modality=P&amp;programId=133094" TargetMode="External" /><Relationship Type="http://schemas.openxmlformats.org/officeDocument/2006/relationships/hyperlink" Id="rId90" Target="https://betowa.sena.edu.co/oferta/visualizacion-de-datos-usando-power-bi?modality=V&amp;offertype=company&amp;programId=160058" TargetMode="External" /><Relationship Type="http://schemas.openxmlformats.org/officeDocument/2006/relationships/hyperlink" Id="rId88" Target="https://ocupacol.mintrabajo.gov.co/Profile/OccupationalProfile/25110" TargetMode="External" /><Relationship Type="http://schemas.openxmlformats.org/officeDocument/2006/relationships/hyperlink" Id="rId87" Target="https://www.canada.ca/en/services/jobs/training.html" TargetMode="External" /><Relationship Type="http://schemas.openxmlformats.org/officeDocument/2006/relationships/hyperlink" Id="rId82" Target="https://www.careeronestop.org/FindTraining/find-training.aspx" TargetMode="External" /><Relationship Type="http://schemas.openxmlformats.org/officeDocument/2006/relationships/hyperlink" Id="rId81" Target="https://www.careeronestop.org/LocalHelp/EmploymentAndTraining/find-WIOA-training-programs.aspx" TargetMode="External" /><Relationship Type="http://schemas.openxmlformats.org/officeDocument/2006/relationships/hyperlink" Id="rId93" Target="https://www.cisa.gov/secure-our-world" TargetMode="External" /><Relationship Type="http://schemas.openxmlformats.org/officeDocument/2006/relationships/hyperlink" Id="rId83" Target="https://www.indeed.com/career/business-intelligence-analyst/salaries" TargetMode="External" /><Relationship Type="http://schemas.openxmlformats.org/officeDocument/2006/relationships/hyperlink" Id="rId85" Target="https://www.jobbank.gc.ca/marketreport/requirements/296881/ca" TargetMode="External" /><Relationship Type="http://schemas.openxmlformats.org/officeDocument/2006/relationships/hyperlink" Id="rId84" Target="https://www.jobbank.gc.ca/marketreport/summary-occupation/296881/ca" TargetMode="External" /><Relationship Type="http://schemas.openxmlformats.org/officeDocument/2006/relationships/hyperlink" Id="rId86" Target="https://www.jobbank.gc.ca/marketreport/wages-occupation/296881/ca" TargetMode="External" /><Relationship Type="http://schemas.openxmlformats.org/officeDocument/2006/relationships/hyperlink" Id="rId94" Target="https://www.nist.gov/cyberframework" TargetMode="External" /><Relationship Type="http://schemas.openxmlformats.org/officeDocument/2006/relationships/hyperlink" Id="rId96" Target="https://www.nist.gov/itl/ai-risk-management-framework" TargetMode="External" /><Relationship Type="http://schemas.openxmlformats.org/officeDocument/2006/relationships/hyperlink" Id="rId95" Target="https://www.nist.gov/privacy-framework" TargetMode="External" /><Relationship Type="http://schemas.openxmlformats.org/officeDocument/2006/relationships/hyperlink" Id="rId97" Target="https://www.nist.gov/publications/artificial-intelligence-risk-management-framework-generative-artificial-intelligence" TargetMode="External" /><Relationship Type="http://schemas.openxmlformats.org/officeDocument/2006/relationships/hyperlink" Id="rId92" Target="https://www.oitcinterfor.org/statsfp/paises" TargetMode="External" /><Relationship Type="http://schemas.openxmlformats.org/officeDocument/2006/relationships/hyperlink" Id="rId80" Target="https://www.onetonline.org/link/demand/15-2051.01" TargetMode="External" /><Relationship Type="http://schemas.openxmlformats.org/officeDocument/2006/relationships/hyperlink" Id="rId75" Target="https://www.onetonline.org/link/details/15-2051.01" TargetMode="External" /><Relationship Type="http://schemas.openxmlformats.org/officeDocument/2006/relationships/hyperlink" Id="rId79" Target="https://www.onetonline.org/link/hot_tech/15-2051.01" TargetMode="External" /><Relationship Type="http://schemas.openxmlformats.org/officeDocument/2006/relationships/hyperlink" Id="rId78" Target="https://www.onetonline.org/link/localtrends/15-2051.01" TargetMode="External" /><Relationship Type="http://schemas.openxmlformats.org/officeDocument/2006/relationships/hyperlink" Id="rId77" Target="https://www.onetonline.org/link/localwages/15-2051.01" TargetMode="External" /><Relationship Type="http://schemas.openxmlformats.org/officeDocument/2006/relationships/hyperlink" Id="rId76" Target="https://www.onetonline.org/link/summary/15-2051.01" TargetMode="External" /><Relationship Type="http://schemas.openxmlformats.org/officeDocument/2006/relationships/hyperlink" Id="rId98" Target="https://www.section508.gov/create/" TargetMode="External" /><Relationship Type="http://schemas.openxmlformats.org/officeDocument/2006/relationships/hyperlink" Id="rId99" Target="https://www.w3.org/TR/WCAG22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2026-08-22T04:18:48Z</dcterms:created>
  <dcterms:modified xsi:type="dcterms:W3CDTF">2026-08-22T04:18:48Z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