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b/>
          <w:color w:val="1F4E79"/>
          <w:sz w:val="28"/>
        </w:rPr>
        <w:t>LIFELONG OPPORTUNITY</w:t>
      </w:r>
    </w:p>
    <w:p>
      <w:pPr>
        <w:pStyle w:val="Title"/>
        <w:jc w:val="center"/>
      </w:pPr>
      <w:r>
        <w:t>Legal Administrative Assistant and Legal Office Coordinator</w:t>
      </w:r>
    </w:p>
    <w:p>
      <w:pPr>
        <w:jc w:val="center"/>
      </w:pPr>
      <w:r/>
      <w:r>
        <w:rPr>
          <w:b/>
          <w:sz w:val="28"/>
        </w:rPr>
        <w:t>A Free Guide to Career Fit, Affordable Education, Accessibility,</w:t>
        <w:br/>
        <w:t>Ethical Work,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Callout"/>
      </w:pPr>
      <w:r>
        <w:rPr>
          <w:b/>
        </w:rPr>
        <w:t xml:space="preserve">The promise of this guide: </w:t>
      </w:r>
      <w:r>
        <w:t>This guide does not promise that Legal Administrative Assistant and Legal Office Coordinator work is right for everyone, that education will be free, or that a credential will lead to a job. It helps readers understand the work, verify requirements, avoid unnecessary debt, build ethical evidence, and take the next realistic step.</w:t>
      </w:r>
    </w:p>
    <w:p>
      <w:r>
        <w:br w:type="page"/>
      </w:r>
    </w:p>
    <w:p>
      <w:pPr>
        <w:pStyle w:val="Heading1"/>
      </w:pPr>
      <w:r>
        <w:t>Why I Created This Guide</w:t>
      </w:r>
    </w:p>
    <w:p>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r>
        <w:t>This manual focuses on a role that supports legal-office operations through scheduling, filing, document preparation, correspondence, records, billing support, deadline control, and strict confidentiality. The goal is not to sell a career. It is to help the reader make an informed, dignified, and financially cautious decision.</w:t>
      </w:r>
    </w:p>
    <w:p>
      <w:pPr>
        <w:pStyle w:val="Heading1"/>
      </w:pPr>
      <w:r>
        <w:t>Acknowledgment of AI Assistance</w:t>
      </w:r>
    </w:p>
    <w:p>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pPr>
      <w:r>
        <w:t>Ethical and Practical Limits</w:t>
      </w:r>
    </w:p>
    <w:p>
      <w:pPr>
        <w:pStyle w:val="ListBullet"/>
        <w:ind w:left="389" w:hanging="259"/>
      </w:pPr>
      <w:r>
        <w:t>No career assessment can guarantee that you will enjoy this work.</w:t>
      </w:r>
    </w:p>
    <w:p>
      <w:pPr>
        <w:pStyle w:val="ListBullet"/>
        <w:ind w:left="389" w:hanging="259"/>
      </w:pPr>
      <w:r>
        <w:t>No school, credential, apprenticeship, employer, recruiter, or government program can guarantee employment, funding, promotion, licensing, or a particular salary.</w:t>
      </w:r>
    </w:p>
    <w:p>
      <w:pPr>
        <w:pStyle w:val="ListBullet"/>
        <w:ind w:left="389" w:hanging="259"/>
      </w:pPr>
      <w:r>
        <w:t>Rules, duties, titles, technologies, and hiring requirements vary by employer and jurisdiction.</w:t>
      </w:r>
    </w:p>
    <w:p>
      <w:pPr>
        <w:pStyle w:val="ListBullet"/>
        <w:ind w:left="389" w:hanging="259"/>
      </w:pPr>
      <w:r>
        <w:t>This guide is educational and is not individualized legal, tax, medical, mental-health, immigration, financial, or licensed vocational advice.</w:t>
      </w:r>
    </w:p>
    <w:p>
      <w:pPr>
        <w:pStyle w:val="ListBullet"/>
        <w:ind w:left="389" w:hanging="259"/>
      </w:pPr>
      <w:r>
        <w:t>Administrative staff must not give legal advice, sign as an attorney, alter evidence, promise outcomes, miss filing rules silently, disclose privileged information, or practice law without authorization.</w:t>
      </w:r>
    </w:p>
    <w:p>
      <w:pPr>
        <w:pStyle w:val="ListBullet"/>
        <w:ind w:left="389" w:hanging="259"/>
      </w:pPr>
      <w:r>
        <w:t>Never borrow money or pay a large nonrefundable fee because a school, recruiter, credential seller, or employer pressures you to act immediately.</w:t>
      </w:r>
    </w:p>
    <w:p>
      <w:pPr>
        <w:pStyle w:val="Heading1"/>
      </w:pPr>
      <w:r>
        <w:t>How This Guide Relates to the Foundation Guide</w:t>
      </w:r>
    </w:p>
    <w:p>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r>
        <w:br w:type="page"/>
      </w:r>
    </w:p>
    <w:p>
      <w:pPr>
        <w:pStyle w:val="Heading1"/>
      </w:pPr>
      <w:r>
        <w:t>Table of Contents</w:t>
      </w:r>
    </w:p>
    <w:p>
      <w:pPr>
        <w:pStyle w:val="ListBullet"/>
        <w:ind w:left="389" w:hanging="259"/>
      </w:pPr>
      <w:r>
        <w:t>1. How to Use This Guide</w:t>
      </w:r>
    </w:p>
    <w:p>
      <w:pPr>
        <w:pStyle w:val="ListBullet2"/>
        <w:ind w:left="677" w:hanging="259"/>
      </w:pPr>
      <w:r>
        <w:t>Decision sequence</w:t>
      </w:r>
    </w:p>
    <w:p>
      <w:pPr>
        <w:pStyle w:val="ListBullet"/>
        <w:ind w:left="389" w:hanging="259"/>
      </w:pPr>
      <w:r>
        <w:t>2. What the Work Is</w:t>
      </w:r>
    </w:p>
    <w:p>
      <w:pPr>
        <w:pStyle w:val="ListBullet2"/>
        <w:ind w:left="677" w:hanging="259"/>
      </w:pPr>
      <w:r>
        <w:t>Definition and common titles</w:t>
      </w:r>
    </w:p>
    <w:p>
      <w:pPr>
        <w:pStyle w:val="ListBullet2"/>
        <w:ind w:left="677" w:hanging="259"/>
      </w:pPr>
      <w:r>
        <w:t>Work settings</w:t>
      </w:r>
    </w:p>
    <w:p>
      <w:pPr>
        <w:pStyle w:val="ListBullet"/>
        <w:ind w:left="389" w:hanging="259"/>
      </w:pPr>
      <w:r>
        <w:t>3. What the Work Is Really Like</w:t>
      </w:r>
    </w:p>
    <w:p>
      <w:pPr>
        <w:pStyle w:val="ListBullet2"/>
        <w:ind w:left="677" w:hanging="259"/>
      </w:pPr>
      <w:r>
        <w:t>Core duties</w:t>
      </w:r>
    </w:p>
    <w:p>
      <w:pPr>
        <w:pStyle w:val="ListBullet2"/>
        <w:ind w:left="677" w:hanging="259"/>
      </w:pPr>
      <w:r>
        <w:t>A realistic work cycle</w:t>
      </w:r>
    </w:p>
    <w:p>
      <w:pPr>
        <w:pStyle w:val="ListBullet"/>
        <w:ind w:left="389" w:hanging="259"/>
      </w:pPr>
      <w:r>
        <w:t>4. Career Fit</w:t>
      </w:r>
    </w:p>
    <w:p>
      <w:pPr>
        <w:pStyle w:val="ListBullet2"/>
        <w:ind w:left="677" w:hanging="259"/>
      </w:pPr>
      <w:r>
        <w:t>Strengths and challenges</w:t>
      </w:r>
    </w:p>
    <w:p>
      <w:pPr>
        <w:pStyle w:val="ListBullet2"/>
        <w:ind w:left="677" w:hanging="259"/>
      </w:pPr>
      <w:r>
        <w:t>Reasons to pause</w:t>
      </w:r>
    </w:p>
    <w:p>
      <w:pPr>
        <w:pStyle w:val="ListBullet"/>
        <w:ind w:left="389" w:hanging="259"/>
      </w:pPr>
      <w:r>
        <w:t>5. Ethics, Boundaries, and Escalation</w:t>
      </w:r>
    </w:p>
    <w:p>
      <w:pPr>
        <w:pStyle w:val="ListBullet2"/>
        <w:ind w:left="677" w:hanging="259"/>
      </w:pPr>
      <w:r>
        <w:t>Scope and stop-work conditions</w:t>
      </w:r>
    </w:p>
    <w:p>
      <w:pPr>
        <w:pStyle w:val="ListBullet"/>
        <w:ind w:left="389" w:hanging="259"/>
      </w:pPr>
      <w:r>
        <w:t>6. Tools, Records, and Technology</w:t>
      </w:r>
    </w:p>
    <w:p>
      <w:pPr>
        <w:pStyle w:val="ListBullet2"/>
        <w:ind w:left="677" w:hanging="259"/>
      </w:pPr>
      <w:r>
        <w:t>Common systems</w:t>
      </w:r>
    </w:p>
    <w:p>
      <w:pPr>
        <w:pStyle w:val="ListBullet2"/>
        <w:ind w:left="677" w:hanging="259"/>
      </w:pPr>
      <w:r>
        <w:t>Privacy, cybersecurity, and ethical AI</w:t>
      </w:r>
    </w:p>
    <w:p>
      <w:pPr>
        <w:pStyle w:val="ListBullet"/>
        <w:ind w:left="389" w:hanging="259"/>
      </w:pPr>
      <w:r>
        <w:t>7. Pay, Benefits, and Outlook</w:t>
      </w:r>
    </w:p>
    <w:p>
      <w:pPr>
        <w:pStyle w:val="ListBullet2"/>
        <w:ind w:left="677" w:hanging="259"/>
      </w:pPr>
      <w:r>
        <w:t>National reference data</w:t>
      </w:r>
    </w:p>
    <w:p>
      <w:pPr>
        <w:pStyle w:val="ListBullet2"/>
        <w:ind w:left="677" w:hanging="259"/>
      </w:pPr>
      <w:r>
        <w:t>Local research</w:t>
      </w:r>
    </w:p>
    <w:p>
      <w:pPr>
        <w:pStyle w:val="ListBullet"/>
        <w:ind w:left="389" w:hanging="259"/>
      </w:pPr>
      <w:r>
        <w:t>8. Education and Credential Pathways</w:t>
      </w:r>
    </w:p>
    <w:p>
      <w:pPr>
        <w:pStyle w:val="ListBullet2"/>
        <w:ind w:left="677" w:hanging="259"/>
      </w:pPr>
      <w:r>
        <w:t>Entry pathways</w:t>
      </w:r>
    </w:p>
    <w:p>
      <w:pPr>
        <w:pStyle w:val="ListBullet2"/>
        <w:ind w:left="677" w:hanging="259"/>
      </w:pPr>
      <w:r>
        <w:t>School and program verification</w:t>
      </w:r>
    </w:p>
    <w:p>
      <w:pPr>
        <w:pStyle w:val="ListBullet"/>
        <w:ind w:left="389" w:hanging="259"/>
      </w:pPr>
      <w:r>
        <w:t>9. Employer-Supported Learning</w:t>
      </w:r>
    </w:p>
    <w:p>
      <w:pPr>
        <w:pStyle w:val="ListBullet2"/>
        <w:ind w:left="677" w:hanging="259"/>
      </w:pPr>
      <w:r>
        <w:t>Tuition assistance and repayment</w:t>
      </w:r>
    </w:p>
    <w:p>
      <w:pPr>
        <w:pStyle w:val="ListBullet2"/>
        <w:ind w:left="677" w:hanging="259"/>
      </w:pPr>
      <w:r>
        <w:t>Apprenticeships, internships, and career ladders</w:t>
      </w:r>
    </w:p>
    <w:p>
      <w:pPr>
        <w:pStyle w:val="ListBullet"/>
        <w:ind w:left="389" w:hanging="259"/>
      </w:pPr>
      <w:r>
        <w:t>10. Accessibility, Safety, and Worker Protections</w:t>
      </w:r>
    </w:p>
    <w:p>
      <w:pPr>
        <w:pStyle w:val="ListBullet2"/>
        <w:ind w:left="677" w:hanging="259"/>
      </w:pPr>
      <w:r>
        <w:t>Accommodations</w:t>
      </w:r>
    </w:p>
    <w:p>
      <w:pPr>
        <w:pStyle w:val="ListBullet2"/>
        <w:ind w:left="677" w:hanging="259"/>
      </w:pPr>
      <w:r>
        <w:t>Safety and employment risks</w:t>
      </w:r>
    </w:p>
    <w:p>
      <w:pPr>
        <w:pStyle w:val="ListBullet"/>
        <w:ind w:left="389" w:hanging="259"/>
      </w:pPr>
      <w:r>
        <w:t>11. Build Evidence of Ability</w:t>
      </w:r>
    </w:p>
    <w:p>
      <w:pPr>
        <w:pStyle w:val="ListBullet2"/>
        <w:ind w:left="677" w:hanging="259"/>
      </w:pPr>
      <w:r>
        <w:t>Portfolio projects</w:t>
      </w:r>
    </w:p>
    <w:p>
      <w:pPr>
        <w:pStyle w:val="ListBullet2"/>
        <w:ind w:left="677" w:hanging="259"/>
      </w:pPr>
      <w:r>
        <w:t>Résumé evidence</w:t>
      </w:r>
    </w:p>
    <w:p>
      <w:pPr>
        <w:pStyle w:val="ListBullet"/>
        <w:ind w:left="389" w:hanging="259"/>
      </w:pPr>
      <w:r>
        <w:t>12. Interview Preparation</w:t>
      </w:r>
    </w:p>
    <w:p>
      <w:pPr>
        <w:pStyle w:val="ListBullet2"/>
        <w:ind w:left="677" w:hanging="259"/>
      </w:pPr>
      <w:r>
        <w:t>Questions and answer guidance</w:t>
      </w:r>
    </w:p>
    <w:p>
      <w:pPr>
        <w:pStyle w:val="ListBullet"/>
        <w:ind w:left="389" w:hanging="259"/>
      </w:pPr>
      <w:r>
        <w:t>13. First 30, 60, and 90 Days</w:t>
      </w:r>
    </w:p>
    <w:p>
      <w:pPr>
        <w:pStyle w:val="ListBullet2"/>
        <w:ind w:left="677" w:hanging="259"/>
      </w:pPr>
      <w:r>
        <w:t>Early success plan</w:t>
      </w:r>
    </w:p>
    <w:p>
      <w:pPr>
        <w:pStyle w:val="ListBullet"/>
        <w:ind w:left="389" w:hanging="259"/>
      </w:pPr>
      <w:r>
        <w:t>14. Advancement and Exit Planning</w:t>
      </w:r>
    </w:p>
    <w:p>
      <w:pPr>
        <w:pStyle w:val="ListBullet2"/>
        <w:ind w:left="677" w:hanging="259"/>
      </w:pPr>
      <w:r>
        <w:t>Career ladders</w:t>
      </w:r>
    </w:p>
    <w:p>
      <w:pPr>
        <w:pStyle w:val="ListBullet2"/>
        <w:ind w:left="677" w:hanging="259"/>
      </w:pPr>
      <w:r>
        <w:t>Transferable skills</w:t>
      </w:r>
    </w:p>
    <w:p>
      <w:pPr>
        <w:pStyle w:val="ListBullet"/>
        <w:ind w:left="389" w:hanging="259"/>
      </w:pPr>
      <w:r>
        <w:t>15. Before You Enroll or Sign</w:t>
      </w:r>
    </w:p>
    <w:p>
      <w:pPr>
        <w:pStyle w:val="ListBullet2"/>
        <w:ind w:left="677" w:hanging="259"/>
      </w:pPr>
      <w:r>
        <w:t>Decision checklist</w:t>
      </w:r>
    </w:p>
    <w:p>
      <w:pPr>
        <w:pStyle w:val="ListBullet"/>
        <w:ind w:left="389" w:hanging="259"/>
      </w:pPr>
      <w:r>
        <w:t>16. Twelve-Week Action Plan</w:t>
      </w:r>
    </w:p>
    <w:p>
      <w:pPr>
        <w:pStyle w:val="ListBullet2"/>
        <w:ind w:left="677" w:hanging="259"/>
      </w:pPr>
      <w:r>
        <w:t>A sequential plan</w:t>
      </w:r>
    </w:p>
    <w:p>
      <w:pPr>
        <w:pStyle w:val="ListBullet"/>
        <w:ind w:left="389" w:hanging="259"/>
      </w:pPr>
      <w:r>
        <w:t>17. Worksheets</w:t>
      </w:r>
    </w:p>
    <w:p>
      <w:pPr>
        <w:pStyle w:val="ListBullet2"/>
        <w:ind w:left="677" w:hanging="259"/>
      </w:pPr>
      <w:r>
        <w:t>Career-fit and cost worksheets</w:t>
      </w:r>
    </w:p>
    <w:p>
      <w:pPr>
        <w:pStyle w:val="ListBullet"/>
        <w:ind w:left="389" w:hanging="259"/>
      </w:pPr>
      <w:r>
        <w:t>18. Sources, Versioning, and Maintenance</w:t>
      </w:r>
    </w:p>
    <w:p>
      <w:pPr>
        <w:pStyle w:val="ListBullet2"/>
        <w:ind w:left="677" w:hanging="259"/>
      </w:pPr>
      <w:r>
        <w:t>Official sources</w:t>
      </w:r>
    </w:p>
    <w:p>
      <w:pPr>
        <w:pStyle w:val="ListBullet2"/>
        <w:ind w:left="677" w:hanging="259"/>
      </w:pPr>
      <w:r>
        <w:t>Correction policy</w:t>
      </w:r>
    </w:p>
    <w:p>
      <w:pPr>
        <w:pStyle w:val="Heading1"/>
      </w:pPr>
      <w:r>
        <w:t>1. How to Use This Guide</w:t>
      </w:r>
    </w:p>
    <w:p>
      <w:pPr>
        <w:pStyle w:val="Heading2"/>
      </w:pPr>
      <w:r>
        <w:t>Decision sequence</w:t>
      </w:r>
    </w:p>
    <w:p>
      <w:pPr>
        <w:pStyle w:val="ListBullet"/>
        <w:ind w:left="389" w:hanging="259"/>
      </w:pPr>
      <w:r>
        <w:t>Understand the actual work before choosing a school.</w:t>
      </w:r>
    </w:p>
    <w:p>
      <w:pPr>
        <w:pStyle w:val="ListBullet"/>
        <w:ind w:left="389" w:hanging="259"/>
      </w:pPr>
      <w:r>
        <w:t>Check local legal, licensing, education, background, language, schedule, and transportation requirements.</w:t>
      </w:r>
    </w:p>
    <w:p>
      <w:pPr>
        <w:pStyle w:val="ListBullet"/>
        <w:ind w:left="389" w:hanging="259"/>
      </w:pPr>
      <w:r>
        <w:t>Test your interest with safe, fictional, public, or fully sanitized activities.</w:t>
      </w:r>
    </w:p>
    <w:p>
      <w:pPr>
        <w:pStyle w:val="ListBullet"/>
        <w:ind w:left="389" w:hanging="259"/>
      </w:pPr>
      <w:r>
        <w:t>Compare free, public, employer-paid, union, apprenticeship, and low-cost pathways.</w:t>
      </w:r>
    </w:p>
    <w:p>
      <w:pPr>
        <w:pStyle w:val="ListBullet"/>
        <w:ind w:left="389" w:hanging="259"/>
      </w:pPr>
      <w:r>
        <w:t>Pay only when a verified credential or skill creates a clear next step.</w:t>
      </w:r>
    </w:p>
    <w:p>
      <w:pPr>
        <w:pStyle w:val="ListBullet"/>
        <w:ind w:left="389" w:hanging="259"/>
      </w:pPr>
      <w:r>
        <w:t>Keep written records of costs, promises, service commitments, repayment terms, and accommodations.</w:t>
      </w:r>
    </w:p>
    <w:p>
      <w:pPr>
        <w:pStyle w:val="Heading1"/>
      </w:pPr>
      <w:r>
        <w:t>2. What the Work Is</w:t>
      </w:r>
    </w:p>
    <w:p>
      <w:pPr>
        <w:pStyle w:val="Heading2"/>
      </w:pPr>
      <w:r>
        <w:t>Definition and common titles</w:t>
      </w:r>
    </w:p>
    <w:p>
      <w:r>
        <w:t>A Legal Administrative Assistant and Legal Office Coordinator supports legal-office operations through scheduling, filing, document preparation, correspondence, records, billing support, deadline control, and strict confidentiality.</w:t>
      </w:r>
    </w:p>
    <w:p>
      <w:pPr>
        <w:pStyle w:val="ListBullet"/>
        <w:ind w:left="389" w:hanging="259"/>
      </w:pPr>
      <w:r>
        <w:t>Legal administrative assistant</w:t>
      </w:r>
    </w:p>
    <w:p>
      <w:pPr>
        <w:pStyle w:val="ListBullet"/>
        <w:ind w:left="389" w:hanging="259"/>
      </w:pPr>
      <w:r>
        <w:t>Legal secretary</w:t>
      </w:r>
    </w:p>
    <w:p>
      <w:pPr>
        <w:pStyle w:val="ListBullet"/>
        <w:ind w:left="389" w:hanging="259"/>
      </w:pPr>
      <w:r>
        <w:t>Legal office coordinator</w:t>
      </w:r>
    </w:p>
    <w:p>
      <w:pPr>
        <w:pStyle w:val="ListBullet"/>
        <w:ind w:left="389" w:hanging="259"/>
      </w:pPr>
      <w:r>
        <w:t>Litigation assistant</w:t>
      </w:r>
    </w:p>
    <w:p>
      <w:pPr>
        <w:pStyle w:val="ListBullet"/>
        <w:ind w:left="389" w:hanging="259"/>
      </w:pPr>
      <w:r>
        <w:t>Practice assistant</w:t>
      </w:r>
    </w:p>
    <w:p>
      <w:pPr>
        <w:pStyle w:val="ListBullet"/>
        <w:ind w:left="389" w:hanging="259"/>
      </w:pPr>
      <w:r>
        <w:t>Legal operations assistant</w:t>
      </w:r>
    </w:p>
    <w:p>
      <w:pPr>
        <w:pStyle w:val="Heading2"/>
      </w:pPr>
      <w:r>
        <w:t>Work settings</w:t>
      </w:r>
    </w:p>
    <w:p>
      <w:pPr>
        <w:pStyle w:val="ListBullet"/>
        <w:ind w:left="389" w:hanging="259"/>
      </w:pPr>
      <w:r>
        <w:t>Law firms</w:t>
      </w:r>
    </w:p>
    <w:p>
      <w:pPr>
        <w:pStyle w:val="ListBullet"/>
        <w:ind w:left="389" w:hanging="259"/>
      </w:pPr>
      <w:r>
        <w:t>Corporate legal departments</w:t>
      </w:r>
    </w:p>
    <w:p>
      <w:pPr>
        <w:pStyle w:val="ListBullet"/>
        <w:ind w:left="389" w:hanging="259"/>
      </w:pPr>
      <w:r>
        <w:t>Government legal offices</w:t>
      </w:r>
    </w:p>
    <w:p>
      <w:pPr>
        <w:pStyle w:val="ListBullet"/>
        <w:ind w:left="389" w:hanging="259"/>
      </w:pPr>
      <w:r>
        <w:t>Legal aid organizations</w:t>
      </w:r>
    </w:p>
    <w:p>
      <w:pPr>
        <w:pStyle w:val="ListBullet"/>
        <w:ind w:left="389" w:hanging="259"/>
      </w:pPr>
      <w:r>
        <w:t>Courts and tribunals</w:t>
      </w:r>
    </w:p>
    <w:p>
      <w:pPr>
        <w:pStyle w:val="ListBullet"/>
        <w:ind w:left="389" w:hanging="259"/>
      </w:pPr>
      <w:r>
        <w:t>Insurance legal departments</w:t>
      </w:r>
    </w:p>
    <w:p>
      <w:pPr>
        <w:pStyle w:val="Heading1"/>
      </w:pPr>
      <w:r>
        <w:t>3. What the Work Is Really Like</w:t>
      </w:r>
    </w:p>
    <w:p>
      <w:pPr>
        <w:pStyle w:val="Heading2"/>
      </w:pPr>
      <w:r>
        <w:t>Core duties</w:t>
      </w:r>
    </w:p>
    <w:p>
      <w:pPr>
        <w:pStyle w:val="ListBullet"/>
        <w:ind w:left="389" w:hanging="259"/>
      </w:pPr>
      <w:r>
        <w:t>Calendar hearings, meetings, filings, and internal deadlines.</w:t>
      </w:r>
    </w:p>
    <w:p>
      <w:pPr>
        <w:pStyle w:val="ListBullet"/>
        <w:ind w:left="389" w:hanging="259"/>
      </w:pPr>
      <w:r>
        <w:t>Prepare and format authorized documents and correspondence.</w:t>
      </w:r>
    </w:p>
    <w:p>
      <w:pPr>
        <w:pStyle w:val="ListBullet"/>
        <w:ind w:left="389" w:hanging="259"/>
      </w:pPr>
      <w:r>
        <w:t>Maintain matter files and document versions.</w:t>
      </w:r>
    </w:p>
    <w:p>
      <w:pPr>
        <w:pStyle w:val="ListBullet"/>
        <w:ind w:left="389" w:hanging="259"/>
      </w:pPr>
      <w:r>
        <w:t>Coordinate service, filing, travel, billing, and records requests.</w:t>
      </w:r>
    </w:p>
    <w:p>
      <w:pPr>
        <w:pStyle w:val="ListBullet"/>
        <w:ind w:left="389" w:hanging="259"/>
      </w:pPr>
      <w:r>
        <w:t>Protect privileged, confidential, and personal information.</w:t>
      </w:r>
    </w:p>
    <w:p>
      <w:pPr>
        <w:pStyle w:val="ListBullet"/>
        <w:ind w:left="389" w:hanging="259"/>
      </w:pPr>
      <w:r>
        <w:t>Use approved court and document systems.</w:t>
      </w:r>
    </w:p>
    <w:p>
      <w:pPr>
        <w:pStyle w:val="ListBullet"/>
        <w:ind w:left="389" w:hanging="259"/>
      </w:pPr>
      <w:r>
        <w:t>Escalate conflicts, missed deadlines, service failures, suspicious instructions, and unauthorized practice concerns.</w:t>
      </w:r>
    </w:p>
    <w:p>
      <w:pPr>
        <w:pStyle w:val="Heading2"/>
      </w:pPr>
      <w:r>
        <w:t>A realistic work cycle</w:t>
      </w:r>
    </w:p>
    <w:p>
      <w:pPr>
        <w:pStyle w:val="ListBullet"/>
        <w:ind w:left="389" w:hanging="259"/>
      </w:pPr>
      <w:r>
        <w:t>A legal task or document request is assigned.</w:t>
      </w:r>
    </w:p>
    <w:p>
      <w:pPr>
        <w:pStyle w:val="ListBullet"/>
        <w:ind w:left="389" w:hanging="259"/>
      </w:pPr>
      <w:r>
        <w:t>The matter, authority, deadline, jurisdiction, and required format are confirmed.</w:t>
      </w:r>
    </w:p>
    <w:p>
      <w:pPr>
        <w:pStyle w:val="ListBullet"/>
        <w:ind w:left="389" w:hanging="259"/>
      </w:pPr>
      <w:r>
        <w:t>Templates and current instructions are verified.</w:t>
      </w:r>
    </w:p>
    <w:p>
      <w:pPr>
        <w:pStyle w:val="ListBullet"/>
        <w:ind w:left="389" w:hanging="259"/>
      </w:pPr>
      <w:r>
        <w:t>The document or filing package is prepared.</w:t>
      </w:r>
    </w:p>
    <w:p>
      <w:pPr>
        <w:pStyle w:val="ListBullet"/>
        <w:ind w:left="389" w:hanging="259"/>
      </w:pPr>
      <w:r>
        <w:t>An authorized legal professional reviews substantive content.</w:t>
      </w:r>
    </w:p>
    <w:p>
      <w:pPr>
        <w:pStyle w:val="ListBullet"/>
        <w:ind w:left="389" w:hanging="259"/>
      </w:pPr>
      <w:r>
        <w:t>Filing, service, delivery, and confirmation are completed.</w:t>
      </w:r>
    </w:p>
    <w:p>
      <w:pPr>
        <w:pStyle w:val="ListBullet"/>
        <w:ind w:left="389" w:hanging="259"/>
      </w:pPr>
      <w:r>
        <w:t>The docket, calendar, and matter record are updated.</w:t>
      </w:r>
    </w:p>
    <w:p>
      <w:pPr>
        <w:pStyle w:val="ListBullet"/>
        <w:ind w:left="389" w:hanging="259"/>
      </w:pPr>
      <w:r>
        <w:t>Errors or rejections are escalated immediately.</w:t>
      </w:r>
    </w:p>
    <w:p>
      <w:pPr>
        <w:pStyle w:val="Callout"/>
      </w:pPr>
      <w:r>
        <w:rPr>
          <w:b/>
        </w:rPr>
        <w:t xml:space="preserve">Evidence rule: </w:t>
      </w:r>
      <w:r>
        <w:t>A complete record should show what happened, who was authorized, what evidence was used, what exception occurred, who approved the next action, and when the record was closed.</w:t>
      </w:r>
    </w:p>
    <w:p>
      <w:pPr>
        <w:pStyle w:val="Heading1"/>
      </w:pPr>
      <w:r>
        <w:t>4. Career Fit</w:t>
      </w:r>
    </w:p>
    <w:p>
      <w:pPr>
        <w:pStyle w:val="Heading2"/>
      </w:pPr>
      <w:r>
        <w:t>Strengths and challenges</w:t>
      </w:r>
    </w:p>
    <w:p>
      <w:pPr>
        <w:pStyle w:val="ListBullet"/>
        <w:ind w:left="389" w:hanging="259"/>
      </w:pPr>
      <w:r>
        <w:t>Accuracy and sustained attention</w:t>
      </w:r>
    </w:p>
    <w:p>
      <w:pPr>
        <w:pStyle w:val="ListBullet"/>
        <w:ind w:left="389" w:hanging="259"/>
      </w:pPr>
      <w:r>
        <w:t>Respectful communication under pressure</w:t>
      </w:r>
    </w:p>
    <w:p>
      <w:pPr>
        <w:pStyle w:val="ListBullet"/>
        <w:ind w:left="389" w:hanging="259"/>
      </w:pPr>
      <w:r>
        <w:t>Comfort with records, deadlines, and follow-through</w:t>
      </w:r>
    </w:p>
    <w:p>
      <w:pPr>
        <w:pStyle w:val="ListBullet"/>
        <w:ind w:left="389" w:hanging="259"/>
      </w:pPr>
      <w:r>
        <w:t>Ability to protect confidential information</w:t>
      </w:r>
    </w:p>
    <w:p>
      <w:pPr>
        <w:pStyle w:val="ListBullet"/>
        <w:ind w:left="389" w:hanging="259"/>
      </w:pPr>
      <w:r>
        <w:t>Willingness to ask questions and escalate uncertainty</w:t>
      </w:r>
    </w:p>
    <w:p>
      <w:pPr>
        <w:pStyle w:val="ListBullet"/>
        <w:ind w:left="389" w:hanging="259"/>
      </w:pPr>
      <w:r>
        <w:t>Ability to learn changing systems, policies, and terminology</w:t>
      </w:r>
    </w:p>
    <w:p>
      <w:pPr>
        <w:pStyle w:val="Heading2"/>
      </w:pPr>
      <w:r>
        <w:t>Reasons to pause</w:t>
      </w:r>
    </w:p>
    <w:p>
      <w:pPr>
        <w:pStyle w:val="ListBullet"/>
        <w:ind w:left="389" w:hanging="259"/>
      </w:pPr>
      <w:r>
        <w:t>The schedule, physical demands, emotional demands, or transportation requirements are not workable.</w:t>
      </w:r>
    </w:p>
    <w:p>
      <w:pPr>
        <w:pStyle w:val="ListBullet"/>
        <w:ind w:left="389" w:hanging="259"/>
      </w:pPr>
      <w:r>
        <w:t>A background, licensing, work-authorization, or education requirement has not been verified.</w:t>
      </w:r>
    </w:p>
    <w:p>
      <w:pPr>
        <w:pStyle w:val="ListBullet"/>
        <w:ind w:left="389" w:hanging="259"/>
      </w:pPr>
      <w:r>
        <w:t>The role would require duties outside your training or legal authority.</w:t>
      </w:r>
    </w:p>
    <w:p>
      <w:pPr>
        <w:pStyle w:val="ListBullet"/>
        <w:ind w:left="389" w:hanging="259"/>
      </w:pPr>
      <w:r>
        <w:t>The education pathway requires debt that is not affordable under conservative wage estimates.</w:t>
      </w:r>
    </w:p>
    <w:p>
      <w:pPr>
        <w:pStyle w:val="ListBullet"/>
        <w:ind w:left="389" w:hanging="259"/>
      </w:pPr>
      <w:r>
        <w:t>The employer or school refuses to provide important terms in writing.</w:t>
      </w:r>
    </w:p>
    <w:p>
      <w:pPr>
        <w:pStyle w:val="Heading1"/>
      </w:pPr>
      <w:r>
        <w:t>5. Ethics, Boundaries, and Escalation</w:t>
      </w:r>
    </w:p>
    <w:p>
      <w:pPr>
        <w:pStyle w:val="Heading2"/>
      </w:pPr>
      <w:r>
        <w:t>Scope and stop-work conditions</w:t>
      </w:r>
    </w:p>
    <w:p>
      <w:r>
        <w:t>Administrative staff must not give legal advice, sign as an attorney, alter evidence, promise outcomes, miss filing rules silently, disclose privileged information, or practice law without authorization.</w:t>
      </w:r>
    </w:p>
    <w:p>
      <w:pPr>
        <w:pStyle w:val="ListBullet"/>
        <w:ind w:left="389" w:hanging="259"/>
      </w:pPr>
      <w:r>
        <w:t>Stop and verify when identity, authority, scope, data, deadline, or approval is unclear.</w:t>
      </w:r>
    </w:p>
    <w:p>
      <w:pPr>
        <w:pStyle w:val="ListBullet"/>
        <w:ind w:left="389" w:hanging="259"/>
      </w:pPr>
      <w:r>
        <w:t>Do not backdate, fabricate, hide, destroy, or improperly alter records.</w:t>
      </w:r>
    </w:p>
    <w:p>
      <w:pPr>
        <w:pStyle w:val="ListBullet"/>
        <w:ind w:left="389" w:hanging="259"/>
      </w:pPr>
      <w:r>
        <w:t>Document facts separately from assumptions and conclusions.</w:t>
      </w:r>
    </w:p>
    <w:p>
      <w:pPr>
        <w:pStyle w:val="ListBullet"/>
        <w:ind w:left="389" w:hanging="259"/>
      </w:pPr>
      <w:r>
        <w:t>Escalate suspected fraud, coercion, retaliation, safety threats, privacy incidents, discrimination, and conflicts of interest.</w:t>
      </w:r>
    </w:p>
    <w:p>
      <w:pPr>
        <w:pStyle w:val="ListBullet"/>
        <w:ind w:left="389" w:hanging="259"/>
      </w:pPr>
      <w:r>
        <w:t>Do not promise outcomes controlled by another professional, system, regulator, court, insurer, lender, or employer.</w:t>
      </w:r>
    </w:p>
    <w:p>
      <w:pPr>
        <w:pStyle w:val="Heading1"/>
      </w:pPr>
      <w:r>
        <w:t>6. Tools, Records, and Technology</w:t>
      </w:r>
    </w:p>
    <w:p>
      <w:pPr>
        <w:pStyle w:val="Heading2"/>
      </w:pPr>
      <w:r>
        <w:t>Common systems</w:t>
      </w:r>
    </w:p>
    <w:p>
      <w:pPr>
        <w:pStyle w:val="ListBullet"/>
        <w:ind w:left="389" w:hanging="259"/>
      </w:pPr>
      <w:r>
        <w:t>Email, calendar, document, spreadsheet, and collaboration tools</w:t>
      </w:r>
    </w:p>
    <w:p>
      <w:pPr>
        <w:pStyle w:val="ListBullet"/>
        <w:ind w:left="389" w:hanging="259"/>
      </w:pPr>
      <w:r>
        <w:t>Occupation-specific workflow or case-management systems</w:t>
      </w:r>
    </w:p>
    <w:p>
      <w:pPr>
        <w:pStyle w:val="ListBullet"/>
        <w:ind w:left="389" w:hanging="259"/>
      </w:pPr>
      <w:r>
        <w:t>Templates, checklists, queues, dashboards, and status trackers</w:t>
      </w:r>
    </w:p>
    <w:p>
      <w:pPr>
        <w:pStyle w:val="ListBullet"/>
        <w:ind w:left="389" w:hanging="259"/>
      </w:pPr>
      <w:r>
        <w:t>Secure file transfer, identity verification, and electronic-signature systems</w:t>
      </w:r>
    </w:p>
    <w:p>
      <w:pPr>
        <w:pStyle w:val="ListBullet"/>
        <w:ind w:left="389" w:hanging="259"/>
      </w:pPr>
      <w:r>
        <w:t>Reporting, quality, audit, and retention tools</w:t>
      </w:r>
    </w:p>
    <w:p>
      <w:pPr>
        <w:pStyle w:val="Heading2"/>
      </w:pPr>
      <w:r>
        <w:t>Privacy, cybersecurity, and ethical AI</w:t>
      </w:r>
    </w:p>
    <w:p>
      <w:pPr>
        <w:pStyle w:val="ListBullet"/>
        <w:ind w:left="389" w:hanging="259"/>
      </w:pPr>
      <w:r>
        <w:t>Use multifactor authentication and approved devices and storage.</w:t>
      </w:r>
    </w:p>
    <w:p>
      <w:pPr>
        <w:pStyle w:val="ListBullet"/>
        <w:ind w:left="389" w:hanging="259"/>
      </w:pPr>
      <w:r>
        <w:t>Verify recipients before sending sensitive information.</w:t>
      </w:r>
    </w:p>
    <w:p>
      <w:pPr>
        <w:pStyle w:val="ListBullet"/>
        <w:ind w:left="389" w:hanging="259"/>
      </w:pPr>
      <w:r>
        <w:t>Do not put confidential employer, customer, patient, applicant, borrower, supplier, legal, or court information into public AI tools.</w:t>
      </w:r>
    </w:p>
    <w:p>
      <w:pPr>
        <w:pStyle w:val="ListBullet"/>
        <w:ind w:left="389" w:hanging="259"/>
      </w:pPr>
      <w:r>
        <w:t>Verify AI-generated text, calculations, summaries, citations, and recommendations before use.</w:t>
      </w:r>
    </w:p>
    <w:p>
      <w:pPr>
        <w:pStyle w:val="ListBullet"/>
        <w:ind w:left="389" w:hanging="259"/>
      </w:pPr>
      <w:r>
        <w:t>Do not use AI to fabricate qualifications, work samples, decisions, records, or evidence.</w:t>
      </w:r>
    </w:p>
    <w:p>
      <w:pPr>
        <w:pStyle w:val="ListBullet"/>
        <w:ind w:left="389" w:hanging="259"/>
      </w:pPr>
      <w:r>
        <w:t>Report suspected phishing, account takeover, malware, misdirected information, or unauthorized access immediately.</w:t>
      </w:r>
    </w:p>
    <w:p>
      <w:pPr>
        <w:pStyle w:val="Heading1"/>
      </w:pPr>
      <w:r>
        <w:t>7. Pay, Benefits, and Outlook</w:t>
      </w:r>
    </w:p>
    <w:p>
      <w:pPr>
        <w:pStyle w:val="Heading2"/>
      </w:pPr>
      <w:r>
        <w:t>National reference data</w:t>
      </w:r>
    </w:p>
    <w:p>
      <w:r>
        <w:t>BLS reported a May 2024 median annual wage of $47,460 for secretaries and administrative assistants overall. Legal-specialty wages vary by market, practice area, experience, overtime, and responsibility.</w:t>
      </w:r>
    </w:p>
    <w:p>
      <w:r>
        <w:t>BLS projects employment of secretaries and administrative assistants to decline 2 percent from 2024 to 2034, with replacement openings. Legal technology changes routine drafting and filing while increasing the value of deadline control, quality review, and secure coordination.</w:t>
      </w:r>
    </w:p>
    <w:p>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pPr>
        <w:pStyle w:val="Heading2"/>
      </w:pPr>
      <w:r>
        <w:t>Local research</w:t>
      </w:r>
    </w:p>
    <w:p>
      <w:pPr>
        <w:pStyle w:val="ListBullet"/>
        <w:ind w:left="389" w:hanging="259"/>
      </w:pPr>
      <w:r>
        <w:t>Review at least 25 recent local postings.</w:t>
      </w:r>
    </w:p>
    <w:p>
      <w:pPr>
        <w:pStyle w:val="ListBullet"/>
        <w:ind w:left="389" w:hanging="259"/>
      </w:pPr>
      <w:r>
        <w:t>Record entry, median, and higher wage ranges when available.</w:t>
      </w:r>
    </w:p>
    <w:p>
      <w:pPr>
        <w:pStyle w:val="ListBullet"/>
        <w:ind w:left="389" w:hanging="259"/>
      </w:pPr>
      <w:r>
        <w:t>Separate base pay from overtime, bonuses, commissions, shift differentials, and benefits.</w:t>
      </w:r>
    </w:p>
    <w:p>
      <w:pPr>
        <w:pStyle w:val="ListBullet"/>
        <w:ind w:left="389" w:hanging="259"/>
      </w:pPr>
      <w:r>
        <w:t>Estimate costs for commuting, parking, tools, uniforms, licensing, insurance, childcare, and unpaid time.</w:t>
      </w:r>
    </w:p>
    <w:p>
      <w:pPr>
        <w:pStyle w:val="ListBullet"/>
        <w:ind w:left="389" w:hanging="259"/>
      </w:pPr>
      <w:r>
        <w:t>Check public salary schedules, union agreements, licensing boards, and government workforce data.</w:t>
      </w:r>
    </w:p>
    <w:p>
      <w:pPr>
        <w:pStyle w:val="Heading1"/>
      </w:pPr>
      <w:r>
        <w:t>8. Education and Credential Pathways</w:t>
      </w:r>
    </w:p>
    <w:p>
      <w:pPr>
        <w:pStyle w:val="Heading2"/>
      </w:pPr>
      <w:r>
        <w:t>Entry pathways</w:t>
      </w:r>
    </w:p>
    <w:p>
      <w:r>
        <w:t>Many roles accept a high school diploma plus office experience, while some employers prefer a legal-office certificate or associate degree. Training in legal terminology, document formatting, court systems, calendaring, records, billing, and privacy can help.</w:t>
      </w:r>
    </w:p>
    <w:p>
      <w:pPr>
        <w:pStyle w:val="ListBullet"/>
        <w:ind w:left="389" w:hanging="259"/>
      </w:pPr>
      <w:r>
        <w:t>Free public-library and reputable open learning</w:t>
      </w:r>
    </w:p>
    <w:p>
      <w:pPr>
        <w:pStyle w:val="ListBullet"/>
        <w:ind w:left="389" w:hanging="259"/>
      </w:pPr>
      <w:r>
        <w:t>Adult education and workforce programs</w:t>
      </w:r>
    </w:p>
    <w:p>
      <w:pPr>
        <w:pStyle w:val="ListBullet"/>
        <w:ind w:left="389" w:hanging="259"/>
      </w:pPr>
      <w:r>
        <w:t>Community or technical college certificates and degrees</w:t>
      </w:r>
    </w:p>
    <w:p>
      <w:pPr>
        <w:pStyle w:val="ListBullet"/>
        <w:ind w:left="389" w:hanging="259"/>
      </w:pPr>
      <w:r>
        <w:t>Employer training and cross-training</w:t>
      </w:r>
    </w:p>
    <w:p>
      <w:pPr>
        <w:pStyle w:val="ListBullet"/>
        <w:ind w:left="389" w:hanging="259"/>
      </w:pPr>
      <w:r>
        <w:t>Registered apprenticeship or structured work-based learning where available</w:t>
      </w:r>
    </w:p>
    <w:p>
      <w:pPr>
        <w:pStyle w:val="ListBullet"/>
        <w:ind w:left="389" w:hanging="259"/>
      </w:pPr>
      <w:r>
        <w:t>Professional association education when recognized by employers</w:t>
      </w:r>
    </w:p>
    <w:p>
      <w:pPr>
        <w:pStyle w:val="Heading2"/>
      </w:pPr>
      <w:r>
        <w:t>School and program verification</w:t>
      </w:r>
    </w:p>
    <w:p>
      <w:pPr>
        <w:pStyle w:val="ListBullet"/>
        <w:ind w:left="389" w:hanging="259"/>
      </w:pPr>
      <w:r>
        <w:t>Verify institutional and programmatic accreditation when applicable.</w:t>
      </w:r>
    </w:p>
    <w:p>
      <w:pPr>
        <w:pStyle w:val="ListBullet"/>
        <w:ind w:left="389" w:hanging="259"/>
      </w:pPr>
      <w:r>
        <w:t>Confirm licensing-board, regulator, court, or employer recognition before paying.</w:t>
      </w:r>
    </w:p>
    <w:p>
      <w:pPr>
        <w:pStyle w:val="ListBullet"/>
        <w:ind w:left="389" w:hanging="259"/>
      </w:pPr>
      <w:r>
        <w:t>Ask whether credits and credentials transfer.</w:t>
      </w:r>
    </w:p>
    <w:p>
      <w:pPr>
        <w:pStyle w:val="ListBullet"/>
        <w:ind w:left="389" w:hanging="259"/>
      </w:pPr>
      <w:r>
        <w:t>Calculate tuition, fees, books, software, tools, exams, travel, childcare, and lost wages.</w:t>
      </w:r>
    </w:p>
    <w:p>
      <w:pPr>
        <w:pStyle w:val="ListBullet"/>
        <w:ind w:left="389" w:hanging="259"/>
      </w:pPr>
      <w:r>
        <w:t>Review completion, exam-pass, placement, debt, refund, complaint, teach-out, and school-closure information.</w:t>
      </w:r>
    </w:p>
    <w:p>
      <w:pPr>
        <w:pStyle w:val="ListBullet"/>
        <w:ind w:left="389" w:hanging="259"/>
      </w:pPr>
      <w:r>
        <w:t>Confirm whether placement is guaranteed, competitive, or the student’s responsibility.</w:t>
      </w:r>
    </w:p>
    <w:p>
      <w:pPr>
        <w:pStyle w:val="Heading1"/>
      </w:pPr>
      <w:r>
        <w:t>9. Employer-Supported Learning</w:t>
      </w:r>
    </w:p>
    <w:p>
      <w:pPr>
        <w:pStyle w:val="Heading2"/>
      </w:pPr>
      <w:r>
        <w:t>Tuition assistance and repayment</w:t>
      </w:r>
    </w:p>
    <w:p>
      <w:pPr>
        <w:pStyle w:val="ListBullet"/>
        <w:ind w:left="389" w:hanging="259"/>
      </w:pPr>
      <w:r>
        <w:t>Employers may pay tuition, fees, books, exams, licenses, continuing education, or paid training time.</w:t>
      </w:r>
    </w:p>
    <w:p>
      <w:pPr>
        <w:pStyle w:val="ListBullet"/>
        <w:ind w:left="389" w:hanging="259"/>
      </w:pPr>
      <w:r>
        <w:t>Prior approval, minimum grades, job relevance, performance, and continued employment may be required.</w:t>
      </w:r>
    </w:p>
    <w:p>
      <w:pPr>
        <w:pStyle w:val="ListBullet"/>
        <w:ind w:left="389" w:hanging="259"/>
      </w:pPr>
      <w:r>
        <w:t>A service commitment may last up to two years or another stated period.</w:t>
      </w:r>
    </w:p>
    <w:p>
      <w:pPr>
        <w:pStyle w:val="ListBullet"/>
        <w:ind w:left="389" w:hanging="259"/>
      </w:pPr>
      <w:r>
        <w:t>Voluntary departure may trigger full or prorated repayment.</w:t>
      </w:r>
    </w:p>
    <w:p>
      <w:pPr>
        <w:pStyle w:val="ListBullet"/>
        <w:ind w:left="389" w:hanging="259"/>
      </w:pPr>
      <w:r>
        <w:t>The written agreement should address layoff, position elimination, restructuring, facility closure, disability, military service, retirement, death, and employer-directed transfer.</w:t>
      </w:r>
    </w:p>
    <w:p>
      <w:pPr>
        <w:pStyle w:val="ListBullet"/>
        <w:ind w:left="389" w:hanging="259"/>
      </w:pPr>
      <w:r>
        <w:t>Repayment after layoff should not be assumed; seek a written waiver and verify local law.</w:t>
      </w:r>
    </w:p>
    <w:p>
      <w:pPr>
        <w:pStyle w:val="ListBullet"/>
        <w:ind w:left="389" w:hanging="259"/>
      </w:pPr>
      <w:r>
        <w:t>The agreement should identify whether final-wage deductions are permitted.</w:t>
      </w:r>
    </w:p>
    <w:p>
      <w:pPr>
        <w:pStyle w:val="Heading2"/>
      </w:pPr>
      <w:r>
        <w:t>Apprenticeships, internships, and career ladders</w:t>
      </w:r>
    </w:p>
    <w:p>
      <w:pPr>
        <w:pStyle w:val="ListBullet"/>
        <w:ind w:left="389" w:hanging="259"/>
      </w:pPr>
      <w:r>
        <w:t>Distinguish registered apprenticeship, pre-apprenticeship, internship, externship, practicum, residency, mentoring, job shadowing, cross-training, and rotation.</w:t>
      </w:r>
    </w:p>
    <w:p>
      <w:pPr>
        <w:pStyle w:val="ListBullet"/>
        <w:ind w:left="389" w:hanging="259"/>
      </w:pPr>
      <w:r>
        <w:t>Verify pay, benefits, supervision, work hours, classroom hours, academic or licensing credit, workers’ compensation, tools, tests, and portability.</w:t>
      </w:r>
    </w:p>
    <w:p>
      <w:pPr>
        <w:pStyle w:val="ListBullet"/>
        <w:ind w:left="389" w:hanging="259"/>
      </w:pPr>
      <w:r>
        <w:t>Healthcare and other large employers may partner with schools and offer working internships or bridge programs to develop more qualified employees.</w:t>
      </w:r>
    </w:p>
    <w:p>
      <w:pPr>
        <w:pStyle w:val="ListBullet"/>
        <w:ind w:left="389" w:hanging="259"/>
      </w:pPr>
      <w:r>
        <w:t>Training does not automatically authorize duties that require a license, credential, supervision, or competency validation.</w:t>
      </w:r>
    </w:p>
    <w:p>
      <w:pPr>
        <w:pStyle w:val="Heading1"/>
      </w:pPr>
      <w:r>
        <w:t>10. Accessibility, Safety, and Worker Protections</w:t>
      </w:r>
    </w:p>
    <w:p>
      <w:pPr>
        <w:pStyle w:val="Heading2"/>
      </w:pPr>
      <w:r>
        <w:t>Accommodations</w:t>
      </w:r>
    </w:p>
    <w:p>
      <w:pPr>
        <w:pStyle w:val="ListBullet"/>
        <w:ind w:left="389" w:hanging="259"/>
      </w:pPr>
      <w:r>
        <w:t>Verify accessibility in admissions, online systems, classrooms, laboratories, fieldwork, internships, apprenticeships, examinations, transportation, and employment.</w:t>
      </w:r>
    </w:p>
    <w:p>
      <w:pPr>
        <w:pStyle w:val="ListBullet"/>
        <w:ind w:left="389" w:hanging="259"/>
      </w:pPr>
      <w:r>
        <w:t>Possible supports include screen-reader access, captioning, interpreters, quiet space, written instructions, ergonomic equipment, flexible scheduling, and modified training methods.</w:t>
      </w:r>
    </w:p>
    <w:p>
      <w:pPr>
        <w:pStyle w:val="ListBullet"/>
        <w:ind w:left="389" w:hanging="259"/>
      </w:pPr>
      <w:r>
        <w:t>The school, employer, testing body, apprenticeship sponsor, and placement site may have separate processes.</w:t>
      </w:r>
    </w:p>
    <w:p>
      <w:pPr>
        <w:pStyle w:val="Heading2"/>
      </w:pPr>
      <w:r>
        <w:t>Safety and employment risks</w:t>
      </w:r>
    </w:p>
    <w:p>
      <w:pPr>
        <w:pStyle w:val="ListBullet"/>
        <w:ind w:left="389" w:hanging="259"/>
      </w:pPr>
      <w:r>
        <w:t>Research fatigue, repetitive strain, emotional labor, workplace violence, harassment, retaliation, cash or identity risk, and emergency procedures.</w:t>
      </w:r>
    </w:p>
    <w:p>
      <w:pPr>
        <w:pStyle w:val="ListBullet"/>
        <w:ind w:left="389" w:hanging="259"/>
      </w:pPr>
      <w:r>
        <w:t>Understand whether the role is employee, contractor, temporary, per-diem, or commission-based.</w:t>
      </w:r>
    </w:p>
    <w:p>
      <w:pPr>
        <w:pStyle w:val="ListBullet"/>
        <w:ind w:left="389" w:hanging="259"/>
      </w:pPr>
      <w:r>
        <w:t>Verify overtime, paid training, expense reimbursement, workers’ compensation, unemployment protection, insurance, and tool or uniform deductions.</w:t>
      </w:r>
    </w:p>
    <w:p>
      <w:pPr>
        <w:pStyle w:val="ListBullet"/>
        <w:ind w:left="389" w:hanging="259"/>
      </w:pPr>
      <w:r>
        <w:t>Keep copies of policies, agreements, schedules, evaluations, training records, accommodation decisions, and incident reports.</w:t>
      </w:r>
    </w:p>
    <w:p>
      <w:pPr>
        <w:pStyle w:val="Heading1"/>
      </w:pPr>
      <w:r>
        <w:t>11. Build Evidence of Ability</w:t>
      </w:r>
    </w:p>
    <w:p>
      <w:pPr>
        <w:pStyle w:val="Heading2"/>
      </w:pPr>
      <w:r>
        <w:t>Portfolio projects</w:t>
      </w:r>
    </w:p>
    <w:p>
      <w:pPr>
        <w:pStyle w:val="ListBullet"/>
        <w:ind w:left="389" w:hanging="259"/>
      </w:pPr>
      <w:r>
        <w:t>Create a fictional litigation-calendar checklist.</w:t>
      </w:r>
    </w:p>
    <w:p>
      <w:pPr>
        <w:pStyle w:val="ListBullet"/>
        <w:ind w:left="389" w:hanging="259"/>
      </w:pPr>
      <w:r>
        <w:t>Format a fictional legal correspondence package without real client data.</w:t>
      </w:r>
    </w:p>
    <w:p>
      <w:pPr>
        <w:pStyle w:val="ListBullet"/>
        <w:ind w:left="389" w:hanging="259"/>
      </w:pPr>
      <w:r>
        <w:t>Build a matter-intake and conflict-routing form.</w:t>
      </w:r>
    </w:p>
    <w:p>
      <w:pPr>
        <w:pStyle w:val="ListBullet"/>
        <w:ind w:left="389" w:hanging="259"/>
      </w:pPr>
      <w:r>
        <w:t>Write an escalation scenario for a rejected filing near a deadline.</w:t>
      </w:r>
    </w:p>
    <w:p>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pPr>
        <w:pStyle w:val="Heading2"/>
      </w:pPr>
      <w:r>
        <w:t>Résumé evidence</w:t>
      </w:r>
    </w:p>
    <w:p>
      <w:pPr>
        <w:pStyle w:val="ListBullet"/>
        <w:ind w:left="389" w:hanging="259"/>
      </w:pPr>
      <w:r>
        <w:t>Describe the problem, your authorized role, the action, the tool, the result, and how accuracy or confidentiality was protected.</w:t>
      </w:r>
    </w:p>
    <w:p>
      <w:pPr>
        <w:pStyle w:val="ListBullet"/>
        <w:ind w:left="389" w:hanging="259"/>
      </w:pPr>
      <w:r>
        <w:t>Use numbers only when truthful and explain what they measure.</w:t>
      </w:r>
    </w:p>
    <w:p>
      <w:pPr>
        <w:pStyle w:val="ListBullet"/>
        <w:ind w:left="389" w:hanging="259"/>
      </w:pPr>
      <w:r>
        <w:t>Do not inflate job titles, credentials, authority, or outcomes.</w:t>
      </w:r>
    </w:p>
    <w:p>
      <w:pPr>
        <w:pStyle w:val="ListBullet"/>
        <w:ind w:left="389" w:hanging="259"/>
      </w:pPr>
      <w:r>
        <w:t>Translate volunteer, caregiving, military, community, and nontraditional experience only when the skills genuinely transfer.</w:t>
      </w:r>
    </w:p>
    <w:p>
      <w:pPr>
        <w:pStyle w:val="Heading1"/>
      </w:pPr>
      <w:r>
        <w:t>12. Interview Preparation</w:t>
      </w:r>
    </w:p>
    <w:p>
      <w:pPr>
        <w:pStyle w:val="Heading2"/>
      </w:pPr>
      <w:r>
        <w:t>Questions and answer guidance</w:t>
      </w:r>
    </w:p>
    <w:p>
      <w:pPr>
        <w:pStyle w:val="ListBullet"/>
        <w:ind w:left="389" w:hanging="259"/>
      </w:pPr>
      <w:r>
        <w:t>How do you prevent missed deadlines?</w:t>
      </w:r>
    </w:p>
    <w:p>
      <w:pPr>
        <w:pStyle w:val="ListBullet"/>
        <w:ind w:left="389" w:hanging="259"/>
      </w:pPr>
      <w:r>
        <w:t>What would you do if asked to give a client legal advice?</w:t>
      </w:r>
    </w:p>
    <w:p>
      <w:pPr>
        <w:pStyle w:val="ListBullet"/>
        <w:ind w:left="389" w:hanging="259"/>
      </w:pPr>
      <w:r>
        <w:t>How do you protect privileged information in remote work?</w:t>
      </w:r>
    </w:p>
    <w:p>
      <w:pPr>
        <w:pStyle w:val="ListBullet"/>
        <w:ind w:left="389" w:hanging="259"/>
      </w:pPr>
      <w:r>
        <w:t>How would you respond to a court filing rejection?</w:t>
      </w:r>
    </w:p>
    <w:p>
      <w:pPr>
        <w:pStyle w:val="ListBullet"/>
        <w:ind w:left="389" w:hanging="259"/>
      </w:pPr>
      <w:r>
        <w:t>Use a real example when possible.</w:t>
      </w:r>
    </w:p>
    <w:p>
      <w:pPr>
        <w:pStyle w:val="ListBullet"/>
        <w:ind w:left="389" w:hanging="259"/>
      </w:pPr>
      <w:r>
        <w:t>State the rule, risk, or customer need you recognized.</w:t>
      </w:r>
    </w:p>
    <w:p>
      <w:pPr>
        <w:pStyle w:val="ListBullet"/>
        <w:ind w:left="389" w:hanging="259"/>
      </w:pPr>
      <w:r>
        <w:t>Explain the steps you took and what you escalated.</w:t>
      </w:r>
    </w:p>
    <w:p>
      <w:pPr>
        <w:pStyle w:val="ListBullet"/>
        <w:ind w:left="389" w:hanging="259"/>
      </w:pPr>
      <w:r>
        <w:t>Describe the evidence or result without revealing confidential information.</w:t>
      </w:r>
    </w:p>
    <w:p>
      <w:pPr>
        <w:pStyle w:val="ListBullet"/>
        <w:ind w:left="389" w:hanging="259"/>
      </w:pPr>
      <w:r>
        <w:t>Acknowledge what you would verify rather than pretending to know.</w:t>
      </w:r>
    </w:p>
    <w:p>
      <w:pPr>
        <w:pStyle w:val="Heading1"/>
      </w:pPr>
      <w:r>
        <w:t>13. First 30, 60, and 90 Days</w:t>
      </w:r>
    </w:p>
    <w:p>
      <w:pPr>
        <w:pStyle w:val="Heading2"/>
      </w:pPr>
      <w:r>
        <w:t>Early success plan</w:t>
      </w:r>
    </w:p>
    <w:p>
      <w:pPr>
        <w:pStyle w:val="ListBullet"/>
        <w:ind w:left="389" w:hanging="259"/>
      </w:pPr>
      <w:r>
        <w:t>First 30 days: learn policies, systems, terminology, authority limits, privacy rules, escalation paths, and quality expectations.</w:t>
      </w:r>
    </w:p>
    <w:p>
      <w:pPr>
        <w:pStyle w:val="ListBullet"/>
        <w:ind w:left="389" w:hanging="259"/>
      </w:pPr>
      <w:r>
        <w:t>By 60 days: perform routine work consistently, use checklists, document exceptions, request feedback, and correct recurring errors.</w:t>
      </w:r>
    </w:p>
    <w:p>
      <w:pPr>
        <w:pStyle w:val="ListBullet"/>
        <w:ind w:left="389" w:hanging="259"/>
      </w:pPr>
      <w:r>
        <w:t>By 90 days: manage a normal workload with appropriate supervision, identify one safe process improvement, and create a development plan.</w:t>
      </w:r>
    </w:p>
    <w:p>
      <w:pPr>
        <w:pStyle w:val="Heading1"/>
      </w:pPr>
      <w:r>
        <w:t>14. Advancement and Exit Planning</w:t>
      </w:r>
    </w:p>
    <w:p>
      <w:pPr>
        <w:pStyle w:val="Heading2"/>
      </w:pPr>
      <w:r>
        <w:t>Career ladders</w:t>
      </w:r>
    </w:p>
    <w:p>
      <w:pPr>
        <w:pStyle w:val="ListBullet"/>
        <w:ind w:left="389" w:hanging="259"/>
      </w:pPr>
      <w:r>
        <w:t>Senior coordinator or specialist</w:t>
      </w:r>
    </w:p>
    <w:p>
      <w:pPr>
        <w:pStyle w:val="ListBullet"/>
        <w:ind w:left="389" w:hanging="259"/>
      </w:pPr>
      <w:r>
        <w:t>Analyst or quality role</w:t>
      </w:r>
    </w:p>
    <w:p>
      <w:pPr>
        <w:pStyle w:val="ListBullet"/>
        <w:ind w:left="389" w:hanging="259"/>
      </w:pPr>
      <w:r>
        <w:t>Supervisor or team lead</w:t>
      </w:r>
    </w:p>
    <w:p>
      <w:pPr>
        <w:pStyle w:val="ListBullet"/>
        <w:ind w:left="389" w:hanging="259"/>
      </w:pPr>
      <w:r>
        <w:t>Training, audit, operations, compliance, customer-experience, or project role</w:t>
      </w:r>
    </w:p>
    <w:p>
      <w:pPr>
        <w:pStyle w:val="ListBullet"/>
        <w:ind w:left="389" w:hanging="259"/>
      </w:pPr>
      <w:r>
        <w:t>Occupation-specific licensed or professional pathway after additional education</w:t>
      </w:r>
    </w:p>
    <w:p>
      <w:pPr>
        <w:pStyle w:val="Heading2"/>
      </w:pPr>
      <w:r>
        <w:t>Transferable skills</w:t>
      </w:r>
    </w:p>
    <w:p>
      <w:pPr>
        <w:pStyle w:val="ListBullet"/>
        <w:ind w:left="389" w:hanging="259"/>
      </w:pPr>
      <w:r>
        <w:t>Documentation and records control</w:t>
      </w:r>
    </w:p>
    <w:p>
      <w:pPr>
        <w:pStyle w:val="ListBullet"/>
        <w:ind w:left="389" w:hanging="259"/>
      </w:pPr>
      <w:r>
        <w:t>Customer or stakeholder communication</w:t>
      </w:r>
    </w:p>
    <w:p>
      <w:pPr>
        <w:pStyle w:val="ListBullet"/>
        <w:ind w:left="389" w:hanging="259"/>
      </w:pPr>
      <w:r>
        <w:t>Scheduling and deadline management</w:t>
      </w:r>
    </w:p>
    <w:p>
      <w:pPr>
        <w:pStyle w:val="ListBullet"/>
        <w:ind w:left="389" w:hanging="259"/>
      </w:pPr>
      <w:r>
        <w:t>Data quality and exception handling</w:t>
      </w:r>
    </w:p>
    <w:p>
      <w:pPr>
        <w:pStyle w:val="ListBullet"/>
        <w:ind w:left="389" w:hanging="259"/>
      </w:pPr>
      <w:r>
        <w:t>Privacy, ethics, and escalation</w:t>
      </w:r>
    </w:p>
    <w:p>
      <w:pPr>
        <w:pStyle w:val="ListBullet"/>
        <w:ind w:left="389" w:hanging="259"/>
      </w:pPr>
      <w:r>
        <w:t>Process mapping and continuous improvement</w:t>
      </w:r>
    </w:p>
    <w:p>
      <w:pPr>
        <w:pStyle w:val="Heading1"/>
      </w:pPr>
      <w:r>
        <w:t>15. Before You Enroll or Sign</w:t>
      </w:r>
    </w:p>
    <w:p>
      <w:pPr>
        <w:pStyle w:val="Heading2"/>
      </w:pPr>
      <w:r>
        <w:t>Decision checklist</w:t>
      </w:r>
    </w:p>
    <w:p>
      <w:pPr>
        <w:pStyle w:val="ListBullet"/>
        <w:ind w:left="389" w:hanging="259"/>
      </w:pPr>
      <w:r>
        <w:t>☐ I verified the actual duties and local entry requirements.</w:t>
      </w:r>
    </w:p>
    <w:p>
      <w:pPr>
        <w:pStyle w:val="ListBullet"/>
        <w:ind w:left="389" w:hanging="259"/>
      </w:pPr>
      <w:r>
        <w:t>☐ I understand the complete education cost and likely income loss.</w:t>
      </w:r>
    </w:p>
    <w:p>
      <w:pPr>
        <w:pStyle w:val="ListBullet"/>
        <w:ind w:left="389" w:hanging="259"/>
      </w:pPr>
      <w:r>
        <w:t>☐ I verified accreditation, program approval, exam eligibility, and portability.</w:t>
      </w:r>
    </w:p>
    <w:p>
      <w:pPr>
        <w:pStyle w:val="ListBullet"/>
        <w:ind w:left="389" w:hanging="259"/>
      </w:pPr>
      <w:r>
        <w:t>☐ I understand employer funding, service, repayment, and layoff terms.</w:t>
      </w:r>
    </w:p>
    <w:p>
      <w:pPr>
        <w:pStyle w:val="ListBullet"/>
        <w:ind w:left="389" w:hanging="259"/>
      </w:pPr>
      <w:r>
        <w:t>☐ I verified schedule, transportation, caregiving, accessibility, and safety.</w:t>
      </w:r>
    </w:p>
    <w:p>
      <w:pPr>
        <w:pStyle w:val="ListBullet"/>
        <w:ind w:left="389" w:hanging="259"/>
      </w:pPr>
      <w:r>
        <w:t>☐ I know where to complain or appeal.</w:t>
      </w:r>
    </w:p>
    <w:p>
      <w:pPr>
        <w:pStyle w:val="ListBullet"/>
        <w:ind w:left="389" w:hanging="259"/>
      </w:pPr>
      <w:r>
        <w:t>☐ I have an exit plan and know which credits, records, and credentials I retain.</w:t>
      </w:r>
    </w:p>
    <w:p>
      <w:pPr>
        <w:pStyle w:val="Heading1"/>
      </w:pPr>
      <w:r>
        <w:t>16. Twelve-Week Action Plan</w:t>
      </w:r>
    </w:p>
    <w:p>
      <w:pPr>
        <w:pStyle w:val="Heading2"/>
      </w:pPr>
      <w:r>
        <w:t>A sequential plan</w:t>
      </w:r>
    </w:p>
    <w:p>
      <w:pPr>
        <w:pStyle w:val="ListNumber"/>
      </w:pPr>
      <w:r>
        <w:t>Weeks 1–2: define your strengths, constraints, access needs, and nonnegotiable conditions.</w:t>
      </w:r>
    </w:p>
    <w:p>
      <w:pPr>
        <w:pStyle w:val="ListNumber"/>
      </w:pPr>
      <w:r>
        <w:t>Weeks 3–4: study the occupation, settings, tools, workflows, risks, and boundaries.</w:t>
      </w:r>
    </w:p>
    <w:p>
      <w:pPr>
        <w:pStyle w:val="ListNumber"/>
      </w:pPr>
      <w:r>
        <w:t>Weeks 5–6: review local postings, wages, benefits, schedules, and requirements.</w:t>
      </w:r>
    </w:p>
    <w:p>
      <w:pPr>
        <w:pStyle w:val="ListNumber"/>
      </w:pPr>
      <w:r>
        <w:t>Weeks 7–8: compare schools, employer pathways, apprenticeships, accreditation, and total cost.</w:t>
      </w:r>
    </w:p>
    <w:p>
      <w:pPr>
        <w:pStyle w:val="ListNumber"/>
      </w:pPr>
      <w:r>
        <w:t>Weeks 9–10: verify funding, service agreements, tax issues, accommodations, and exit consequences.</w:t>
      </w:r>
    </w:p>
    <w:p>
      <w:pPr>
        <w:pStyle w:val="ListNumber"/>
      </w:pPr>
      <w:r>
        <w:t>Weeks 11–12: complete an ethical work sample, update your résumé, practice interviews, and decide whether to proceed, pause, or change direction.</w:t>
      </w:r>
    </w:p>
    <w:p>
      <w:pPr>
        <w:pStyle w:val="Heading1"/>
      </w:pPr>
      <w:r>
        <w:t>17. Worksheets</w:t>
      </w:r>
    </w:p>
    <w:p>
      <w:pPr>
        <w:pStyle w:val="Heading2"/>
      </w:pPr>
      <w:r>
        <w:t>Career-fit and cost worksheets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Pr>
          <w:p>
            <w:r>
              <w:rPr>
                <w:b/>
                <w:sz w:val="18"/>
              </w:rPr>
              <w:t>Question</w:t>
            </w:r>
          </w:p>
        </w:tc>
        <w:tc>
          <w:tcPr>
            <w:tcW w:type="dxa" w:w="4997"/>
            <w:shd w:fill="D9EAF7"/>
          </w:tcPr>
          <w:p>
            <w:r>
              <w:rPr>
                <w:b/>
                <w:sz w:val="18"/>
              </w:rPr>
              <w:t>Your notes</w:t>
            </w:r>
          </w:p>
        </w:tc>
      </w:tr>
      <w:tr>
        <w:trPr>
          <w:cantSplit/>
        </w:trPr>
        <w:tc>
          <w:tcPr>
            <w:tcW w:type="dxa" w:w="4997"/>
            <w:vAlign w:val="top"/>
          </w:tcPr>
          <w:p>
            <w:pPr>
              <w:spacing w:after="20"/>
            </w:pPr>
            <w:r>
              <w:rPr>
                <w:sz w:val="17"/>
              </w:rPr>
              <w:t>Daily tasks I want to test</w:t>
            </w:r>
          </w:p>
        </w:tc>
        <w:tc>
          <w:tcPr>
            <w:tcW w:type="dxa" w:w="4997"/>
            <w:vAlign w:val="top"/>
          </w:tcPr>
          <w:p>
            <w:pPr>
              <w:spacing w:after="20"/>
            </w:pPr>
            <w:r>
              <w:rPr>
                <w:sz w:val="17"/>
              </w:rPr>
            </w:r>
          </w:p>
        </w:tc>
      </w:tr>
      <w:tr>
        <w:trPr>
          <w:cantSplit/>
        </w:trPr>
        <w:tc>
          <w:tcPr>
            <w:tcW w:type="dxa" w:w="4997"/>
            <w:vAlign w:val="top"/>
          </w:tcPr>
          <w:p>
            <w:pPr>
              <w:spacing w:after="20"/>
            </w:pPr>
            <w:r>
              <w:rPr>
                <w:sz w:val="17"/>
              </w:rPr>
              <w:t>Conditions or duties I should avoid</w:t>
            </w:r>
          </w:p>
        </w:tc>
        <w:tc>
          <w:tcPr>
            <w:tcW w:type="dxa" w:w="4997"/>
            <w:vAlign w:val="top"/>
          </w:tcPr>
          <w:p>
            <w:pPr>
              <w:spacing w:after="20"/>
            </w:pPr>
            <w:r>
              <w:rPr>
                <w:sz w:val="17"/>
              </w:rPr>
            </w:r>
          </w:p>
        </w:tc>
      </w:tr>
      <w:tr>
        <w:trPr>
          <w:cantSplit/>
        </w:trPr>
        <w:tc>
          <w:tcPr>
            <w:tcW w:type="dxa" w:w="4997"/>
            <w:vAlign w:val="top"/>
          </w:tcPr>
          <w:p>
            <w:pPr>
              <w:spacing w:after="20"/>
            </w:pPr>
            <w:r>
              <w:rPr>
                <w:sz w:val="17"/>
              </w:rPr>
              <w:t>Schedule, transportation, and caregiving limits</w:t>
            </w:r>
          </w:p>
        </w:tc>
        <w:tc>
          <w:tcPr>
            <w:tcW w:type="dxa" w:w="4997"/>
            <w:vAlign w:val="top"/>
          </w:tcPr>
          <w:p>
            <w:pPr>
              <w:spacing w:after="20"/>
            </w:pPr>
            <w:r>
              <w:rPr>
                <w:sz w:val="17"/>
              </w:rPr>
            </w:r>
          </w:p>
        </w:tc>
      </w:tr>
      <w:tr>
        <w:trPr>
          <w:cantSplit/>
        </w:trPr>
        <w:tc>
          <w:tcPr>
            <w:tcW w:type="dxa" w:w="4997"/>
            <w:vAlign w:val="top"/>
          </w:tcPr>
          <w:p>
            <w:pPr>
              <w:spacing w:after="20"/>
            </w:pPr>
            <w:r>
              <w:rPr>
                <w:sz w:val="17"/>
              </w:rPr>
              <w:t>Accessibility and accommodation needs</w:t>
            </w:r>
          </w:p>
        </w:tc>
        <w:tc>
          <w:tcPr>
            <w:tcW w:type="dxa" w:w="4997"/>
            <w:vAlign w:val="top"/>
          </w:tcPr>
          <w:p>
            <w:pPr>
              <w:spacing w:after="20"/>
            </w:pPr>
            <w:r>
              <w:rPr>
                <w:sz w:val="17"/>
              </w:rPr>
            </w:r>
          </w:p>
        </w:tc>
      </w:tr>
      <w:tr>
        <w:trPr>
          <w:cantSplit/>
        </w:trPr>
        <w:tc>
          <w:tcPr>
            <w:tcW w:type="dxa" w:w="4997"/>
            <w:vAlign w:val="top"/>
          </w:tcPr>
          <w:p>
            <w:pPr>
              <w:spacing w:after="20"/>
            </w:pPr>
            <w:r>
              <w:rPr>
                <w:sz w:val="17"/>
              </w:rPr>
              <w:t>Local requirements still needing verification</w:t>
            </w:r>
          </w:p>
        </w:tc>
        <w:tc>
          <w:tcPr>
            <w:tcW w:type="dxa" w:w="4997"/>
            <w:vAlign w:val="top"/>
          </w:tcPr>
          <w:p>
            <w:pPr>
              <w:spacing w:after="20"/>
            </w:pPr>
            <w:r>
              <w:rPr>
                <w:sz w:val="17"/>
              </w:rPr>
            </w:r>
          </w:p>
        </w:tc>
      </w:tr>
      <w:tr>
        <w:trPr>
          <w:cantSplit/>
        </w:trPr>
        <w:tc>
          <w:tcPr>
            <w:tcW w:type="dxa" w:w="4997"/>
            <w:vAlign w:val="top"/>
          </w:tcPr>
          <w:p>
            <w:pPr>
              <w:spacing w:after="20"/>
            </w:pPr>
            <w:r>
              <w:rPr>
                <w:sz w:val="17"/>
              </w:rPr>
              <w:t>Evidence that this path fits me</w:t>
            </w:r>
          </w:p>
        </w:tc>
        <w:tc>
          <w:tcPr>
            <w:tcW w:type="dxa" w:w="4997"/>
            <w:vAlign w:val="top"/>
          </w:tcPr>
          <w:p>
            <w:pPr>
              <w:spacing w:after="20"/>
            </w:pPr>
            <w:r>
              <w:rPr>
                <w:sz w:val="17"/>
              </w:rPr>
            </w:r>
          </w:p>
        </w:tc>
      </w:tr>
    </w:tbl>
    <w:p>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AF7"/>
          </w:tcPr>
          <w:p>
            <w:r>
              <w:rPr>
                <w:b/>
                <w:sz w:val="18"/>
              </w:rPr>
              <w:t>Cost category</w:t>
            </w:r>
          </w:p>
        </w:tc>
        <w:tc>
          <w:tcPr>
            <w:tcW w:type="dxa" w:w="3331"/>
            <w:shd w:fill="D9EAF7"/>
          </w:tcPr>
          <w:p>
            <w:r>
              <w:rPr>
                <w:b/>
                <w:sz w:val="18"/>
              </w:rPr>
              <w:t>Estimated amount</w:t>
            </w:r>
          </w:p>
        </w:tc>
        <w:tc>
          <w:tcPr>
            <w:tcW w:type="dxa" w:w="3331"/>
            <w:shd w:fill="D9EAF7"/>
          </w:tcPr>
          <w:p>
            <w:r>
              <w:rPr>
                <w:b/>
                <w:sz w:val="18"/>
              </w:rPr>
              <w:t>Who may pay?</w:t>
            </w:r>
          </w:p>
        </w:tc>
      </w:tr>
      <w:tr>
        <w:trPr>
          <w:cantSplit/>
        </w:trPr>
        <w:tc>
          <w:tcPr>
            <w:tcW w:type="dxa" w:w="3331"/>
            <w:vAlign w:val="top"/>
          </w:tcPr>
          <w:p>
            <w:pPr>
              <w:spacing w:after="20"/>
            </w:pPr>
            <w:r>
              <w:rPr>
                <w:sz w:val="17"/>
              </w:rPr>
              <w:t>Tuition and fees</w:t>
            </w:r>
          </w:p>
        </w:tc>
        <w:tc>
          <w:tcPr>
            <w:tcW w:type="dxa" w:w="3331"/>
            <w:vAlign w:val="top"/>
          </w:tcPr>
          <w:p>
            <w:pPr>
              <w:spacing w:after="20"/>
            </w:pPr>
            <w:r>
              <w:rPr>
                <w:sz w:val="17"/>
              </w:rPr>
            </w:r>
          </w:p>
        </w:tc>
        <w:tc>
          <w:tcPr>
            <w:tcW w:type="dxa" w:w="3331"/>
            <w:vAlign w:val="top"/>
          </w:tcPr>
          <w:p>
            <w:pPr>
              <w:spacing w:after="20"/>
            </w:pPr>
            <w:r>
              <w:rPr>
                <w:sz w:val="17"/>
              </w:rPr>
            </w:r>
          </w:p>
        </w:tc>
      </w:tr>
      <w:tr>
        <w:trPr>
          <w:cantSplit/>
        </w:trPr>
        <w:tc>
          <w:tcPr>
            <w:tcW w:type="dxa" w:w="3331"/>
            <w:vAlign w:val="top"/>
          </w:tcPr>
          <w:p>
            <w:pPr>
              <w:spacing w:after="20"/>
            </w:pPr>
            <w:r>
              <w:rPr>
                <w:sz w:val="17"/>
              </w:rPr>
              <w:t>Books, software, tools, exams, and licenses</w:t>
            </w:r>
          </w:p>
        </w:tc>
        <w:tc>
          <w:tcPr>
            <w:tcW w:type="dxa" w:w="3331"/>
            <w:vAlign w:val="top"/>
          </w:tcPr>
          <w:p>
            <w:pPr>
              <w:spacing w:after="20"/>
            </w:pPr>
            <w:r>
              <w:rPr>
                <w:sz w:val="17"/>
              </w:rPr>
            </w:r>
          </w:p>
        </w:tc>
        <w:tc>
          <w:tcPr>
            <w:tcW w:type="dxa" w:w="3331"/>
            <w:vAlign w:val="top"/>
          </w:tcPr>
          <w:p>
            <w:pPr>
              <w:spacing w:after="20"/>
            </w:pPr>
            <w:r>
              <w:rPr>
                <w:sz w:val="17"/>
              </w:rPr>
            </w:r>
          </w:p>
        </w:tc>
      </w:tr>
      <w:tr>
        <w:trPr>
          <w:cantSplit/>
        </w:trPr>
        <w:tc>
          <w:tcPr>
            <w:tcW w:type="dxa" w:w="3331"/>
            <w:vAlign w:val="top"/>
          </w:tcPr>
          <w:p>
            <w:pPr>
              <w:spacing w:after="20"/>
            </w:pPr>
            <w:r>
              <w:rPr>
                <w:sz w:val="17"/>
              </w:rPr>
              <w:t>Travel, parking, housing, and meals</w:t>
            </w:r>
          </w:p>
        </w:tc>
        <w:tc>
          <w:tcPr>
            <w:tcW w:type="dxa" w:w="3331"/>
            <w:vAlign w:val="top"/>
          </w:tcPr>
          <w:p>
            <w:pPr>
              <w:spacing w:after="20"/>
            </w:pPr>
            <w:r>
              <w:rPr>
                <w:sz w:val="17"/>
              </w:rPr>
            </w:r>
          </w:p>
        </w:tc>
        <w:tc>
          <w:tcPr>
            <w:tcW w:type="dxa" w:w="3331"/>
            <w:vAlign w:val="top"/>
          </w:tcPr>
          <w:p>
            <w:pPr>
              <w:spacing w:after="20"/>
            </w:pPr>
            <w:r>
              <w:rPr>
                <w:sz w:val="17"/>
              </w:rPr>
            </w:r>
          </w:p>
        </w:tc>
      </w:tr>
      <w:tr>
        <w:trPr>
          <w:cantSplit/>
        </w:trPr>
        <w:tc>
          <w:tcPr>
            <w:tcW w:type="dxa" w:w="3331"/>
            <w:vAlign w:val="top"/>
          </w:tcPr>
          <w:p>
            <w:pPr>
              <w:spacing w:after="20"/>
            </w:pPr>
            <w:r>
              <w:rPr>
                <w:sz w:val="17"/>
              </w:rPr>
              <w:t>Childcare or eldercare</w:t>
            </w:r>
          </w:p>
        </w:tc>
        <w:tc>
          <w:tcPr>
            <w:tcW w:type="dxa" w:w="3331"/>
            <w:vAlign w:val="top"/>
          </w:tcPr>
          <w:p>
            <w:pPr>
              <w:spacing w:after="20"/>
            </w:pPr>
            <w:r>
              <w:rPr>
                <w:sz w:val="17"/>
              </w:rPr>
            </w:r>
          </w:p>
        </w:tc>
        <w:tc>
          <w:tcPr>
            <w:tcW w:type="dxa" w:w="3331"/>
            <w:vAlign w:val="top"/>
          </w:tcPr>
          <w:p>
            <w:pPr>
              <w:spacing w:after="20"/>
            </w:pPr>
            <w:r>
              <w:rPr>
                <w:sz w:val="17"/>
              </w:rPr>
            </w:r>
          </w:p>
        </w:tc>
      </w:tr>
      <w:tr>
        <w:trPr>
          <w:cantSplit/>
        </w:trPr>
        <w:tc>
          <w:tcPr>
            <w:tcW w:type="dxa" w:w="3331"/>
            <w:vAlign w:val="top"/>
          </w:tcPr>
          <w:p>
            <w:pPr>
              <w:spacing w:after="20"/>
            </w:pPr>
            <w:r>
              <w:rPr>
                <w:sz w:val="17"/>
              </w:rPr>
              <w:t>Lost wages or reduced hours</w:t>
            </w:r>
          </w:p>
        </w:tc>
        <w:tc>
          <w:tcPr>
            <w:tcW w:type="dxa" w:w="3331"/>
            <w:vAlign w:val="top"/>
          </w:tcPr>
          <w:p>
            <w:pPr>
              <w:spacing w:after="20"/>
            </w:pPr>
            <w:r>
              <w:rPr>
                <w:sz w:val="17"/>
              </w:rPr>
            </w:r>
          </w:p>
        </w:tc>
        <w:tc>
          <w:tcPr>
            <w:tcW w:type="dxa" w:w="3331"/>
            <w:vAlign w:val="top"/>
          </w:tcPr>
          <w:p>
            <w:pPr>
              <w:spacing w:after="20"/>
            </w:pPr>
            <w:r>
              <w:rPr>
                <w:sz w:val="17"/>
              </w:rPr>
            </w:r>
          </w:p>
        </w:tc>
      </w:tr>
      <w:tr>
        <w:trPr>
          <w:cantSplit/>
        </w:trPr>
        <w:tc>
          <w:tcPr>
            <w:tcW w:type="dxa" w:w="3331"/>
            <w:vAlign w:val="top"/>
          </w:tcPr>
          <w:p>
            <w:pPr>
              <w:spacing w:after="20"/>
            </w:pPr>
            <w:r>
              <w:rPr>
                <w:sz w:val="17"/>
              </w:rPr>
              <w:t>Other costs</w:t>
            </w:r>
          </w:p>
        </w:tc>
        <w:tc>
          <w:tcPr>
            <w:tcW w:type="dxa" w:w="3331"/>
            <w:vAlign w:val="top"/>
          </w:tcPr>
          <w:p>
            <w:pPr>
              <w:spacing w:after="20"/>
            </w:pPr>
            <w:r>
              <w:rPr>
                <w:sz w:val="17"/>
              </w:rPr>
            </w:r>
          </w:p>
        </w:tc>
        <w:tc>
          <w:tcPr>
            <w:tcW w:type="dxa" w:w="3331"/>
            <w:vAlign w:val="top"/>
          </w:tcPr>
          <w:p>
            <w:pPr>
              <w:spacing w:after="20"/>
            </w:pPr>
            <w:r>
              <w:rPr>
                <w:sz w:val="17"/>
              </w:rPr>
            </w:r>
          </w:p>
        </w:tc>
      </w:tr>
    </w:tbl>
    <w:p>
      <w:pPr>
        <w:pStyle w:val="Heading1"/>
      </w:pPr>
      <w:r>
        <w:t>18. Sources, Versioning, and Maintenance</w:t>
      </w:r>
    </w:p>
    <w:p>
      <w:pPr>
        <w:pStyle w:val="Heading2"/>
      </w:pPr>
      <w:r>
        <w:t>Official sources</w:t>
      </w:r>
    </w:p>
    <w:p>
      <w:pPr>
        <w:pStyle w:val="ListBullet"/>
        <w:ind w:left="389" w:hanging="259"/>
      </w:pPr>
      <w:r>
        <w:t>U.S. Bureau of Labor Statistics, Occupational Outlook Handbook: https://www.bls.gov/ooh/office-and-administrative-support/secretaries-and-administrative-assistants.htm</w:t>
      </w:r>
    </w:p>
    <w:p>
      <w:pPr>
        <w:pStyle w:val="ListBullet"/>
        <w:ind w:left="389" w:hanging="259"/>
      </w:pPr>
      <w:r>
        <w:t>U.S. Department of Education, Database of Accredited Postsecondary Institutions and Programs: https://ope.ed.gov/dapip/</w:t>
      </w:r>
    </w:p>
    <w:p>
      <w:pPr>
        <w:pStyle w:val="ListBullet"/>
        <w:ind w:left="389" w:hanging="259"/>
      </w:pPr>
      <w:r>
        <w:t>U.S. Department of Labor, Apprenticeship.gov: https://www.apprenticeship.gov/</w:t>
      </w:r>
    </w:p>
    <w:p>
      <w:pPr>
        <w:pStyle w:val="ListBullet"/>
        <w:ind w:left="389" w:hanging="259"/>
      </w:pPr>
      <w:r>
        <w:t>Federal Student Aid, Federal student aid and school information: https://studentaid.gov/</w:t>
      </w:r>
    </w:p>
    <w:p>
      <w:pPr>
        <w:pStyle w:val="ListBullet"/>
        <w:ind w:left="389" w:hanging="259"/>
      </w:pPr>
      <w:r>
        <w:t>Internal Revenue Service, Education credits and Section 127 educational assistance: https://www.irs.gov/credits-deductions/individuals/education-credits-aotc-and-llc</w:t>
      </w:r>
    </w:p>
    <w:p>
      <w:pPr>
        <w:pStyle w:val="ListBullet"/>
        <w:ind w:left="389" w:hanging="259"/>
      </w:pPr>
      <w:r>
        <w:t>U.S. Equal Employment Opportunity Commission, Disability discrimination and reasonable accommodation: https://www.eeoc.gov/disability-discrimination-and-employment-decisions</w:t>
      </w:r>
    </w:p>
    <w:p>
      <w:pPr>
        <w:pStyle w:val="ListBullet"/>
        <w:ind w:left="389" w:hanging="259"/>
      </w:pPr>
      <w:r>
        <w:t>U.S. Department of Labor, Wage and Hour Division: https://www.dol.gov/agencies/whd</w:t>
      </w:r>
    </w:p>
    <w:p>
      <w:pPr>
        <w:pStyle w:val="Heading2"/>
      </w:pPr>
      <w:r>
        <w:t>Correction policy</w:t>
      </w:r>
    </w:p>
    <w:p>
      <w:pPr>
        <w:pStyle w:val="ListBullet"/>
        <w:ind w:left="389" w:hanging="259"/>
      </w:pPr>
      <w:r>
        <w:t>Version 1.0 is the first public edition after owner review.</w:t>
      </w:r>
    </w:p>
    <w:p>
      <w:pPr>
        <w:pStyle w:val="ListBullet"/>
        <w:ind w:left="389" w:hanging="259"/>
      </w:pPr>
      <w:r>
        <w:t>Minor factual, link, or formatting corrections use v1.1, v1.2, and later minor versions.</w:t>
      </w:r>
    </w:p>
    <w:p>
      <w:pPr>
        <w:pStyle w:val="ListBullet"/>
        <w:ind w:left="389" w:hanging="259"/>
      </w:pPr>
      <w:r>
        <w:t>Major restructuring or material occupational changes use v2.0.</w:t>
      </w:r>
    </w:p>
    <w:p>
      <w:pPr>
        <w:pStyle w:val="ListBullet"/>
        <w:ind w:left="389" w:hanging="259"/>
      </w:pPr>
      <w:r>
        <w:t>Wage, outlook, tax, licensing, accreditation, and program information should be reviewed at least annually.</w:t>
      </w:r>
    </w:p>
    <w:p>
      <w:pPr>
        <w:pStyle w:val="ListBullet"/>
        <w:ind w:left="389" w:hanging="259"/>
      </w:pPr>
      <w:r>
        <w:t>A material safety or legal error should trigger correction, withdrawal, or replacement.</w:t>
      </w:r>
    </w:p>
    <w:p>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Free educational resource • Alberto (Al) Leiva • CC BY-NC-SA 4.0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Legal Administrative Assistant and Legal Office Coordinator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Legal Administrative Assistant and Legal Office Coordinator Guide English v1.0</dc:title>
  <dc:subject>Career guide for Legal Administrative Assistant and Legal Office Coordinator</dc:subject>
  <dc:creator>Alberto (Al) Leiva</dc:creator>
  <cp:keywords>career guide, education, accessibility, employer training, ethical AI, lifelong learning</cp:keywords>
  <dc:description>Created and directed by Alberto (Al) Leiva; assisted by ChatGPT, OpenAI.</dc:description>
  <cp:lastModifiedBy/>
  <cp:revision>1</cp:revision>
  <dcterms:created xsi:type="dcterms:W3CDTF">2013-12-23T23:15:00Z</dcterms:created>
  <dcterms:modified xsi:type="dcterms:W3CDTF">2013-12-23T23:15:00Z</dcterms:modified>
  <cp:category/>
</cp:coreProperties>
</file>