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lifelong-opportunity-guide-24"/>
    <w:p>
      <w:pPr>
        <w:pStyle w:val="Heading1"/>
      </w:pPr>
      <w:r>
        <w:t xml:space="preserve">Lifelong Opportunity Guide 24</w:t>
      </w:r>
    </w:p>
    <w:bookmarkStart w:id="20" w:name="X520bf81af7aa3acaa950dfcdc49fe396e9561a6"/>
    <w:p>
      <w:pPr>
        <w:pStyle w:val="Heading2"/>
      </w:pPr>
      <w:r>
        <w:t xml:space="preserve">Facilities Coordinator and Building Operations Assistant</w:t>
      </w:r>
    </w:p>
    <w:p>
      <w:pPr>
        <w:pStyle w:val="FirstParagraph"/>
      </w:pPr>
      <w:r>
        <w:rPr>
          <w:bCs/>
          <w:b/>
        </w:rPr>
        <w:t xml:space="preserve">English edition — Version 2.0</w:t>
      </w:r>
      <w:r>
        <w:br/>
      </w:r>
      <w:r>
        <w:rPr>
          <w:bCs/>
          <w:b/>
        </w:rPr>
        <w:t xml:space="preserve">Controlled revision date:</w:t>
      </w:r>
      <w:r>
        <w:t xml:space="preserve"> </w:t>
      </w:r>
      <w:r>
        <w:t xml:space="preserve">August 10, 2026</w:t>
      </w:r>
      <w:r>
        <w:br/>
      </w:r>
      <w:r>
        <w:rPr>
          <w:bCs/>
          <w:b/>
        </w:rPr>
        <w:t xml:space="preserve">Created and directed by:</w:t>
      </w:r>
      <w:r>
        <w:t xml:space="preserve"> </w:t>
      </w:r>
      <w:r>
        <w:t xml:space="preserve">Alberto “Al” Leiva</w:t>
      </w:r>
    </w:p>
    <w:p>
      <w:pPr>
        <w:pStyle w:val="BlockText"/>
      </w:pPr>
      <w:r>
        <w:t xml:space="preserve">This guide is for education and career planning. It does not guarantee employment, income, admission, funding, licensing, certification, promotion, or any other outcome. Requirements vary by employer, location, building type, and time. Always verify current local requirements before paying for training or accepting duties that may require a license, certification, permit, or qualified-trade authorization.</w:t>
      </w:r>
    </w:p>
    <w:bookmarkEnd w:id="20"/>
    <w:bookmarkStart w:id="21" w:name="X5f1eb65119c18278eb6568bd02c0fd4bb313f1c"/>
    <w:p>
      <w:pPr>
        <w:pStyle w:val="Heading2"/>
      </w:pPr>
      <w:r>
        <w:t xml:space="preserve">1. What this work is</w:t>
      </w:r>
    </w:p>
    <w:p>
      <w:pPr>
        <w:pStyle w:val="FirstParagraph"/>
      </w:pPr>
      <w:r>
        <w:t xml:space="preserve">Facilities coordinators and building operations assistants help keep workplaces safe, usable, organized, and ready for the people who depend on them. Titles vary widely. An employer may use names such as facilities coordinator, facilities assistant, building operations assistant, maintenance coordinator, workplace services coordinator, site services coordinator, or property operations assistant.</w:t>
      </w:r>
    </w:p>
    <w:p>
      <w:pPr>
        <w:pStyle w:val="BodyText"/>
      </w:pPr>
      <w:r>
        <w:t xml:space="preserve">The role is often a bridge between occupants, managers, vendors, maintenance staff, security, cleaning teams, landlords, and technical trades. Typical work can include:</w:t>
      </w:r>
    </w:p>
    <w:p>
      <w:pPr>
        <w:numPr>
          <w:ilvl w:val="0"/>
          <w:numId w:val="1001"/>
        </w:numPr>
        <w:pStyle w:val="Compact"/>
      </w:pPr>
      <w:r>
        <w:t xml:space="preserve">receiving and tracking maintenance requests;</w:t>
      </w:r>
    </w:p>
    <w:p>
      <w:pPr>
        <w:numPr>
          <w:ilvl w:val="0"/>
          <w:numId w:val="1001"/>
        </w:numPr>
        <w:pStyle w:val="Compact"/>
      </w:pPr>
      <w:r>
        <w:t xml:space="preserve">inspecting common areas and reporting defects or hazards;</w:t>
      </w:r>
    </w:p>
    <w:p>
      <w:pPr>
        <w:numPr>
          <w:ilvl w:val="0"/>
          <w:numId w:val="1001"/>
        </w:numPr>
        <w:pStyle w:val="Compact"/>
      </w:pPr>
      <w:r>
        <w:t xml:space="preserve">coordinating vendor visits and access;</w:t>
      </w:r>
    </w:p>
    <w:p>
      <w:pPr>
        <w:numPr>
          <w:ilvl w:val="0"/>
          <w:numId w:val="1001"/>
        </w:numPr>
        <w:pStyle w:val="Compact"/>
      </w:pPr>
      <w:r>
        <w:t xml:space="preserve">keeping preventive-maintenance schedules and service records;</w:t>
      </w:r>
    </w:p>
    <w:p>
      <w:pPr>
        <w:numPr>
          <w:ilvl w:val="0"/>
          <w:numId w:val="1001"/>
        </w:numPr>
        <w:pStyle w:val="Compact"/>
      </w:pPr>
      <w:r>
        <w:t xml:space="preserve">monitoring supplies, tools, keys, badges, or inventories under employer procedures;</w:t>
      </w:r>
    </w:p>
    <w:p>
      <w:pPr>
        <w:numPr>
          <w:ilvl w:val="0"/>
          <w:numId w:val="1001"/>
        </w:numPr>
        <w:pStyle w:val="Compact"/>
      </w:pPr>
      <w:r>
        <w:t xml:space="preserve">helping with moves, room setups, deliveries, waste and recycling, and workplace services;</w:t>
      </w:r>
    </w:p>
    <w:p>
      <w:pPr>
        <w:numPr>
          <w:ilvl w:val="0"/>
          <w:numId w:val="1001"/>
        </w:numPr>
        <w:pStyle w:val="Compact"/>
      </w:pPr>
      <w:r>
        <w:t xml:space="preserve">updating work orders and simple facilities reports;</w:t>
      </w:r>
    </w:p>
    <w:p>
      <w:pPr>
        <w:numPr>
          <w:ilvl w:val="0"/>
          <w:numId w:val="1001"/>
        </w:numPr>
        <w:pStyle w:val="Compact"/>
      </w:pPr>
      <w:r>
        <w:t xml:space="preserve">supporting emergency-preparedness drills and escalation procedures;</w:t>
      </w:r>
    </w:p>
    <w:p>
      <w:pPr>
        <w:numPr>
          <w:ilvl w:val="0"/>
          <w:numId w:val="1001"/>
        </w:numPr>
        <w:pStyle w:val="Compact"/>
      </w:pPr>
      <w:r>
        <w:t xml:space="preserve">helping track contracts, invoices, warranties, equipment records, and service dates; and</w:t>
      </w:r>
    </w:p>
    <w:p>
      <w:pPr>
        <w:numPr>
          <w:ilvl w:val="0"/>
          <w:numId w:val="1001"/>
        </w:numPr>
        <w:pStyle w:val="Compact"/>
      </w:pPr>
      <w:r>
        <w:t xml:space="preserve">communicating clearly with building users when work affects access, comfort, safety, or operations.</w:t>
      </w:r>
    </w:p>
    <w:p>
      <w:pPr>
        <w:pStyle w:val="FirstParagraph"/>
      </w:pPr>
      <w:r>
        <w:t xml:space="preserve">A coordinator is not automatically a licensed electrician, plumber, refrigeration technician, engineer, fire-systems technician, elevator mechanic, or other regulated professional. Some employers combine coordination with basic maintenance, while others separate those duties completely. Know your scope and escalate work that requires a qualified person.</w:t>
      </w:r>
    </w:p>
    <w:bookmarkEnd w:id="21"/>
    <w:bookmarkStart w:id="22" w:name="X877fdf6dcc7ea4f37a3d21a82958ba5523f30dd"/>
    <w:p>
      <w:pPr>
        <w:pStyle w:val="Heading2"/>
      </w:pPr>
      <w:r>
        <w:t xml:space="preserve">2. Who may be a good fit</w:t>
      </w:r>
    </w:p>
    <w:p>
      <w:pPr>
        <w:pStyle w:val="FirstParagraph"/>
      </w:pPr>
      <w:r>
        <w:t xml:space="preserve">This field can suit people who like practical problem solving, visible results, and work that mixes organization with hands-on observation. Useful strengths include reliability, calm communication, attention to detail, time management, vendor coordination, basic numeracy, recordkeeping, and willingness to learn how buildings work.</w:t>
      </w:r>
    </w:p>
    <w:p>
      <w:pPr>
        <w:pStyle w:val="BodyText"/>
      </w:pPr>
      <w:r>
        <w:t xml:space="preserve">You do not need to know every building system on day one. A strong beginner learns to recognize what is normal, what is urgent, what must be documented, and when to stop and call a qualified person.</w:t>
      </w:r>
    </w:p>
    <w:p>
      <w:pPr>
        <w:pStyle w:val="BodyText"/>
      </w:pPr>
      <w:r>
        <w:t xml:space="preserve">The work may involve walking, stairs, lifting within employer limits, noise, weather, mechanical spaces, shift work, or emergency callouts. Some roles are mainly administrative; others are more physical. Ask about these conditions before accepting a position and request reasonable workplace accommodations when needed.</w:t>
      </w:r>
    </w:p>
    <w:bookmarkEnd w:id="22"/>
    <w:bookmarkStart w:id="27" w:name="Xf01360e836e6e78210d7e11bf4d8720c795e176"/>
    <w:p>
      <w:pPr>
        <w:pStyle w:val="Heading2"/>
      </w:pPr>
      <w:r>
        <w:t xml:space="preserve">3. A realistic entry pathway</w:t>
      </w:r>
    </w:p>
    <w:bookmarkStart w:id="23" w:name="step-1--learn-the-basics-for-free-first"/>
    <w:p>
      <w:pPr>
        <w:pStyle w:val="Heading3"/>
      </w:pPr>
      <w:r>
        <w:t xml:space="preserve">Step 1 — Learn the basics for free first</w:t>
      </w:r>
    </w:p>
    <w:p>
      <w:pPr>
        <w:pStyle w:val="FirstParagraph"/>
      </w:pPr>
      <w:r>
        <w:t xml:space="preserve">Start with free or employer-provided material before paying for a credential. Learn:</w:t>
      </w:r>
    </w:p>
    <w:p>
      <w:pPr>
        <w:numPr>
          <w:ilvl w:val="0"/>
          <w:numId w:val="1002"/>
        </w:numPr>
        <w:pStyle w:val="Compact"/>
      </w:pPr>
      <w:r>
        <w:t xml:space="preserve">workplace and occupational safety basics;</w:t>
      </w:r>
    </w:p>
    <w:p>
      <w:pPr>
        <w:numPr>
          <w:ilvl w:val="0"/>
          <w:numId w:val="1002"/>
        </w:numPr>
        <w:pStyle w:val="Compact"/>
      </w:pPr>
      <w:r>
        <w:t xml:space="preserve">hazard recognition and reporting;</w:t>
      </w:r>
    </w:p>
    <w:p>
      <w:pPr>
        <w:numPr>
          <w:ilvl w:val="0"/>
          <w:numId w:val="1002"/>
        </w:numPr>
        <w:pStyle w:val="Compact"/>
      </w:pPr>
      <w:r>
        <w:t xml:space="preserve">preventive-maintenance concepts;</w:t>
      </w:r>
    </w:p>
    <w:p>
      <w:pPr>
        <w:numPr>
          <w:ilvl w:val="0"/>
          <w:numId w:val="1002"/>
        </w:numPr>
        <w:pStyle w:val="Compact"/>
      </w:pPr>
      <w:r>
        <w:t xml:space="preserve">work-order and ticketing basics;</w:t>
      </w:r>
    </w:p>
    <w:p>
      <w:pPr>
        <w:numPr>
          <w:ilvl w:val="0"/>
          <w:numId w:val="1002"/>
        </w:numPr>
        <w:pStyle w:val="Compact"/>
      </w:pPr>
      <w:r>
        <w:t xml:space="preserve">customer service and professional communication;</w:t>
      </w:r>
    </w:p>
    <w:p>
      <w:pPr>
        <w:numPr>
          <w:ilvl w:val="0"/>
          <w:numId w:val="1002"/>
        </w:numPr>
        <w:pStyle w:val="Compact"/>
      </w:pPr>
      <w:r>
        <w:t xml:space="preserve">spreadsheets, email, calendars, and simple reporting;</w:t>
      </w:r>
    </w:p>
    <w:p>
      <w:pPr>
        <w:numPr>
          <w:ilvl w:val="0"/>
          <w:numId w:val="1002"/>
        </w:numPr>
        <w:pStyle w:val="Compact"/>
      </w:pPr>
      <w:r>
        <w:t xml:space="preserve">inventory and purchasing fundamentals;</w:t>
      </w:r>
    </w:p>
    <w:p>
      <w:pPr>
        <w:numPr>
          <w:ilvl w:val="0"/>
          <w:numId w:val="1002"/>
        </w:numPr>
        <w:pStyle w:val="Compact"/>
      </w:pPr>
      <w:r>
        <w:t xml:space="preserve">basic building-system vocabulary: electrical, plumbing, HVAC, fire/life safety, elevators, access control, lighting, water, waste, and building-management systems; and</w:t>
      </w:r>
    </w:p>
    <w:p>
      <w:pPr>
        <w:numPr>
          <w:ilvl w:val="0"/>
          <w:numId w:val="1002"/>
        </w:numPr>
        <w:pStyle w:val="Compact"/>
      </w:pPr>
      <w:r>
        <w:t xml:space="preserve">the difference between observing or coordinating work and performing regulated technical work.</w:t>
      </w:r>
    </w:p>
    <w:bookmarkEnd w:id="23"/>
    <w:bookmarkStart w:id="24" w:name="step-2--build-entry-level-evidence"/>
    <w:p>
      <w:pPr>
        <w:pStyle w:val="Heading3"/>
      </w:pPr>
      <w:r>
        <w:t xml:space="preserve">Step 2 — Build entry-level evidence</w:t>
      </w:r>
    </w:p>
    <w:p>
      <w:pPr>
        <w:pStyle w:val="FirstParagraph"/>
      </w:pPr>
      <w:r>
        <w:t xml:space="preserve">Create simple, non-confidential examples that demonstrate how you think. For example:</w:t>
      </w:r>
    </w:p>
    <w:p>
      <w:pPr>
        <w:numPr>
          <w:ilvl w:val="0"/>
          <w:numId w:val="1003"/>
        </w:numPr>
        <w:pStyle w:val="Compact"/>
      </w:pPr>
      <w:r>
        <w:t xml:space="preserve">a preventive-maintenance calendar for a fictional small office;</w:t>
      </w:r>
    </w:p>
    <w:p>
      <w:pPr>
        <w:numPr>
          <w:ilvl w:val="0"/>
          <w:numId w:val="1003"/>
        </w:numPr>
        <w:pStyle w:val="Compact"/>
      </w:pPr>
      <w:r>
        <w:t xml:space="preserve">a work-order triage checklist;</w:t>
      </w:r>
    </w:p>
    <w:p>
      <w:pPr>
        <w:numPr>
          <w:ilvl w:val="0"/>
          <w:numId w:val="1003"/>
        </w:numPr>
        <w:pStyle w:val="Compact"/>
      </w:pPr>
      <w:r>
        <w:t xml:space="preserve">a vendor sign-in and escalation workflow;</w:t>
      </w:r>
    </w:p>
    <w:p>
      <w:pPr>
        <w:numPr>
          <w:ilvl w:val="0"/>
          <w:numId w:val="1003"/>
        </w:numPr>
        <w:pStyle w:val="Compact"/>
      </w:pPr>
      <w:r>
        <w:t xml:space="preserve">a room-inspection checklist;</w:t>
      </w:r>
    </w:p>
    <w:p>
      <w:pPr>
        <w:numPr>
          <w:ilvl w:val="0"/>
          <w:numId w:val="1003"/>
        </w:numPr>
        <w:pStyle w:val="Compact"/>
      </w:pPr>
      <w:r>
        <w:t xml:space="preserve">an inventory spreadsheet with reorder points;</w:t>
      </w:r>
    </w:p>
    <w:p>
      <w:pPr>
        <w:numPr>
          <w:ilvl w:val="0"/>
          <w:numId w:val="1003"/>
        </w:numPr>
        <w:pStyle w:val="Compact"/>
      </w:pPr>
      <w:r>
        <w:t xml:space="preserve">a fictional maintenance dashboard; and</w:t>
      </w:r>
    </w:p>
    <w:p>
      <w:pPr>
        <w:numPr>
          <w:ilvl w:val="0"/>
          <w:numId w:val="1003"/>
        </w:numPr>
        <w:pStyle w:val="Compact"/>
      </w:pPr>
      <w:r>
        <w:t xml:space="preserve">a short emergency-contact tree that clearly says to follow the employer’s real emergency plan.</w:t>
      </w:r>
    </w:p>
    <w:p>
      <w:pPr>
        <w:pStyle w:val="FirstParagraph"/>
      </w:pPr>
      <w:r>
        <w:t xml:space="preserve">Do not publish actual floor plans, security procedures, access-control details, alarm information, employee data, customer data, or other sensitive information from a real workplace.</w:t>
      </w:r>
    </w:p>
    <w:bookmarkEnd w:id="24"/>
    <w:bookmarkStart w:id="25" w:name="step-3--get-adjacent-experience"/>
    <w:p>
      <w:pPr>
        <w:pStyle w:val="Heading3"/>
      </w:pPr>
      <w:r>
        <w:t xml:space="preserve">Step 3 — Get adjacent experience</w:t>
      </w:r>
    </w:p>
    <w:p>
      <w:pPr>
        <w:pStyle w:val="FirstParagraph"/>
      </w:pPr>
      <w:r>
        <w:t xml:space="preserve">Relevant starting points can include workplace services, front-desk operations, property support, cleaning supervision, warehouse or site coordination, hotel engineering support, school or campus operations, construction support, maintenance dispatch, security operations, vendor coordination, or general administrative roles that interact with facilities teams.</w:t>
      </w:r>
    </w:p>
    <w:p>
      <w:pPr>
        <w:pStyle w:val="BodyText"/>
      </w:pPr>
      <w:r>
        <w:t xml:space="preserve">Experience does not have to begin with the exact title “facilities coordinator.” What matters is truthful evidence that you can coordinate work, document issues, communicate with different people, follow safety rules, and close tasks reliably.</w:t>
      </w:r>
    </w:p>
    <w:bookmarkEnd w:id="25"/>
    <w:bookmarkStart w:id="26" w:name="Xf35c5ee5857aa9e19f4a4c5d165b851fa00a216"/>
    <w:p>
      <w:pPr>
        <w:pStyle w:val="Heading3"/>
      </w:pPr>
      <w:r>
        <w:t xml:space="preserve">Step 4 — Add technical training only when it serves a clear goal</w:t>
      </w:r>
    </w:p>
    <w:p>
      <w:pPr>
        <w:pStyle w:val="FirstParagraph"/>
      </w:pPr>
      <w:r>
        <w:t xml:space="preserve">Technical study can help, especially in HVAC, refrigeration, electricity, plumbing, construction, energy management, occupational safety, building automation, or computerized maintenance-management systems. Before paying, verify that the training is recognized or useful for the employers and jurisdiction you are targeting.</w:t>
      </w:r>
    </w:p>
    <w:bookmarkEnd w:id="26"/>
    <w:bookmarkEnd w:id="27"/>
    <w:bookmarkStart w:id="28" w:name="Xc7d405150a66a3ab13c2f9d444ba22d6314cc3b"/>
    <w:p>
      <w:pPr>
        <w:pStyle w:val="Heading2"/>
      </w:pPr>
      <w:r>
        <w:t xml:space="preserve">4. United States pathway</w:t>
      </w:r>
    </w:p>
    <w:p>
      <w:pPr>
        <w:pStyle w:val="FirstParagraph"/>
      </w:pPr>
      <w:r>
        <w:t xml:space="preserve">The U.S. Bureau of Labor Statistics places</w:t>
      </w:r>
      <w:r>
        <w:t xml:space="preserve"> </w:t>
      </w:r>
      <w:r>
        <w:rPr>
          <w:bCs/>
          <w:b/>
        </w:rPr>
        <w:t xml:space="preserve">facilities managers</w:t>
      </w:r>
      <w:r>
        <w:t xml:space="preserve"> </w:t>
      </w:r>
      <w:r>
        <w:t xml:space="preserve">at a more senior level than many coordinator or assistant roles. The newer May 2025 Occupational Employment and Wage Statistics table reported about</w:t>
      </w:r>
      <w:r>
        <w:t xml:space="preserve"> </w:t>
      </w:r>
      <w:r>
        <w:rPr>
          <w:bCs/>
          <w:b/>
        </w:rPr>
        <w:t xml:space="preserve">156,180 facilities managers</w:t>
      </w:r>
      <w:r>
        <w:t xml:space="preserve">, a</w:t>
      </w:r>
      <w:r>
        <w:t xml:space="preserve"> </w:t>
      </w:r>
      <w:r>
        <w:rPr>
          <w:bCs/>
          <w:b/>
        </w:rPr>
        <w:t xml:space="preserve">mean hourly wage of $56.20</w:t>
      </w:r>
      <w:r>
        <w:t xml:space="preserve">, a</w:t>
      </w:r>
      <w:r>
        <w:t xml:space="preserve"> </w:t>
      </w:r>
      <w:r>
        <w:rPr>
          <w:bCs/>
          <w:b/>
        </w:rPr>
        <w:t xml:space="preserve">mean annual wage of $116,890</w:t>
      </w:r>
      <w:r>
        <w:t xml:space="preserve">, and a</w:t>
      </w:r>
      <w:r>
        <w:t xml:space="preserve"> </w:t>
      </w:r>
      <w:r>
        <w:rPr>
          <w:bCs/>
          <w:b/>
        </w:rPr>
        <w:t xml:space="preserve">median hourly wage of $51.28</w:t>
      </w:r>
      <w:r>
        <w:t xml:space="preserve">. These are manager-level occupation statistics, not an entry-level coordinator salary. The BLS Occupational Outlook Handbook separately reports a</w:t>
      </w:r>
      <w:r>
        <w:t xml:space="preserve"> </w:t>
      </w:r>
      <w:r>
        <w:rPr>
          <w:bCs/>
          <w:b/>
        </w:rPr>
        <w:t xml:space="preserve">May 2024 median annual wage of $104,690</w:t>
      </w:r>
      <w:r>
        <w:t xml:space="preserve"> </w:t>
      </w:r>
      <w:r>
        <w:t xml:space="preserve">for facilities managers and says manager roles typically require a bachelor’s degree plus related experience.</w:t>
      </w:r>
    </w:p>
    <w:p>
      <w:pPr>
        <w:pStyle w:val="BodyText"/>
      </w:pPr>
      <w:r>
        <w:t xml:space="preserve">For coordinator-level market research, use a title-specific private estimate only as supplementary evidence.</w:t>
      </w:r>
      <w:r>
        <w:t xml:space="preserve"> </w:t>
      </w:r>
      <w:r>
        <w:rPr>
          <w:bCs/>
          <w:b/>
        </w:rPr>
        <w:t xml:space="preserve">Indeed reported an average U.S. Facility Coordinator base salary of $24.72 per hour on a page updated July 19, 2026, with a displayed low of $16.88 and high of $36.19 per hour, based on about 2.6 thousand salaries from job postings over the prior 36 months.</w:t>
      </w:r>
      <w:r>
        <w:t xml:space="preserve"> </w:t>
      </w:r>
      <w:r>
        <w:t xml:space="preserve">This is a non-government estimate, not an official statistic or promise of pay. Compare it with current local vacancies, employer benefits, work schedules, and responsibility level before making a decision.</w:t>
      </w:r>
    </w:p>
    <w:p>
      <w:pPr>
        <w:pStyle w:val="BodyText"/>
      </w:pPr>
      <w:r>
        <w:t xml:space="preserve">For training and funding, contact an</w:t>
      </w:r>
      <w:r>
        <w:t xml:space="preserve"> </w:t>
      </w:r>
      <w:r>
        <w:rPr>
          <w:bCs/>
          <w:b/>
        </w:rPr>
        <w:t xml:space="preserve">American Job Center</w:t>
      </w:r>
      <w:r>
        <w:t xml:space="preserve"> </w:t>
      </w:r>
      <w:r>
        <w:t xml:space="preserve">and ask whether you qualify for Workforce Innovation and Opportunity Act services, an Individual Training Account, supportive services, or other locally funded training. Eligibility, approved providers, and available funds vary by state and local workforce area. Verify that a specific program is eligible before enrolling or paying.</w:t>
      </w:r>
    </w:p>
    <w:p>
      <w:pPr>
        <w:pStyle w:val="BodyText"/>
      </w:pPr>
      <w:r>
        <w:t xml:space="preserve">Registered Apprenticeship can provide an earn-while-you-learn route into building-related skilled trades. Apprenticeship.gov identifies large construction and skilled-trade pathways. A trade apprenticeship can become strong preparation for later building-operations work, but a dedicated facilities-coordinator apprenticeship is not guaranteed to exist in every location, and an apprenticeship does not authorize work outside the apprentice’s occupation or applicable licensing rules.</w:t>
      </w:r>
    </w:p>
    <w:p>
      <w:pPr>
        <w:pStyle w:val="BodyText"/>
      </w:pPr>
      <w:r>
        <w:t xml:space="preserve">Other possible U.S. funding routes include employer tuition assistance, union or employer training funds, community-college grants, state workforce grants, veterans’ education benefits when eligible, and scholarships offered by schools or professional associations. Verify terms in writing before enrolling.</w:t>
      </w:r>
    </w:p>
    <w:bookmarkEnd w:id="28"/>
    <w:bookmarkStart w:id="29" w:name="X002dead66a99df35077942c9697893fb516eaf1"/>
    <w:p>
      <w:pPr>
        <w:pStyle w:val="Heading2"/>
      </w:pPr>
      <w:r>
        <w:t xml:space="preserve">5. Canada pathway</w:t>
      </w:r>
    </w:p>
    <w:p>
      <w:pPr>
        <w:pStyle w:val="FirstParagraph"/>
      </w:pPr>
      <w:r>
        <w:t xml:space="preserve">Canada’s Job Bank currently maps the search title</w:t>
      </w:r>
      <w:r>
        <w:t xml:space="preserve"> </w:t>
      </w:r>
      <w:r>
        <w:rPr>
          <w:bCs/>
          <w:b/>
        </w:rPr>
        <w:t xml:space="preserve">facilities coordinator</w:t>
      </w:r>
      <w:r>
        <w:t xml:space="preserve"> </w:t>
      </w:r>
      <w:r>
        <w:t xml:space="preserve">to</w:t>
      </w:r>
      <w:r>
        <w:t xml:space="preserve"> </w:t>
      </w:r>
      <w:r>
        <w:rPr>
          <w:bCs/>
          <w:b/>
        </w:rPr>
        <w:t xml:space="preserve">Facility operation and maintenance managers, NOC 70012</w:t>
      </w:r>
      <w:r>
        <w:t xml:space="preserve">. That mapping is management-oriented, so beginners should not assume the listed management requirements or wages match every coordinator or assistant vacancy.</w:t>
      </w:r>
    </w:p>
    <w:p>
      <w:pPr>
        <w:pStyle w:val="BodyText"/>
      </w:pPr>
      <w:r>
        <w:t xml:space="preserve">Job Bank reports national NOC 70012 wages of</w:t>
      </w:r>
      <w:r>
        <w:t xml:space="preserve"> </w:t>
      </w:r>
      <w:r>
        <w:rPr>
          <w:bCs/>
          <w:b/>
        </w:rPr>
        <w:t xml:space="preserve">C</w:t>
      </w:r>
      <m:oMath>
        <m:r>
          <m:t>25.96</m:t>
        </m:r>
        <m:r>
          <m:t>l</m:t>
        </m:r>
        <m:r>
          <m:t>o</m:t>
        </m:r>
        <m:r>
          <m:t>w</m:t>
        </m:r>
        <m:r>
          <m:rPr>
            <m:sty m:val="p"/>
          </m:rPr>
          <m:t>,</m:t>
        </m:r>
        <m:r>
          <m:t>C</m:t>
        </m:r>
      </m:oMath>
      <w:r>
        <w:rPr>
          <w:bCs/>
          <w:b/>
        </w:rPr>
        <w:t xml:space="preserve">45.20 median, and C$70.67 high per hour</w:t>
      </w:r>
      <w:r>
        <w:t xml:space="preserve">, updated November 19, 2025 from Statistics Canada reference data. Use these as official NOC-level labour-market information, not as guaranteed coordinator pay.</w:t>
      </w:r>
    </w:p>
    <w:p>
      <w:pPr>
        <w:pStyle w:val="BodyText"/>
      </w:pPr>
      <w:r>
        <w:t xml:space="preserve">For a more hands-on comparison, Job Bank’s</w:t>
      </w:r>
      <w:r>
        <w:t xml:space="preserve"> </w:t>
      </w:r>
      <w:r>
        <w:rPr>
          <w:bCs/>
          <w:b/>
        </w:rPr>
        <w:t xml:space="preserve">Building Operator - Maintenance, NOC 73201</w:t>
      </w:r>
      <w:r>
        <w:t xml:space="preserve"> </w:t>
      </w:r>
      <w:r>
        <w:t xml:space="preserve">profile reports national wages of approximately</w:t>
      </w:r>
      <w:r>
        <w:t xml:space="preserve"> </w:t>
      </w:r>
      <w:r>
        <w:rPr>
          <w:bCs/>
          <w:b/>
        </w:rPr>
        <w:t xml:space="preserve">C</w:t>
      </w:r>
      <m:oMath>
        <m:r>
          <m:t>16.55</m:t>
        </m:r>
        <m:r>
          <m:t>l</m:t>
        </m:r>
        <m:r>
          <m:t>o</m:t>
        </m:r>
        <m:r>
          <m:t>w</m:t>
        </m:r>
        <m:r>
          <m:rPr>
            <m:sty m:val="p"/>
          </m:rPr>
          <m:t>,</m:t>
        </m:r>
        <m:r>
          <m:t>C</m:t>
        </m:r>
      </m:oMath>
      <w:r>
        <w:rPr>
          <w:bCs/>
          <w:b/>
        </w:rPr>
        <w:t xml:space="preserve">25.00 median, and C$38.46 high per hour</w:t>
      </w:r>
      <w:r>
        <w:t xml:space="preserve">, also updated November 19, 2025. Facilities coordinator, building operator, maintenance worker, and facilities manager are not interchangeable titles and may map to different NOCs and responsibility levels.</w:t>
      </w:r>
    </w:p>
    <w:p>
      <w:pPr>
        <w:pStyle w:val="BodyText"/>
      </w:pPr>
      <w:r>
        <w:t xml:space="preserve">Job Bank says facility-operation managers typically need related postsecondary education or an equivalent combination of technical training and experience, and several years of supervisory experience are usually expected. Its current national profile does not identify NOC 70012 as a regulated occupation. However, specific technical tasks—such as electrical, gas, refrigeration, fire-protection, or other trade work—may be regulated by a province or territory even when the management occupation is not.</w:t>
      </w:r>
    </w:p>
    <w:p>
      <w:pPr>
        <w:pStyle w:val="BodyText"/>
      </w:pPr>
      <w:r>
        <w:t xml:space="preserve">Useful Canadian pathways can include public colleges, provincial or territorial apprenticeship systems, employer training, newcomer employment services, and provincial workforce programs. Check the requirements for the province or territory where you intend to work.</w:t>
      </w:r>
    </w:p>
    <w:bookmarkEnd w:id="29"/>
    <w:bookmarkStart w:id="32" w:name="X422d7854f61af4cd7ab160aa9297224b1369b3e"/>
    <w:p>
      <w:pPr>
        <w:pStyle w:val="Heading2"/>
      </w:pPr>
      <w:r>
        <w:t xml:space="preserve">6. Colombia pathway</w:t>
      </w:r>
    </w:p>
    <w:p>
      <w:pPr>
        <w:pStyle w:val="FirstParagraph"/>
      </w:pPr>
      <w:r>
        <w:t xml:space="preserve">Colombia has realistic entry points through</w:t>
      </w:r>
      <w:r>
        <w:t xml:space="preserve"> </w:t>
      </w:r>
      <w:r>
        <w:rPr>
          <w:bCs/>
          <w:b/>
        </w:rPr>
        <w:t xml:space="preserve">mantenimiento locativo</w:t>
      </w:r>
      <w:r>
        <w:t xml:space="preserve">,</w:t>
      </w:r>
      <w:r>
        <w:t xml:space="preserve"> </w:t>
      </w:r>
      <w:r>
        <w:rPr>
          <w:bCs/>
          <w:b/>
        </w:rPr>
        <w:t xml:space="preserve">mantenimiento general de edificios</w:t>
      </w:r>
      <w:r>
        <w:t xml:space="preserve">,</w:t>
      </w:r>
      <w:r>
        <w:t xml:space="preserve"> </w:t>
      </w:r>
      <w:r>
        <w:rPr>
          <w:bCs/>
          <w:b/>
        </w:rPr>
        <w:t xml:space="preserve">infraestructura</w:t>
      </w:r>
      <w:r>
        <w:t xml:space="preserve">, workplace services, property operations, and related support roles.</w:t>
      </w:r>
    </w:p>
    <w:p>
      <w:pPr>
        <w:pStyle w:val="BodyText"/>
      </w:pPr>
      <w:r>
        <w:t xml:space="preserve">Current and recent postings through SENA’s Agencia Pública de Empleo and Colombia’s public employment network show demand for building-maintenance support involving preventive and corrective maintenance, infrastructure upkeep, work orders, safe tool use, and escalation. Vacancy examples are labour-market evidence only; they are not a universal legal scope of practice or authorization to perform regulated electrical, plumbing, work-at-height, welding, gas, fire-protection, or other technical work without the required training or authority.</w:t>
      </w:r>
    </w:p>
    <w:bookmarkStart w:id="30" w:name="sena-and-free-first-training"/>
    <w:p>
      <w:pPr>
        <w:pStyle w:val="Heading3"/>
      </w:pPr>
      <w:r>
        <w:t xml:space="preserve">SENA and free-first training</w:t>
      </w:r>
    </w:p>
    <w:p>
      <w:pPr>
        <w:pStyle w:val="FirstParagraph"/>
      </w:pPr>
      <w:r>
        <w:t xml:space="preserve">SENA should be one of the first places to check before paying a private school. Use the current</w:t>
      </w:r>
      <w:r>
        <w:t xml:space="preserve"> </w:t>
      </w:r>
      <w:r>
        <w:rPr>
          <w:bCs/>
          <w:b/>
        </w:rPr>
        <w:t xml:space="preserve">Betowa</w:t>
      </w:r>
      <w:r>
        <w:t xml:space="preserve"> </w:t>
      </w:r>
      <w:r>
        <w:t xml:space="preserve">catalogue to search for training related to maintenance, construction, occupational safety, energy, electrical basics, HVAC or refrigeration, inventory, customer service, digital records, or related areas. Course names, availability, modality, schedules, prerequisites, and seats change, so verify the live catalogue rather than relying on an old course name.</w:t>
      </w:r>
    </w:p>
    <w:p>
      <w:pPr>
        <w:pStyle w:val="BodyText"/>
      </w:pPr>
      <w:r>
        <w:t xml:space="preserve">Eligible learners should also check current SENA</w:t>
      </w:r>
      <w:r>
        <w:t xml:space="preserve"> </w:t>
      </w:r>
      <w:r>
        <w:rPr>
          <w:bCs/>
          <w:b/>
        </w:rPr>
        <w:t xml:space="preserve">apoyos de sostenimiento</w:t>
      </w:r>
      <w:r>
        <w:t xml:space="preserve"> </w:t>
      </w:r>
      <w:r>
        <w:t xml:space="preserve">and construction-sector support rules. SENA Circular 282 de 2024 includes programs such as Construcción en Edificaciones and Construcción de Infraestructura Vial in the catalog associated with construction-industry learner support. Eligibility and availability depend on current rules, program, cohort, and funding.</w:t>
      </w:r>
    </w:p>
    <w:p>
      <w:pPr>
        <w:pStyle w:val="BodyText"/>
      </w:pPr>
      <w:r>
        <w:t xml:space="preserve">Also use the Servicio Público de Empleo, SENA Agencia Pública de Empleo, and local cajas de compensación for employment services and training referrals when eligible.</w:t>
      </w:r>
    </w:p>
    <w:bookmarkEnd w:id="30"/>
    <w:bookmarkStart w:id="31" w:name="X81b0f5c6620bea85ab6747ecc6c31e234e57638"/>
    <w:p>
      <w:pPr>
        <w:pStyle w:val="Heading3"/>
      </w:pPr>
      <w:r>
        <w:t xml:space="preserve">Safety and regulated-work boundary in Colombia</w:t>
      </w:r>
    </w:p>
    <w:p>
      <w:pPr>
        <w:pStyle w:val="FirstParagraph"/>
      </w:pPr>
      <w:r>
        <w:t xml:space="preserve">Do not assume that an employer’s use of a broad title such as “auxiliar de mantenimiento” authorizes every technical task. Electrical work, work at height, confined spaces, gas, refrigeration, fire systems, and other hazardous or regulated activities may require specific training, authorization, certification, supervision, or licensed personnel. Follow the employer’s safety-management system and Colombian requirements applicable to the task.</w:t>
      </w:r>
    </w:p>
    <w:bookmarkEnd w:id="31"/>
    <w:bookmarkEnd w:id="32"/>
    <w:bookmarkStart w:id="33" w:name="Xa1a0149f9b91acb64f6469c30fdd94cd05e3a4e"/>
    <w:p>
      <w:pPr>
        <w:pStyle w:val="Heading2"/>
      </w:pPr>
      <w:r>
        <w:t xml:space="preserve">7. Latin America pathway</w:t>
      </w:r>
    </w:p>
    <w:p>
      <w:pPr>
        <w:pStyle w:val="FirstParagraph"/>
      </w:pPr>
      <w:r>
        <w:t xml:space="preserve">Across Latin America, similar work may appear under titles such as coordinador de facilities, coordinador de mantenimiento, asistente de operaciones, servicios generales, mantenimiento locativo, infraestructura, operaciones de inmuebles, or facility management.</w:t>
      </w:r>
    </w:p>
    <w:p>
      <w:pPr>
        <w:pStyle w:val="BodyText"/>
      </w:pPr>
      <w:r>
        <w:t xml:space="preserve">There is no single regional license, wage scale, or credential. Before relying on training from another country, verify:</w:t>
      </w:r>
    </w:p>
    <w:p>
      <w:pPr>
        <w:numPr>
          <w:ilvl w:val="0"/>
          <w:numId w:val="1004"/>
        </w:numPr>
        <w:pStyle w:val="Compact"/>
      </w:pPr>
      <w:r>
        <w:t xml:space="preserve">whether the employer recognizes it;</w:t>
      </w:r>
    </w:p>
    <w:p>
      <w:pPr>
        <w:numPr>
          <w:ilvl w:val="0"/>
          <w:numId w:val="1004"/>
        </w:numPr>
        <w:pStyle w:val="Compact"/>
      </w:pPr>
      <w:r>
        <w:t xml:space="preserve">whether the occupation or technical task is regulated locally;</w:t>
      </w:r>
    </w:p>
    <w:p>
      <w:pPr>
        <w:numPr>
          <w:ilvl w:val="0"/>
          <w:numId w:val="1004"/>
        </w:numPr>
        <w:pStyle w:val="Compact"/>
      </w:pPr>
      <w:r>
        <w:t xml:space="preserve">whether a local safety credential is required;</w:t>
      </w:r>
    </w:p>
    <w:p>
      <w:pPr>
        <w:numPr>
          <w:ilvl w:val="0"/>
          <w:numId w:val="1004"/>
        </w:numPr>
        <w:pStyle w:val="Compact"/>
      </w:pPr>
      <w:r>
        <w:t xml:space="preserve">whether your prior education needs recognition or validation; and</w:t>
      </w:r>
    </w:p>
    <w:p>
      <w:pPr>
        <w:numPr>
          <w:ilvl w:val="0"/>
          <w:numId w:val="1004"/>
        </w:numPr>
        <w:pStyle w:val="Compact"/>
      </w:pPr>
      <w:r>
        <w:t xml:space="preserve">what current local employers actually pay for comparable scope.</w:t>
      </w:r>
    </w:p>
    <w:p>
      <w:pPr>
        <w:pStyle w:val="FirstParagraph"/>
      </w:pPr>
      <w:r>
        <w:t xml:space="preserve">Public vocational systems, ministries of labour, public employment services, employer academies, unions, technical institutes, and development programs can provide lower-cost pathways. Start with official public systems in your country before paying for a commercial certificate.</w:t>
      </w:r>
    </w:p>
    <w:bookmarkEnd w:id="33"/>
    <w:bookmarkStart w:id="34" w:name="X46da59d91c921f139ed7154be4cec2e1cdb4c81"/>
    <w:p>
      <w:pPr>
        <w:pStyle w:val="Heading2"/>
      </w:pPr>
      <w:r>
        <w:t xml:space="preserve">8. Funding, scholarships, and employer support</w:t>
      </w:r>
    </w:p>
    <w:p>
      <w:pPr>
        <w:pStyle w:val="FirstParagraph"/>
      </w:pPr>
      <w:r>
        <w:t xml:space="preserve">A good funding sequence is:</w:t>
      </w:r>
    </w:p>
    <w:p>
      <w:pPr>
        <w:numPr>
          <w:ilvl w:val="0"/>
          <w:numId w:val="1005"/>
        </w:numPr>
        <w:pStyle w:val="Compact"/>
      </w:pPr>
      <w:r>
        <w:rPr>
          <w:bCs/>
          <w:b/>
        </w:rPr>
        <w:t xml:space="preserve">Free public training first.</w:t>
      </w:r>
      <w:r>
        <w:t xml:space="preserve"> </w:t>
      </w:r>
      <w:r>
        <w:t xml:space="preserve">Check public vocational and workforce systems.</w:t>
      </w:r>
    </w:p>
    <w:p>
      <w:pPr>
        <w:numPr>
          <w:ilvl w:val="0"/>
          <w:numId w:val="1005"/>
        </w:numPr>
        <w:pStyle w:val="Compact"/>
      </w:pPr>
      <w:r>
        <w:rPr>
          <w:bCs/>
          <w:b/>
        </w:rPr>
        <w:t xml:space="preserve">Employer-paid learning.</w:t>
      </w:r>
      <w:r>
        <w:t xml:space="preserve"> </w:t>
      </w:r>
      <w:r>
        <w:t xml:space="preserve">Ask about onboarding, vendor training, tuition assistance, exam reimbursement, and paid study time.</w:t>
      </w:r>
    </w:p>
    <w:p>
      <w:pPr>
        <w:numPr>
          <w:ilvl w:val="0"/>
          <w:numId w:val="1005"/>
        </w:numPr>
        <w:pStyle w:val="Compact"/>
      </w:pPr>
      <w:r>
        <w:rPr>
          <w:bCs/>
          <w:b/>
        </w:rPr>
        <w:t xml:space="preserve">Earn-while-you-learn options.</w:t>
      </w:r>
      <w:r>
        <w:t xml:space="preserve"> </w:t>
      </w:r>
      <w:r>
        <w:t xml:space="preserve">Investigate registered apprenticeships, trade apprenticeships, trainee roles, and paid internships where available.</w:t>
      </w:r>
    </w:p>
    <w:p>
      <w:pPr>
        <w:numPr>
          <w:ilvl w:val="0"/>
          <w:numId w:val="1005"/>
        </w:numPr>
        <w:pStyle w:val="Compact"/>
      </w:pPr>
      <w:r>
        <w:rPr>
          <w:bCs/>
          <w:b/>
        </w:rPr>
        <w:t xml:space="preserve">Scholarships and grants.</w:t>
      </w:r>
      <w:r>
        <w:t xml:space="preserve"> </w:t>
      </w:r>
      <w:r>
        <w:t xml:space="preserve">Search public institutions, colleges, associations, foundations, and employer partners.</w:t>
      </w:r>
    </w:p>
    <w:p>
      <w:pPr>
        <w:numPr>
          <w:ilvl w:val="0"/>
          <w:numId w:val="1005"/>
        </w:numPr>
        <w:pStyle w:val="Compact"/>
      </w:pPr>
      <w:r>
        <w:rPr>
          <w:bCs/>
          <w:b/>
        </w:rPr>
        <w:t xml:space="preserve">Low-cost self-study.</w:t>
      </w:r>
      <w:r>
        <w:t xml:space="preserve"> </w:t>
      </w:r>
      <w:r>
        <w:t xml:space="preserve">Use libraries, open courses, equipment manuals, and public safety resources to prepare before paying for a credential.</w:t>
      </w:r>
    </w:p>
    <w:p>
      <w:pPr>
        <w:pStyle w:val="FirstParagraph"/>
      </w:pPr>
      <w:r>
        <w:t xml:space="preserve">Before accepting tuition reimbursement, read the repayment agreement. Some employers require repayment if you leave within a stated period. Get the amount, eligibility, grade or completion requirement, repayment period, and covered fees in writing.</w:t>
      </w:r>
    </w:p>
    <w:p>
      <w:pPr>
        <w:pStyle w:val="BodyText"/>
      </w:pPr>
      <w:r>
        <w:t xml:space="preserve">Avoid programs that guarantee a job, guaranteed salary, guaranteed certification, or “instant” authorization to perform regulated work. Do not borrow money solely because a training provider claims employers are waiting to hire graduates.</w:t>
      </w:r>
    </w:p>
    <w:bookmarkEnd w:id="34"/>
    <w:bookmarkStart w:id="35" w:name="X70738481427f85e156d93c20a5dab999de64ece"/>
    <w:p>
      <w:pPr>
        <w:pStyle w:val="Heading2"/>
      </w:pPr>
      <w:r>
        <w:t xml:space="preserve">9. Accessibility and inclusive practice</w:t>
      </w:r>
    </w:p>
    <w:p>
      <w:pPr>
        <w:pStyle w:val="FirstParagraph"/>
      </w:pPr>
      <w:r>
        <w:t xml:space="preserve">Facilities work directly affects accessibility. Learn to notice barriers such as blocked accessible routes, broken door operators, poorly placed furniture, inaccessible service counters, temporary obstructions, inadequate signage, or maintenance practices that remove an accessibility feature from service.</w:t>
      </w:r>
    </w:p>
    <w:p>
      <w:pPr>
        <w:pStyle w:val="BodyText"/>
      </w:pPr>
      <w:r>
        <w:t xml:space="preserve">In the United States, the U.S. Access Board publishes ADA accessibility standards and guidance. In other countries, consult the applicable national and local accessibility rules. A coordinator should report and escalate potential barriers but should not present personal interpretation as a legal or design certification.</w:t>
      </w:r>
    </w:p>
    <w:p>
      <w:pPr>
        <w:pStyle w:val="BodyText"/>
      </w:pPr>
      <w:r>
        <w:t xml:space="preserve">For your own work needs, ask employers or training providers about reasonable accommodations, accessible learning materials, ergonomic tools, modified communication methods, scheduling adjustments, or other supports appropriate to your situation.</w:t>
      </w:r>
    </w:p>
    <w:bookmarkEnd w:id="35"/>
    <w:bookmarkStart w:id="36" w:name="X4af2146609ebf2e9bac05eae2109335a9f811bd"/>
    <w:p>
      <w:pPr>
        <w:pStyle w:val="Heading2"/>
      </w:pPr>
      <w:r>
        <w:t xml:space="preserve">10. Privacy, cybersecurity, and building systems</w:t>
      </w:r>
    </w:p>
    <w:p>
      <w:pPr>
        <w:pStyle w:val="FirstParagraph"/>
      </w:pPr>
      <w:r>
        <w:t xml:space="preserve">Modern facilities teams may touch badge systems, visitor logs, CCTV, alarms, Wi-Fi-connected equipment, smart locks, building-management systems, maintenance platforms, floor plans, vendor portals, utility data, and equipment telemetry.</w:t>
      </w:r>
    </w:p>
    <w:p>
      <w:pPr>
        <w:pStyle w:val="BodyText"/>
      </w:pPr>
      <w:r>
        <w:t xml:space="preserve">Treat this information as operationally sensitive. Follow employer policy and use only authorized systems and accounts. Use least-privilege access, protect keys and credentials, verify vendor identity, report suspicious requests, and do not send building-security details through personal messaging or public file-sharing tools.</w:t>
      </w:r>
    </w:p>
    <w:p>
      <w:pPr>
        <w:pStyle w:val="BodyText"/>
      </w:pPr>
      <w:r>
        <w:t xml:space="preserve">Never publish real access-control configurations, alarm zones, camera blind spots, master-key details, emergency-control credentials, network diagrams, or sensitive floor plans as portfolio examples.</w:t>
      </w:r>
    </w:p>
    <w:bookmarkEnd w:id="36"/>
    <w:bookmarkStart w:id="37" w:name="X10c75e4d2a81a5378851f97ed0c547bd84c8337"/>
    <w:p>
      <w:pPr>
        <w:pStyle w:val="Heading2"/>
      </w:pPr>
      <w:r>
        <w:t xml:space="preserve">11. Responsible AI use</w:t>
      </w:r>
    </w:p>
    <w:p>
      <w:pPr>
        <w:pStyle w:val="FirstParagraph"/>
      </w:pPr>
      <w:r>
        <w:t xml:space="preserve">AI can help when employer policy permits. Lower-risk uses include:</w:t>
      </w:r>
    </w:p>
    <w:p>
      <w:pPr>
        <w:numPr>
          <w:ilvl w:val="0"/>
          <w:numId w:val="1006"/>
        </w:numPr>
        <w:pStyle w:val="Compact"/>
      </w:pPr>
      <w:r>
        <w:t xml:space="preserve">drafting a generic checklist;</w:t>
      </w:r>
    </w:p>
    <w:p>
      <w:pPr>
        <w:numPr>
          <w:ilvl w:val="0"/>
          <w:numId w:val="1006"/>
        </w:numPr>
        <w:pStyle w:val="Compact"/>
      </w:pPr>
      <w:r>
        <w:t xml:space="preserve">turning non-sensitive notes into a clearer summary;</w:t>
      </w:r>
    </w:p>
    <w:p>
      <w:pPr>
        <w:numPr>
          <w:ilvl w:val="0"/>
          <w:numId w:val="1006"/>
        </w:numPr>
        <w:pStyle w:val="Compact"/>
      </w:pPr>
      <w:r>
        <w:t xml:space="preserve">practicing interview questions;</w:t>
      </w:r>
    </w:p>
    <w:p>
      <w:pPr>
        <w:numPr>
          <w:ilvl w:val="0"/>
          <w:numId w:val="1006"/>
        </w:numPr>
        <w:pStyle w:val="Compact"/>
      </w:pPr>
      <w:r>
        <w:t xml:space="preserve">generating spreadsheet formula ideas;</w:t>
      </w:r>
    </w:p>
    <w:p>
      <w:pPr>
        <w:numPr>
          <w:ilvl w:val="0"/>
          <w:numId w:val="1006"/>
        </w:numPr>
        <w:pStyle w:val="Compact"/>
      </w:pPr>
      <w:r>
        <w:t xml:space="preserve">translating a non-confidential training note for review; and</w:t>
      </w:r>
    </w:p>
    <w:p>
      <w:pPr>
        <w:numPr>
          <w:ilvl w:val="0"/>
          <w:numId w:val="1006"/>
        </w:numPr>
        <w:pStyle w:val="Compact"/>
      </w:pPr>
      <w:r>
        <w:t xml:space="preserve">brainstorming preventive-maintenance questions to ask a qualified technician.</w:t>
      </w:r>
    </w:p>
    <w:p>
      <w:pPr>
        <w:pStyle w:val="FirstParagraph"/>
      </w:pPr>
      <w:r>
        <w:t xml:space="preserve">Do</w:t>
      </w:r>
      <w:r>
        <w:t xml:space="preserve"> </w:t>
      </w:r>
      <w:r>
        <w:rPr>
          <w:bCs/>
          <w:b/>
        </w:rPr>
        <w:t xml:space="preserve">not</w:t>
      </w:r>
      <w:r>
        <w:t xml:space="preserve"> </w:t>
      </w:r>
      <w:r>
        <w:t xml:space="preserve">rely on AI as the authority for electrical safety, lockout/tagout, chemical handling, work at height, confined spaces, fire/life safety, emergency response, building-code interpretation, engineering decisions, accessibility compliance, hazardous-material decisions, contractor licensing, or other high-risk technical work. Follow approved procedures and qualified people.</w:t>
      </w:r>
    </w:p>
    <w:p>
      <w:pPr>
        <w:pStyle w:val="BodyText"/>
      </w:pPr>
      <w:r>
        <w:t xml:space="preserve">Do not put employee, visitor, tenant, customer, badge, CCTV, security, floor-plan, network, alarm, medical, incident, or other sensitive information into a public AI service unless your employer has explicitly authorized that use and the required privacy, confidentiality, cybersecurity, retention, and contractual safeguards are in place.</w:t>
      </w:r>
    </w:p>
    <w:bookmarkEnd w:id="37"/>
    <w:bookmarkStart w:id="38" w:name="Xd1fc284e3244e76dfc1602ee7d8d5e16cba9353"/>
    <w:p>
      <w:pPr>
        <w:pStyle w:val="Heading2"/>
      </w:pPr>
      <w:r>
        <w:t xml:space="preserve">12. A 12-week starter plan</w:t>
      </w:r>
    </w:p>
    <w:p>
      <w:pPr>
        <w:pStyle w:val="FirstParagraph"/>
      </w:pPr>
      <w:r>
        <w:rPr>
          <w:bCs/>
          <w:b/>
        </w:rPr>
        <w:t xml:space="preserve">Weeks 1–2:</w:t>
      </w:r>
      <w:r>
        <w:t xml:space="preserve"> </w:t>
      </w:r>
      <w:r>
        <w:t xml:space="preserve">Read 15–20 current local job descriptions. Record common duties, software, schedule requirements, physical requirements, and credentials. Separate coordination duties from regulated-trade duties.</w:t>
      </w:r>
    </w:p>
    <w:p>
      <w:pPr>
        <w:pStyle w:val="BodyText"/>
      </w:pPr>
      <w:r>
        <w:rPr>
          <w:bCs/>
          <w:b/>
        </w:rPr>
        <w:t xml:space="preserve">Weeks 3–4:</w:t>
      </w:r>
      <w:r>
        <w:t xml:space="preserve"> </w:t>
      </w:r>
      <w:r>
        <w:t xml:space="preserve">Learn work-order tracking, spreadsheet basics, preventive maintenance, workplace safety, and customer-service fundamentals using free resources.</w:t>
      </w:r>
    </w:p>
    <w:p>
      <w:pPr>
        <w:pStyle w:val="BodyText"/>
      </w:pPr>
      <w:r>
        <w:rPr>
          <w:bCs/>
          <w:b/>
        </w:rPr>
        <w:t xml:space="preserve">Weeks 5–6:</w:t>
      </w:r>
      <w:r>
        <w:t xml:space="preserve"> </w:t>
      </w:r>
      <w:r>
        <w:t xml:space="preserve">Build two fictional portfolio samples: a maintenance calendar and a work-order triage sheet. Remove all real employer or building data.</w:t>
      </w:r>
    </w:p>
    <w:p>
      <w:pPr>
        <w:pStyle w:val="BodyText"/>
      </w:pPr>
      <w:r>
        <w:rPr>
          <w:bCs/>
          <w:b/>
        </w:rPr>
        <w:t xml:space="preserve">Weeks 7–8:</w:t>
      </w:r>
      <w:r>
        <w:t xml:space="preserve"> </w:t>
      </w:r>
      <w:r>
        <w:t xml:space="preserve">Choose one technical knowledge area—HVAC vocabulary, basic electrical concepts, plumbing, building automation, energy, or construction—and complete a free introductory course or public training module.</w:t>
      </w:r>
    </w:p>
    <w:p>
      <w:pPr>
        <w:pStyle w:val="BodyText"/>
      </w:pPr>
      <w:r>
        <w:rPr>
          <w:bCs/>
          <w:b/>
        </w:rPr>
        <w:t xml:space="preserve">Weeks 9–10:</w:t>
      </w:r>
      <w:r>
        <w:t xml:space="preserve"> </w:t>
      </w:r>
      <w:r>
        <w:t xml:space="preserve">Check funding, scholarships, employer support, apprenticeships, tax implications, reimbursement agreements, accessibility accommodations, and consequences of leaving a program or employer before paying for training.</w:t>
      </w:r>
    </w:p>
    <w:p>
      <w:pPr>
        <w:pStyle w:val="BodyText"/>
      </w:pPr>
      <w:r>
        <w:rPr>
          <w:bCs/>
          <w:b/>
        </w:rPr>
        <w:t xml:space="preserve">Weeks 11–12:</w:t>
      </w:r>
      <w:r>
        <w:t xml:space="preserve"> </w:t>
      </w:r>
      <w:r>
        <w:t xml:space="preserve">Apply for realistic entry roles. Tailor your résumé to truthful evidence: coordination, documentation, safety awareness, customer service, vendor contact, inventory, scheduling, or related hands-on work. Verify every credential or license claim before adding it.</w:t>
      </w:r>
    </w:p>
    <w:bookmarkEnd w:id="38"/>
    <w:bookmarkStart w:id="39" w:name="Xd9067a816f32c159039f1755be1661781fa9b24"/>
    <w:p>
      <w:pPr>
        <w:pStyle w:val="Heading2"/>
      </w:pPr>
      <w:r>
        <w:t xml:space="preserve">13. Advancement options</w:t>
      </w:r>
    </w:p>
    <w:p>
      <w:pPr>
        <w:pStyle w:val="FirstParagraph"/>
      </w:pPr>
      <w:r>
        <w:t xml:space="preserve">With experience and appropriate training, possible progression can include facilities coordinator, senior coordinator, maintenance planner, workplace services lead, building operations supervisor, facilities manager, property operations manager, energy coordinator, building-automation support, project coordinator, vendor manager, safety coordinator, or a licensed or skilled trade.</w:t>
      </w:r>
    </w:p>
    <w:p>
      <w:pPr>
        <w:pStyle w:val="BodyText"/>
      </w:pPr>
      <w:r>
        <w:t xml:space="preserve">Advancement is not automatic. Management roles usually require broader responsibility for budgets, contracts, people, compliance, capital projects, and risk. Technical trades may require formal apprenticeship, examination, licensing, or other jurisdiction-specific authorization.</w:t>
      </w:r>
    </w:p>
    <w:bookmarkEnd w:id="39"/>
    <w:bookmarkStart w:id="40" w:name="Xe794473e8e136fdb7a83dbbe72f444caad2cef8"/>
    <w:p>
      <w:pPr>
        <w:pStyle w:val="Heading2"/>
      </w:pPr>
      <w:r>
        <w:t xml:space="preserve">14. When to pause before proceeding</w:t>
      </w:r>
    </w:p>
    <w:p>
      <w:pPr>
        <w:pStyle w:val="FirstParagraph"/>
      </w:pPr>
      <w:r>
        <w:t xml:space="preserve">Consider delaying a training purchase or job change when:</w:t>
      </w:r>
    </w:p>
    <w:p>
      <w:pPr>
        <w:numPr>
          <w:ilvl w:val="0"/>
          <w:numId w:val="1007"/>
        </w:numPr>
        <w:pStyle w:val="Compact"/>
      </w:pPr>
      <w:r>
        <w:t xml:space="preserve">the employer expects regulated technical work but cannot explain the required qualification or supervision;</w:t>
      </w:r>
    </w:p>
    <w:p>
      <w:pPr>
        <w:numPr>
          <w:ilvl w:val="0"/>
          <w:numId w:val="1007"/>
        </w:numPr>
        <w:pStyle w:val="Compact"/>
      </w:pPr>
      <w:r>
        <w:t xml:space="preserve">the school will not provide total cost, refund rules, or credential recognition in writing;</w:t>
      </w:r>
    </w:p>
    <w:p>
      <w:pPr>
        <w:numPr>
          <w:ilvl w:val="0"/>
          <w:numId w:val="1007"/>
        </w:numPr>
        <w:pStyle w:val="Compact"/>
      </w:pPr>
      <w:r>
        <w:t xml:space="preserve">a program promises a guaranteed job or salary;</w:t>
      </w:r>
    </w:p>
    <w:p>
      <w:pPr>
        <w:numPr>
          <w:ilvl w:val="0"/>
          <w:numId w:val="1007"/>
        </w:numPr>
        <w:pStyle w:val="Compact"/>
      </w:pPr>
      <w:r>
        <w:t xml:space="preserve">tuition reimbursement includes repayment terms you cannot accept;</w:t>
      </w:r>
    </w:p>
    <w:p>
      <w:pPr>
        <w:numPr>
          <w:ilvl w:val="0"/>
          <w:numId w:val="1007"/>
        </w:numPr>
        <w:pStyle w:val="Compact"/>
      </w:pPr>
      <w:r>
        <w:t xml:space="preserve">the role’s physical or schedule requirements are unclear and accommodations have not been discussed;</w:t>
      </w:r>
    </w:p>
    <w:p>
      <w:pPr>
        <w:numPr>
          <w:ilvl w:val="0"/>
          <w:numId w:val="1007"/>
        </w:numPr>
        <w:pStyle w:val="Compact"/>
      </w:pPr>
      <w:r>
        <w:t xml:space="preserve">you would need to disclose sensitive building information to complete a course or portfolio; or</w:t>
      </w:r>
    </w:p>
    <w:p>
      <w:pPr>
        <w:numPr>
          <w:ilvl w:val="0"/>
          <w:numId w:val="1007"/>
        </w:numPr>
        <w:pStyle w:val="Compact"/>
      </w:pPr>
      <w:r>
        <w:t xml:space="preserve">local licensing, apprenticeship, immigration or work-authorization, or safety requirements have not been verified.</w:t>
      </w:r>
    </w:p>
    <w:bookmarkEnd w:id="40"/>
    <w:bookmarkStart w:id="57" w:name="Xe466455b6a943c3c9d1725afacf193582471cc5"/>
    <w:p>
      <w:pPr>
        <w:pStyle w:val="Heading2"/>
      </w:pPr>
      <w:r>
        <w:t xml:space="preserve">15. Source notes</w:t>
      </w:r>
    </w:p>
    <w:p>
      <w:pPr>
        <w:pStyle w:val="FirstParagraph"/>
      </w:pPr>
      <w:r>
        <w:t xml:space="preserve">Research for this controlled revision was refreshed August 10, 2026. Core sources:</w:t>
      </w:r>
    </w:p>
    <w:p>
      <w:pPr>
        <w:numPr>
          <w:ilvl w:val="0"/>
          <w:numId w:val="1008"/>
        </w:numPr>
        <w:pStyle w:val="Compact"/>
      </w:pPr>
      <w:r>
        <w:t xml:space="preserve">U.S. Bureau of Labor Statistics, May 2025 Occupational Employment and Wage Statistics:</w:t>
      </w:r>
      <w:r>
        <w:t xml:space="preserve"> </w:t>
      </w:r>
      <w:hyperlink r:id="rId41">
        <w:r>
          <w:rPr>
            <w:rStyle w:val="Hyperlink"/>
          </w:rPr>
          <w:t xml:space="preserve">https://www.bls.gov/news.release/ocwage.t01.htm</w:t>
        </w:r>
      </w:hyperlink>
    </w:p>
    <w:p>
      <w:pPr>
        <w:numPr>
          <w:ilvl w:val="0"/>
          <w:numId w:val="1008"/>
        </w:numPr>
        <w:pStyle w:val="Compact"/>
      </w:pPr>
      <w:r>
        <w:t xml:space="preserve">U.S. Bureau of Labor Statistics, Administrative Services and Facilities Managers:</w:t>
      </w:r>
      <w:r>
        <w:t xml:space="preserve"> </w:t>
      </w:r>
      <w:hyperlink r:id="rId42">
        <w:r>
          <w:rPr>
            <w:rStyle w:val="Hyperlink"/>
          </w:rPr>
          <w:t xml:space="preserve">https://www.bls.gov/ooh/management/administrative-services-managers.htm</w:t>
        </w:r>
      </w:hyperlink>
    </w:p>
    <w:p>
      <w:pPr>
        <w:numPr>
          <w:ilvl w:val="0"/>
          <w:numId w:val="1008"/>
        </w:numPr>
        <w:pStyle w:val="Compact"/>
      </w:pPr>
      <w:r>
        <w:t xml:space="preserve">O*NET OnLine, Facilities Managers 11-3013.00:</w:t>
      </w:r>
      <w:r>
        <w:t xml:space="preserve"> </w:t>
      </w:r>
      <w:hyperlink r:id="rId43">
        <w:r>
          <w:rPr>
            <w:rStyle w:val="Hyperlink"/>
          </w:rPr>
          <w:t xml:space="preserve">https://www.onetonline.org/link/summary/11-3013.00</w:t>
        </w:r>
      </w:hyperlink>
    </w:p>
    <w:p>
      <w:pPr>
        <w:numPr>
          <w:ilvl w:val="0"/>
          <w:numId w:val="1008"/>
        </w:numPr>
        <w:pStyle w:val="Compact"/>
      </w:pPr>
      <w:r>
        <w:t xml:space="preserve">Indeed, Facility Coordinator salaries, page updated July 19, 2026:</w:t>
      </w:r>
      <w:r>
        <w:t xml:space="preserve"> </w:t>
      </w:r>
      <w:hyperlink r:id="rId44">
        <w:r>
          <w:rPr>
            <w:rStyle w:val="Hyperlink"/>
          </w:rPr>
          <w:t xml:space="preserve">https://www.indeed.com/career/facility-coordinator/salaries</w:t>
        </w:r>
      </w:hyperlink>
    </w:p>
    <w:p>
      <w:pPr>
        <w:numPr>
          <w:ilvl w:val="0"/>
          <w:numId w:val="1008"/>
        </w:numPr>
        <w:pStyle w:val="Compact"/>
      </w:pPr>
      <w:r>
        <w:t xml:space="preserve">Apprenticeship.gov, Construction:</w:t>
      </w:r>
      <w:r>
        <w:t xml:space="preserve"> </w:t>
      </w:r>
      <w:hyperlink r:id="rId45">
        <w:r>
          <w:rPr>
            <w:rStyle w:val="Hyperlink"/>
          </w:rPr>
          <w:t xml:space="preserve">https://www.apprenticeship.gov/apprenticeship-industries/construction</w:t>
        </w:r>
      </w:hyperlink>
    </w:p>
    <w:p>
      <w:pPr>
        <w:numPr>
          <w:ilvl w:val="0"/>
          <w:numId w:val="1008"/>
        </w:numPr>
        <w:pStyle w:val="Compact"/>
      </w:pPr>
      <w:r>
        <w:t xml:space="preserve">CareerOneStop, WIOA training and American Job Centers:</w:t>
      </w:r>
      <w:r>
        <w:t xml:space="preserve"> </w:t>
      </w:r>
      <w:hyperlink r:id="rId46">
        <w:r>
          <w:rPr>
            <w:rStyle w:val="Hyperlink"/>
          </w:rPr>
          <w:t xml:space="preserve">https://www.careeronestop.org/LocalHelp/EmploymentAndTraining/find-WIOA-training-programs.aspx</w:t>
        </w:r>
      </w:hyperlink>
    </w:p>
    <w:p>
      <w:pPr>
        <w:numPr>
          <w:ilvl w:val="0"/>
          <w:numId w:val="1008"/>
        </w:numPr>
        <w:pStyle w:val="Compact"/>
      </w:pPr>
      <w:r>
        <w:t xml:space="preserve">U.S. Access Board, ADA standards and guidance:</w:t>
      </w:r>
      <w:r>
        <w:t xml:space="preserve"> </w:t>
      </w:r>
      <w:hyperlink r:id="rId47">
        <w:r>
          <w:rPr>
            <w:rStyle w:val="Hyperlink"/>
          </w:rPr>
          <w:t xml:space="preserve">https://www.access-board.gov/ada/</w:t>
        </w:r>
      </w:hyperlink>
    </w:p>
    <w:p>
      <w:pPr>
        <w:numPr>
          <w:ilvl w:val="0"/>
          <w:numId w:val="1008"/>
        </w:numPr>
        <w:pStyle w:val="Compact"/>
      </w:pPr>
      <w:r>
        <w:t xml:space="preserve">Government of Canada Job Bank, Facilities Coordinator / NOC 70012:</w:t>
      </w:r>
      <w:r>
        <w:t xml:space="preserve"> </w:t>
      </w:r>
      <w:hyperlink r:id="rId48">
        <w:r>
          <w:rPr>
            <w:rStyle w:val="Hyperlink"/>
          </w:rPr>
          <w:t xml:space="preserve">https://www.jobbank.gc.ca/marketreport/summary-occupation/297406/ca</w:t>
        </w:r>
      </w:hyperlink>
    </w:p>
    <w:p>
      <w:pPr>
        <w:numPr>
          <w:ilvl w:val="0"/>
          <w:numId w:val="1008"/>
        </w:numPr>
        <w:pStyle w:val="Compact"/>
      </w:pPr>
      <w:r>
        <w:t xml:space="preserve">Government of Canada Job Bank, NOC 70012 wages:</w:t>
      </w:r>
      <w:r>
        <w:t xml:space="preserve"> </w:t>
      </w:r>
      <w:hyperlink r:id="rId49">
        <w:r>
          <w:rPr>
            <w:rStyle w:val="Hyperlink"/>
          </w:rPr>
          <w:t xml:space="preserve">https://www.jobbank.gc.ca/marketreport/wages-occupation/297406/ca</w:t>
        </w:r>
      </w:hyperlink>
    </w:p>
    <w:p>
      <w:pPr>
        <w:numPr>
          <w:ilvl w:val="0"/>
          <w:numId w:val="1008"/>
        </w:numPr>
        <w:pStyle w:val="Compact"/>
      </w:pPr>
      <w:r>
        <w:t xml:space="preserve">Government of Canada Job Bank, NOC 70012 requirements:</w:t>
      </w:r>
      <w:r>
        <w:t xml:space="preserve"> </w:t>
      </w:r>
      <w:hyperlink r:id="rId50">
        <w:r>
          <w:rPr>
            <w:rStyle w:val="Hyperlink"/>
          </w:rPr>
          <w:t xml:space="preserve">https://www.jobbank.gc.ca/marketreport/requirements/297406/ca</w:t>
        </w:r>
      </w:hyperlink>
    </w:p>
    <w:p>
      <w:pPr>
        <w:numPr>
          <w:ilvl w:val="0"/>
          <w:numId w:val="1008"/>
        </w:numPr>
        <w:pStyle w:val="Compact"/>
      </w:pPr>
      <w:r>
        <w:t xml:space="preserve">Government of Canada Job Bank, Building Operator - Maintenance / NOC 73201 wages:</w:t>
      </w:r>
      <w:r>
        <w:t xml:space="preserve"> </w:t>
      </w:r>
      <w:hyperlink r:id="rId51">
        <w:r>
          <w:rPr>
            <w:rStyle w:val="Hyperlink"/>
          </w:rPr>
          <w:t xml:space="preserve">https://www.jobbank.gc.ca/marketreport/wages-occupation/14403/ca</w:t>
        </w:r>
      </w:hyperlink>
    </w:p>
    <w:p>
      <w:pPr>
        <w:numPr>
          <w:ilvl w:val="0"/>
          <w:numId w:val="1008"/>
        </w:numPr>
        <w:pStyle w:val="Compact"/>
      </w:pPr>
      <w:r>
        <w:t xml:space="preserve">SENA Betowa:</w:t>
      </w:r>
      <w:r>
        <w:t xml:space="preserve"> </w:t>
      </w:r>
      <w:hyperlink r:id="rId52">
        <w:r>
          <w:rPr>
            <w:rStyle w:val="Hyperlink"/>
          </w:rPr>
          <w:t xml:space="preserve">https://betowa.sena.edu.co/</w:t>
        </w:r>
      </w:hyperlink>
    </w:p>
    <w:p>
      <w:pPr>
        <w:numPr>
          <w:ilvl w:val="0"/>
          <w:numId w:val="1008"/>
        </w:numPr>
        <w:pStyle w:val="Compact"/>
      </w:pPr>
      <w:r>
        <w:t xml:space="preserve">SENA Agencia Pública de Empleo:</w:t>
      </w:r>
      <w:r>
        <w:t xml:space="preserve"> </w:t>
      </w:r>
      <w:hyperlink r:id="rId53">
        <w:r>
          <w:rPr>
            <w:rStyle w:val="Hyperlink"/>
          </w:rPr>
          <w:t xml:space="preserve">https://ape.sena.edu.co/</w:t>
        </w:r>
      </w:hyperlink>
    </w:p>
    <w:p>
      <w:pPr>
        <w:numPr>
          <w:ilvl w:val="0"/>
          <w:numId w:val="1008"/>
        </w:numPr>
        <w:pStyle w:val="Compact"/>
      </w:pPr>
      <w:r>
        <w:t xml:space="preserve">Colombia Servicio Público de Empleo:</w:t>
      </w:r>
      <w:r>
        <w:t xml:space="preserve"> </w:t>
      </w:r>
      <w:hyperlink r:id="rId54">
        <w:r>
          <w:rPr>
            <w:rStyle w:val="Hyperlink"/>
          </w:rPr>
          <w:t xml:space="preserve">https://www.serviciodeempleo.gov.co/</w:t>
        </w:r>
      </w:hyperlink>
    </w:p>
    <w:p>
      <w:pPr>
        <w:numPr>
          <w:ilvl w:val="0"/>
          <w:numId w:val="1008"/>
        </w:numPr>
        <w:pStyle w:val="Compact"/>
      </w:pPr>
      <w:r>
        <w:t xml:space="preserve">SENA Circular 282 de 2024:</w:t>
      </w:r>
      <w:r>
        <w:t xml:space="preserve"> </w:t>
      </w:r>
      <w:hyperlink r:id="rId55">
        <w:r>
          <w:rPr>
            <w:rStyle w:val="Hyperlink"/>
          </w:rPr>
          <w:t xml:space="preserve">https://normograma.sena.edu.co/compilacion/docs/circular_sena_0282_2024.htm</w:t>
        </w:r>
      </w:hyperlink>
    </w:p>
    <w:p>
      <w:pPr>
        <w:numPr>
          <w:ilvl w:val="0"/>
          <w:numId w:val="1008"/>
        </w:numPr>
        <w:pStyle w:val="Compact"/>
      </w:pPr>
      <w:r>
        <w:t xml:space="preserve">SENA Resolución 2773 de 2024:</w:t>
      </w:r>
      <w:r>
        <w:t xml:space="preserve"> </w:t>
      </w:r>
      <w:hyperlink r:id="rId56">
        <w:r>
          <w:rPr>
            <w:rStyle w:val="Hyperlink"/>
          </w:rPr>
          <w:t xml:space="preserve">https://normograma.sena.edu.co/compilacion/docs/resolucion_sena_2773_2024.htm</w:t>
        </w:r>
      </w:hyperlink>
    </w:p>
    <w:p>
      <w:pPr>
        <w:pStyle w:val="FirstParagraph"/>
      </w:pPr>
      <w:r>
        <w:t xml:space="preserve">A detailed evidence register is maintained in</w:t>
      </w:r>
      <w:r>
        <w:t xml:space="preserve"> </w:t>
      </w:r>
      <w:r>
        <w:rPr>
          <w:rStyle w:val="VerbatimChar"/>
        </w:rPr>
        <w:t xml:space="preserve">project/revision-2026/guide-24/qa/GUIDE_24_CURRENT_SOURCE_EVIDENCE_02.md</w:t>
      </w:r>
      <w:r>
        <w:t xml:space="preserve">.</w:t>
      </w:r>
    </w:p>
    <w:bookmarkEnd w:id="57"/>
    <w:bookmarkStart w:id="58" w:name="X2614b8427f726b48464379689427f53ec04a4ac"/>
    <w:p>
      <w:pPr>
        <w:pStyle w:val="Heading2"/>
      </w:pPr>
      <w:r>
        <w:t xml:space="preserve">16. Author, review status, and license</w:t>
      </w:r>
    </w:p>
    <w:p>
      <w:pPr>
        <w:pStyle w:val="FirstParagraph"/>
      </w:pPr>
      <w:r>
        <w:t xml:space="preserve">Created and directed by</w:t>
      </w:r>
      <w:r>
        <w:t xml:space="preserve"> </w:t>
      </w:r>
      <w:r>
        <w:rPr>
          <w:bCs/>
          <w:b/>
        </w:rPr>
        <w:t xml:space="preserve">Alberto “Al” Leiva</w:t>
      </w:r>
      <w:r>
        <w:t xml:space="preserve">. ChatGPT supported research, organization, editing, and document preparation under the author’s direction. The author remains responsible for editorial and publication decisions.</w:t>
      </w:r>
    </w:p>
    <w:p>
      <w:pPr>
        <w:pStyle w:val="BodyText"/>
      </w:pPr>
      <w:r>
        <w:t xml:space="preserve">This controlled edition has undergone source-based AI-assisted editorial reconstruction. It has</w:t>
      </w:r>
      <w:r>
        <w:t xml:space="preserve"> </w:t>
      </w:r>
      <w:r>
        <w:rPr>
          <w:bCs/>
          <w:b/>
        </w:rPr>
        <w:t xml:space="preserve">not</w:t>
      </w:r>
      <w:r>
        <w:t xml:space="preserve"> </w:t>
      </w:r>
      <w:r>
        <w:t xml:space="preserve">been independently certified, accredited, or declared human-reviewed by an external authority. Translation, document-generation, link, metadata, and publication QA are separate controlled gates and are not implied by this English-source stage.</w:t>
      </w:r>
    </w:p>
    <w:p>
      <w:pPr>
        <w:pStyle w:val="BodyText"/>
      </w:pPr>
      <w:r>
        <w:t xml:space="preserve">Unless a file states otherwise, this material is licensed under</w:t>
      </w:r>
      <w:r>
        <w:t xml:space="preserve"> </w:t>
      </w:r>
      <w:r>
        <w:rPr>
          <w:bCs/>
          <w:b/>
        </w:rPr>
        <w:t xml:space="preserve">CC BY-NC-SA 4.0</w:t>
      </w:r>
      <w:r>
        <w:t xml:space="preser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pe.sena.edu.co/" TargetMode="External" /><Relationship Type="http://schemas.openxmlformats.org/officeDocument/2006/relationships/hyperlink" Id="rId52" Target="https://betowa.sena.edu.co/" TargetMode="External" /><Relationship Type="http://schemas.openxmlformats.org/officeDocument/2006/relationships/hyperlink" Id="rId55" Target="https://normograma.sena.edu.co/compilacion/docs/circular_sena_0282_2024.htm" TargetMode="External" /><Relationship Type="http://schemas.openxmlformats.org/officeDocument/2006/relationships/hyperlink" Id="rId56" Target="https://normograma.sena.edu.co/compilacion/docs/resolucion_sena_2773_2024.htm" TargetMode="External" /><Relationship Type="http://schemas.openxmlformats.org/officeDocument/2006/relationships/hyperlink" Id="rId47" Target="https://www.access-board.gov/ada/" TargetMode="External" /><Relationship Type="http://schemas.openxmlformats.org/officeDocument/2006/relationships/hyperlink" Id="rId45" Target="https://www.apprenticeship.gov/apprenticeship-industries/construction" TargetMode="External" /><Relationship Type="http://schemas.openxmlformats.org/officeDocument/2006/relationships/hyperlink" Id="rId41" Target="https://www.bls.gov/news.release/ocwage.t01.htm" TargetMode="External" /><Relationship Type="http://schemas.openxmlformats.org/officeDocument/2006/relationships/hyperlink" Id="rId42" Target="https://www.bls.gov/ooh/management/administrative-services-managers.htm"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4" Target="https://www.indeed.com/career/facility-coordinator/salaries" TargetMode="External" /><Relationship Type="http://schemas.openxmlformats.org/officeDocument/2006/relationships/hyperlink" Id="rId50" Target="https://www.jobbank.gc.ca/marketreport/requirements/297406/ca" TargetMode="External" /><Relationship Type="http://schemas.openxmlformats.org/officeDocument/2006/relationships/hyperlink" Id="rId48" Target="https://www.jobbank.gc.ca/marketreport/summary-occupation/297406/ca" TargetMode="External" /><Relationship Type="http://schemas.openxmlformats.org/officeDocument/2006/relationships/hyperlink" Id="rId51" Target="https://www.jobbank.gc.ca/marketreport/wages-occupation/14403/ca" TargetMode="External" /><Relationship Type="http://schemas.openxmlformats.org/officeDocument/2006/relationships/hyperlink" Id="rId49" Target="https://www.jobbank.gc.ca/marketreport/wages-occupation/297406/ca" TargetMode="External" /><Relationship Type="http://schemas.openxmlformats.org/officeDocument/2006/relationships/hyperlink" Id="rId43" Target="https://www.onetonline.org/link/summary/11-3013.00" TargetMode="External" /><Relationship Type="http://schemas.openxmlformats.org/officeDocument/2006/relationships/hyperlink" Id="rId54"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53" Target="https://ape.sena.edu.co/" TargetMode="External" /><Relationship Type="http://schemas.openxmlformats.org/officeDocument/2006/relationships/hyperlink" Id="rId52" Target="https://betowa.sena.edu.co/" TargetMode="External" /><Relationship Type="http://schemas.openxmlformats.org/officeDocument/2006/relationships/hyperlink" Id="rId55" Target="https://normograma.sena.edu.co/compilacion/docs/circular_sena_0282_2024.htm" TargetMode="External" /><Relationship Type="http://schemas.openxmlformats.org/officeDocument/2006/relationships/hyperlink" Id="rId56" Target="https://normograma.sena.edu.co/compilacion/docs/resolucion_sena_2773_2024.htm" TargetMode="External" /><Relationship Type="http://schemas.openxmlformats.org/officeDocument/2006/relationships/hyperlink" Id="rId47" Target="https://www.access-board.gov/ada/" TargetMode="External" /><Relationship Type="http://schemas.openxmlformats.org/officeDocument/2006/relationships/hyperlink" Id="rId45" Target="https://www.apprenticeship.gov/apprenticeship-industries/construction" TargetMode="External" /><Relationship Type="http://schemas.openxmlformats.org/officeDocument/2006/relationships/hyperlink" Id="rId41" Target="https://www.bls.gov/news.release/ocwage.t01.htm" TargetMode="External" /><Relationship Type="http://schemas.openxmlformats.org/officeDocument/2006/relationships/hyperlink" Id="rId42" Target="https://www.bls.gov/ooh/management/administrative-services-managers.htm"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4" Target="https://www.indeed.com/career/facility-coordinator/salaries" TargetMode="External" /><Relationship Type="http://schemas.openxmlformats.org/officeDocument/2006/relationships/hyperlink" Id="rId50" Target="https://www.jobbank.gc.ca/marketreport/requirements/297406/ca" TargetMode="External" /><Relationship Type="http://schemas.openxmlformats.org/officeDocument/2006/relationships/hyperlink" Id="rId48" Target="https://www.jobbank.gc.ca/marketreport/summary-occupation/297406/ca" TargetMode="External" /><Relationship Type="http://schemas.openxmlformats.org/officeDocument/2006/relationships/hyperlink" Id="rId51" Target="https://www.jobbank.gc.ca/marketreport/wages-occupation/14403/ca" TargetMode="External" /><Relationship Type="http://schemas.openxmlformats.org/officeDocument/2006/relationships/hyperlink" Id="rId49" Target="https://www.jobbank.gc.ca/marketreport/wages-occupation/297406/ca" TargetMode="External" /><Relationship Type="http://schemas.openxmlformats.org/officeDocument/2006/relationships/hyperlink" Id="rId43" Target="https://www.onetonline.org/link/summary/11-3013.00" TargetMode="External" /><Relationship Type="http://schemas.openxmlformats.org/officeDocument/2006/relationships/hyperlink" Id="rId54"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2026-08-10T17:08:11Z</dcterms:created>
  <dcterms:modified xsi:type="dcterms:W3CDTF">2026-08-10T17:08:11Z</dcterms:modified>
</cp:coreProperties>
</file>

<file path=docProps/custom.xml><?xml version="1.0" encoding="utf-8"?>
<Properties xmlns="http://schemas.openxmlformats.org/officeDocument/2006/custom-properties" xmlns:vt="http://schemas.openxmlformats.org/officeDocument/2006/docPropsVTypes"/>
</file>