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OPORTUNIDADES PARA TODA LA VIDA</w:t>
      </w:r>
    </w:p>
    <w:p>
      <w:pPr>
        <w:pStyle w:val="Title"/>
        <w:jc w:val="center"/>
      </w:pPr>
      <w:r>
        <w:t>ESPECIALISTA EN ALMACÉN Y CONTROL DE INVENTARIO</w:t>
      </w:r>
    </w:p>
    <w:p>
      <w:pPr>
        <w:jc w:val="center"/>
      </w:pPr>
      <w:r>
        <w:t>Guía gratuita sobre compatibilidad profesional, educación accesible, inclusión, decisiones éticas y reinvención a lo largo de la vida</w:t>
      </w:r>
    </w:p>
    <w:p>
      <w:pPr>
        <w:jc w:val="center"/>
      </w:pPr>
      <w:r>
        <w:t>Para personas de todas las edades, capacidades, orígenes y niveles de ingreso</w:t>
      </w:r>
    </w:p>
    <w:p>
      <w:pPr>
        <w:jc w:val="center"/>
      </w:pPr>
      <w:r>
        <w:rPr>
          <w:b/>
        </w:rPr>
        <w:t>Alberto (Al) Leiva</w:t>
      </w:r>
    </w:p>
    <w:p>
      <w:pPr>
        <w:jc w:val="center"/>
      </w:pPr>
      <w:r>
        <w:t>Creada y dirigida por Alberto (Al) Leiva</w:t>
        <w:br/>
        <w:t>Investigación, organización, edición y preparación del documento con asistencia de ChatGPT, OpenAI</w:t>
        <w:br/>
        <w:t>Edición en español neutro • Versión 1.0 • Julio de 2026</w:t>
      </w:r>
    </w:p>
    <w:p>
      <w:r>
        <w:rPr>
          <w:b/>
        </w:rPr>
        <w:t>La promesa de esta guía</w:t>
      </w:r>
    </w:p>
    <w:p>
      <w:r>
        <w:t>Esta guía no promete que esta ocupación sea adecuada para todas las personas, que la educación sea gratuita ni que una credencial conduzca a un empleo. Ayuda a comprender el trabajo, verificar requisitos, evitar deudas innecesarias, construir evidencia ética y dar el siguiente paso realista.</w:t>
      </w:r>
    </w:p>
    <w:p>
      <w:pPr>
        <w:pStyle w:val="Heading1"/>
      </w:pPr>
      <w:r>
        <w:t>Por qué creé esta guía</w:t>
      </w:r>
    </w:p>
    <w:p>
      <w:r>
        <w:t>Creé las Guías de Oportunidades para Toda la Vida para ayudar a las personas a encontrar caminos realistas hacia la educación y el trabajo significativo sin quedar excluidas por edad, discapacidad, ingresos, ubicación o una historia de vida no tradicional. Vivo con disgrafía y estoy dentro del espectro autista. Comencé este proyecto a los 70 años. Estas experiencias reforzaron mi convicción de que la capacidad suele quedar oculta detrás de barreras de comunicación, educación, costo y acceso.</w:t>
      </w:r>
    </w:p>
    <w:p>
      <w:r>
        <w:t>Esta guía se concentra en una función que recibe, almacena, cuenta, mueve y controla materiales y productos mediante procedimientos de ubicación, trazabilidad, exactitud, seguridad y documentación. El objetivo no es vender una carrera, sino ayudar a tomar una decisión informada, digna y financieramente prudente.</w:t>
      </w:r>
    </w:p>
    <w:p>
      <w:pPr>
        <w:pStyle w:val="Heading1"/>
      </w:pPr>
      <w:r>
        <w:t>Reconocimiento de la asistencia de inteligencia artificial</w:t>
      </w:r>
    </w:p>
    <w:p>
      <w:r>
        <w:t>Concebí, dirigí y asumo la responsabilidad de esta guía. Utilicé ChatGPT de OpenAI como herramienta colaborativa para investigar recursos públicos, organizar ideas, mejorar la redacción y preparar el documento. La asistencia de inteligencia artificial no reemplaza las fuentes oficiales, a profesionales calificados, el juicio humano ni la responsabilidad de verificar información importante.</w:t>
      </w:r>
    </w:p>
    <w:p>
      <w:pPr>
        <w:pStyle w:val="Heading1"/>
      </w:pPr>
      <w:r>
        <w:t>Límites éticos y prácticos</w:t>
      </w:r>
    </w:p>
    <w:p>
      <w:pPr>
        <w:pStyle w:val="ListBullet"/>
      </w:pPr>
      <w:r>
        <w:t>Ninguna evaluación profesional puede garantizar que una persona disfrutará este trabajo.</w:t>
      </w:r>
    </w:p>
    <w:p>
      <w:pPr>
        <w:pStyle w:val="ListBullet"/>
      </w:pPr>
      <w:r>
        <w:t>Ninguna institución, credencial, práctica, empleador, reclutador o programa gubernamental puede garantizar empleo, financiamiento, ascenso, licencia o salario.</w:t>
      </w:r>
    </w:p>
    <w:p>
      <w:pPr>
        <w:pStyle w:val="ListBullet"/>
      </w:pPr>
      <w:r>
        <w:t>Las reglas, funciones, títulos, tecnologías y requisitos de contratación varían según el empleador y la jurisdicción.</w:t>
      </w:r>
    </w:p>
    <w:p>
      <w:pPr>
        <w:pStyle w:val="ListBullet"/>
      </w:pPr>
      <w:r>
        <w:t>Esta guía es educativa y no constituye asesoría jurídica, tributaria, médica, migratoria, financiera ni vocacional individualizada.</w:t>
      </w:r>
    </w:p>
    <w:p>
      <w:pPr>
        <w:pStyle w:val="ListBullet"/>
      </w:pPr>
      <w:r>
        <w:t>Nunca se debe falsificar, ocultar, alterar ni retroceder la fecha de un registro para que el trabajo parezca completo o conforme.</w:t>
      </w:r>
    </w:p>
    <w:p>
      <w:pPr>
        <w:pStyle w:val="ListBullet"/>
      </w:pPr>
      <w:r>
        <w:t>No se debe pedir dinero prestado ni pagar una tarifa no reembolsable importante por presión de una institución, reclutador o vendedor de credenciales.</w:t>
      </w:r>
    </w:p>
    <w:p>
      <w:pPr>
        <w:pStyle w:val="Heading1"/>
      </w:pPr>
      <w:r>
        <w:t>Cómo se relaciona esta guía con la Guía Fundamental</w:t>
      </w:r>
    </w:p>
    <w:p>
      <w:r>
        <w:t>La Guía Fundamental de Oportunidades para Toda la Vida explica el proceso general de compatibilidad profesional, verificación educativa, aprendizaje financiado por empleadores, financiamiento, accesibilidad, protección laboral, uso ético de inteligencia artificial y reinvención a lo largo de la vida. Esta guía aplica ese proceso a esta ocupación.</w:t>
      </w:r>
    </w:p>
    <w:p>
      <w:pPr/>
      <w:r>
        <w:rPr>
          <w:b/>
          <w:sz w:val="28"/>
        </w:rPr>
        <w:t>Tabla de contenido</w:t>
      </w:r>
    </w:p>
    <w:p>
      <w:pPr>
        <w:tabs>
          <w:tab w:pos="9000" w:val="right" w:leader="dot"/>
        </w:tabs>
        <w:spacing w:before="0" w:after="0" w:line="240" w:lineRule="auto"/>
        <w:ind w:left="0"/>
      </w:pPr>
      <w:r>
        <w:t>1. Cómo usar esta guía</w:t>
        <w:tab/>
        <w:t>3</w:t>
      </w:r>
    </w:p>
    <w:p>
      <w:pPr>
        <w:tabs>
          <w:tab w:pos="9000" w:val="right" w:leader="dot"/>
        </w:tabs>
        <w:spacing w:before="0" w:after="0" w:line="240" w:lineRule="auto"/>
        <w:ind w:left="317"/>
      </w:pPr>
      <w:r>
        <w:t>Secuencia de decisión</w:t>
        <w:tab/>
        <w:t>3</w:t>
      </w:r>
    </w:p>
    <w:p>
      <w:pPr>
        <w:tabs>
          <w:tab w:pos="9000" w:val="right" w:leader="dot"/>
        </w:tabs>
        <w:spacing w:before="0" w:after="0" w:line="240" w:lineRule="auto"/>
        <w:ind w:left="0"/>
      </w:pPr>
      <w:r>
        <w:t>2. Qué es este trabajo</w:t>
        <w:tab/>
        <w:t>3</w:t>
      </w:r>
    </w:p>
    <w:p>
      <w:pPr>
        <w:tabs>
          <w:tab w:pos="9000" w:val="right" w:leader="dot"/>
        </w:tabs>
        <w:spacing w:before="0" w:after="0" w:line="240" w:lineRule="auto"/>
        <w:ind w:left="317"/>
      </w:pPr>
      <w:r>
        <w:t>Definición y títulos comunes</w:t>
        <w:tab/>
        <w:t>3</w:t>
      </w:r>
    </w:p>
    <w:p>
      <w:pPr>
        <w:tabs>
          <w:tab w:pos="9000" w:val="right" w:leader="dot"/>
        </w:tabs>
        <w:spacing w:before="0" w:after="0" w:line="240" w:lineRule="auto"/>
        <w:ind w:left="317"/>
      </w:pPr>
      <w:r>
        <w:t>Entornos de trabajo</w:t>
        <w:tab/>
        <w:t>3</w:t>
      </w:r>
    </w:p>
    <w:p>
      <w:pPr>
        <w:tabs>
          <w:tab w:pos="9000" w:val="right" w:leader="dot"/>
        </w:tabs>
        <w:spacing w:before="0" w:after="0" w:line="240" w:lineRule="auto"/>
        <w:ind w:left="0"/>
      </w:pPr>
      <w:r>
        <w:t>3. Cómo es el trabajo en la práctica</w:t>
        <w:tab/>
        <w:t>3</w:t>
      </w:r>
    </w:p>
    <w:p>
      <w:pPr>
        <w:tabs>
          <w:tab w:pos="9000" w:val="right" w:leader="dot"/>
        </w:tabs>
        <w:spacing w:before="0" w:after="0" w:line="240" w:lineRule="auto"/>
        <w:ind w:left="317"/>
      </w:pPr>
      <w:r>
        <w:t>Funciones principales</w:t>
        <w:tab/>
        <w:t>3</w:t>
      </w:r>
    </w:p>
    <w:p>
      <w:pPr>
        <w:tabs>
          <w:tab w:pos="9000" w:val="right" w:leader="dot"/>
        </w:tabs>
        <w:spacing w:before="0" w:after="0" w:line="240" w:lineRule="auto"/>
        <w:ind w:left="317"/>
      </w:pPr>
      <w:r>
        <w:t>Dos ciclos de trabajo realistas</w:t>
        <w:tab/>
        <w:t>3</w:t>
      </w:r>
    </w:p>
    <w:p>
      <w:pPr>
        <w:tabs>
          <w:tab w:pos="9000" w:val="right" w:leader="dot"/>
        </w:tabs>
        <w:spacing w:before="0" w:after="0" w:line="240" w:lineRule="auto"/>
        <w:ind w:left="0"/>
      </w:pPr>
      <w:r>
        <w:t>4. Compatibilidad profesional</w:t>
        <w:tab/>
        <w:t>3</w:t>
      </w:r>
    </w:p>
    <w:p>
      <w:pPr>
        <w:tabs>
          <w:tab w:pos="9000" w:val="right" w:leader="dot"/>
        </w:tabs>
        <w:spacing w:before="0" w:after="0" w:line="240" w:lineRule="auto"/>
        <w:ind w:left="317"/>
      </w:pPr>
      <w:r>
        <w:t>Fortalezas y condiciones</w:t>
        <w:tab/>
        <w:t>3</w:t>
      </w:r>
    </w:p>
    <w:p>
      <w:pPr>
        <w:tabs>
          <w:tab w:pos="9000" w:val="right" w:leader="dot"/>
        </w:tabs>
        <w:spacing w:before="0" w:after="0" w:line="240" w:lineRule="auto"/>
        <w:ind w:left="317"/>
      </w:pPr>
      <w:r>
        <w:t>Razones para detenerse y verificar</w:t>
        <w:tab/>
        <w:t>3</w:t>
      </w:r>
    </w:p>
    <w:p>
      <w:pPr>
        <w:tabs>
          <w:tab w:pos="9000" w:val="right" w:leader="dot"/>
        </w:tabs>
        <w:spacing w:before="0" w:after="0" w:line="240" w:lineRule="auto"/>
        <w:ind w:left="0"/>
      </w:pPr>
      <w:r>
        <w:t>5. Ética, límites y escalamiento</w:t>
        <w:tab/>
        <w:t>4</w:t>
      </w:r>
    </w:p>
    <w:p>
      <w:pPr>
        <w:tabs>
          <w:tab w:pos="9000" w:val="right" w:leader="dot"/>
        </w:tabs>
        <w:spacing w:before="0" w:after="0" w:line="240" w:lineRule="auto"/>
        <w:ind w:left="317"/>
      </w:pPr>
      <w:r>
        <w:t>Alcance y condiciones para detener el trabajo</w:t>
        <w:tab/>
        <w:t>4</w:t>
      </w:r>
    </w:p>
    <w:p>
      <w:pPr>
        <w:tabs>
          <w:tab w:pos="9000" w:val="right" w:leader="dot"/>
        </w:tabs>
        <w:spacing w:before="0" w:after="0" w:line="240" w:lineRule="auto"/>
        <w:ind w:left="0"/>
      </w:pPr>
      <w:r>
        <w:t>6. Herramientas, registros y tecnología</w:t>
        <w:tab/>
        <w:t>4</w:t>
      </w:r>
    </w:p>
    <w:p>
      <w:pPr>
        <w:tabs>
          <w:tab w:pos="9000" w:val="right" w:leader="dot"/>
        </w:tabs>
        <w:spacing w:before="0" w:after="0" w:line="240" w:lineRule="auto"/>
        <w:ind w:left="317"/>
      </w:pPr>
      <w:r>
        <w:t>Sistemas comunes</w:t>
        <w:tab/>
        <w:t>4</w:t>
      </w:r>
    </w:p>
    <w:p>
      <w:pPr>
        <w:tabs>
          <w:tab w:pos="9000" w:val="right" w:leader="dot"/>
        </w:tabs>
        <w:spacing w:before="0" w:after="0" w:line="240" w:lineRule="auto"/>
        <w:ind w:left="317"/>
      </w:pPr>
      <w:r>
        <w:t>Privacidad, ciberseguridad e inteligencia artificial ética</w:t>
        <w:tab/>
        <w:t>4</w:t>
      </w:r>
    </w:p>
    <w:p>
      <w:pPr>
        <w:tabs>
          <w:tab w:pos="9000" w:val="right" w:leader="dot"/>
        </w:tabs>
        <w:spacing w:before="0" w:after="0" w:line="240" w:lineRule="auto"/>
        <w:ind w:left="0"/>
      </w:pPr>
      <w:r>
        <w:t>7. Remuneración, beneficios y perspectivas</w:t>
        <w:tab/>
        <w:t>4</w:t>
      </w:r>
    </w:p>
    <w:p>
      <w:pPr>
        <w:tabs>
          <w:tab w:pos="9000" w:val="right" w:leader="dot"/>
        </w:tabs>
        <w:spacing w:before="0" w:after="0" w:line="240" w:lineRule="auto"/>
        <w:ind w:left="317"/>
      </w:pPr>
      <w:r>
        <w:t>Datos nacionales de referencia</w:t>
        <w:tab/>
        <w:t>4</w:t>
      </w:r>
    </w:p>
    <w:p>
      <w:pPr>
        <w:tabs>
          <w:tab w:pos="9000" w:val="right" w:leader="dot"/>
        </w:tabs>
        <w:spacing w:before="0" w:after="0" w:line="240" w:lineRule="auto"/>
        <w:ind w:left="317"/>
      </w:pPr>
      <w:r>
        <w:t>Investigación local</w:t>
        <w:tab/>
        <w:t>4</w:t>
      </w:r>
    </w:p>
    <w:p>
      <w:pPr>
        <w:tabs>
          <w:tab w:pos="9000" w:val="right" w:leader="dot"/>
        </w:tabs>
        <w:spacing w:before="0" w:after="0" w:line="240" w:lineRule="auto"/>
        <w:ind w:left="0"/>
      </w:pPr>
      <w:r>
        <w:t>8. Educación y credenciales</w:t>
        <w:tab/>
        <w:t>4</w:t>
      </w:r>
    </w:p>
    <w:p>
      <w:pPr>
        <w:tabs>
          <w:tab w:pos="9000" w:val="right" w:leader="dot"/>
        </w:tabs>
        <w:spacing w:before="0" w:after="0" w:line="240" w:lineRule="auto"/>
        <w:ind w:left="317"/>
      </w:pPr>
      <w:r>
        <w:t>Vías de ingreso</w:t>
        <w:tab/>
        <w:t>4</w:t>
      </w:r>
    </w:p>
    <w:p>
      <w:pPr>
        <w:tabs>
          <w:tab w:pos="9000" w:val="right" w:leader="dot"/>
        </w:tabs>
        <w:spacing w:before="0" w:after="0" w:line="240" w:lineRule="auto"/>
        <w:ind w:left="317"/>
      </w:pPr>
      <w:r>
        <w:t>Verificación de instituciones y programas</w:t>
        <w:tab/>
        <w:t>4</w:t>
      </w:r>
    </w:p>
    <w:p>
      <w:pPr>
        <w:tabs>
          <w:tab w:pos="9000" w:val="right" w:leader="dot"/>
        </w:tabs>
        <w:spacing w:before="0" w:after="0" w:line="240" w:lineRule="auto"/>
        <w:ind w:left="0"/>
      </w:pPr>
      <w:r>
        <w:t>9. Aprendizaje financiado por el empleador</w:t>
        <w:tab/>
        <w:t>4</w:t>
      </w:r>
    </w:p>
    <w:p>
      <w:pPr>
        <w:tabs>
          <w:tab w:pos="9000" w:val="right" w:leader="dot"/>
        </w:tabs>
        <w:spacing w:before="0" w:after="0" w:line="240" w:lineRule="auto"/>
        <w:ind w:left="317"/>
      </w:pPr>
      <w:r>
        <w:t>Asistencia educativa y reembolso</w:t>
        <w:tab/>
        <w:t>4</w:t>
      </w:r>
    </w:p>
    <w:p>
      <w:pPr>
        <w:tabs>
          <w:tab w:pos="9000" w:val="right" w:leader="dot"/>
        </w:tabs>
        <w:spacing w:before="0" w:after="0" w:line="240" w:lineRule="auto"/>
        <w:ind w:left="317"/>
      </w:pPr>
      <w:r>
        <w:t>Prácticas, aprendizaje y desarrollo profesional</w:t>
        <w:tab/>
        <w:t>5</w:t>
      </w:r>
    </w:p>
    <w:p>
      <w:pPr>
        <w:tabs>
          <w:tab w:pos="9000" w:val="right" w:leader="dot"/>
        </w:tabs>
        <w:spacing w:before="0" w:after="0" w:line="240" w:lineRule="auto"/>
        <w:ind w:left="0"/>
      </w:pPr>
      <w:r>
        <w:t>10. Accesibilidad, seguridad y protección laboral</w:t>
        <w:tab/>
        <w:t>5</w:t>
      </w:r>
    </w:p>
    <w:p>
      <w:pPr>
        <w:tabs>
          <w:tab w:pos="9000" w:val="right" w:leader="dot"/>
        </w:tabs>
        <w:spacing w:before="0" w:after="0" w:line="240" w:lineRule="auto"/>
        <w:ind w:left="317"/>
      </w:pPr>
      <w:r>
        <w:t>Adaptaciones</w:t>
        <w:tab/>
        <w:t>5</w:t>
      </w:r>
    </w:p>
    <w:p>
      <w:pPr>
        <w:tabs>
          <w:tab w:pos="9000" w:val="right" w:leader="dot"/>
        </w:tabs>
        <w:spacing w:before="0" w:after="0" w:line="240" w:lineRule="auto"/>
        <w:ind w:left="317"/>
      </w:pPr>
      <w:r>
        <w:t>Seguridad y riesgos laborales</w:t>
        <w:tab/>
        <w:t>5</w:t>
      </w:r>
    </w:p>
    <w:p>
      <w:pPr>
        <w:tabs>
          <w:tab w:pos="9000" w:val="right" w:leader="dot"/>
        </w:tabs>
        <w:spacing w:before="0" w:after="0" w:line="240" w:lineRule="auto"/>
        <w:ind w:left="0"/>
      </w:pPr>
      <w:r>
        <w:t>11. Evidencia de capacidad</w:t>
        <w:tab/>
        <w:t>5</w:t>
      </w:r>
    </w:p>
    <w:p>
      <w:pPr>
        <w:tabs>
          <w:tab w:pos="9000" w:val="right" w:leader="dot"/>
        </w:tabs>
        <w:spacing w:before="0" w:after="0" w:line="240" w:lineRule="auto"/>
        <w:ind w:left="317"/>
      </w:pPr>
      <w:r>
        <w:t>Proyectos de portafolio</w:t>
        <w:tab/>
        <w:t>5</w:t>
      </w:r>
    </w:p>
    <w:p>
      <w:pPr>
        <w:tabs>
          <w:tab w:pos="9000" w:val="right" w:leader="dot"/>
        </w:tabs>
        <w:spacing w:before="0" w:after="0" w:line="240" w:lineRule="auto"/>
        <w:ind w:left="317"/>
      </w:pPr>
      <w:r>
        <w:t>Evidencia para el currículum</w:t>
        <w:tab/>
        <w:t>5</w:t>
      </w:r>
    </w:p>
    <w:p>
      <w:pPr>
        <w:tabs>
          <w:tab w:pos="9000" w:val="right" w:leader="dot"/>
        </w:tabs>
        <w:spacing w:before="0" w:after="0" w:line="240" w:lineRule="auto"/>
        <w:ind w:left="0"/>
      </w:pPr>
      <w:r>
        <w:t>12. Preparación para entrevistas</w:t>
        <w:tab/>
        <w:t>5</w:t>
      </w:r>
    </w:p>
    <w:p>
      <w:pPr>
        <w:tabs>
          <w:tab w:pos="9000" w:val="right" w:leader="dot"/>
        </w:tabs>
        <w:spacing w:before="0" w:after="0" w:line="240" w:lineRule="auto"/>
        <w:ind w:left="317"/>
      </w:pPr>
      <w:r>
        <w:t>Preguntas y orientación para responder</w:t>
        <w:tab/>
        <w:t>5</w:t>
      </w:r>
    </w:p>
    <w:p>
      <w:pPr>
        <w:tabs>
          <w:tab w:pos="9000" w:val="right" w:leader="dot"/>
        </w:tabs>
        <w:spacing w:before="0" w:after="0" w:line="240" w:lineRule="auto"/>
        <w:ind w:left="0"/>
      </w:pPr>
      <w:r>
        <w:t>13. Primeros 30, 60 y 90 días</w:t>
        <w:tab/>
        <w:t>5</w:t>
      </w:r>
    </w:p>
    <w:p>
      <w:pPr>
        <w:tabs>
          <w:tab w:pos="9000" w:val="right" w:leader="dot"/>
        </w:tabs>
        <w:spacing w:before="0" w:after="0" w:line="240" w:lineRule="auto"/>
        <w:ind w:left="317"/>
      </w:pPr>
      <w:r>
        <w:t>Plan de éxito inicial</w:t>
        <w:tab/>
        <w:t>5</w:t>
      </w:r>
    </w:p>
    <w:p>
      <w:pPr>
        <w:tabs>
          <w:tab w:pos="9000" w:val="right" w:leader="dot"/>
        </w:tabs>
        <w:spacing w:before="0" w:after="0" w:line="240" w:lineRule="auto"/>
        <w:ind w:left="0"/>
      </w:pPr>
      <w:r>
        <w:t>14. Avance y planificación de salida</w:t>
        <w:tab/>
        <w:t>5</w:t>
      </w:r>
    </w:p>
    <w:p>
      <w:pPr>
        <w:tabs>
          <w:tab w:pos="9000" w:val="right" w:leader="dot"/>
        </w:tabs>
        <w:spacing w:before="0" w:after="0" w:line="240" w:lineRule="auto"/>
        <w:ind w:left="317"/>
      </w:pPr>
      <w:r>
        <w:t>Trayectorias profesionales</w:t>
        <w:tab/>
        <w:t>5</w:t>
      </w:r>
    </w:p>
    <w:p>
      <w:pPr>
        <w:tabs>
          <w:tab w:pos="9000" w:val="right" w:leader="dot"/>
        </w:tabs>
        <w:spacing w:before="0" w:after="0" w:line="240" w:lineRule="auto"/>
        <w:ind w:left="317"/>
      </w:pPr>
      <w:r>
        <w:t>Habilidades transferibles</w:t>
        <w:tab/>
        <w:t>6</w:t>
      </w:r>
    </w:p>
    <w:p>
      <w:pPr>
        <w:tabs>
          <w:tab w:pos="9000" w:val="right" w:leader="dot"/>
        </w:tabs>
        <w:spacing w:before="0" w:after="0" w:line="240" w:lineRule="auto"/>
        <w:ind w:left="0"/>
      </w:pPr>
      <w:r>
        <w:t>15. Antes de matricularse o firmar</w:t>
        <w:tab/>
        <w:t>6</w:t>
      </w:r>
    </w:p>
    <w:p>
      <w:pPr>
        <w:tabs>
          <w:tab w:pos="9000" w:val="right" w:leader="dot"/>
        </w:tabs>
        <w:spacing w:before="0" w:after="0" w:line="240" w:lineRule="auto"/>
        <w:ind w:left="317"/>
      </w:pPr>
      <w:r>
        <w:t>Lista de verificación</w:t>
        <w:tab/>
        <w:t>6</w:t>
      </w:r>
    </w:p>
    <w:p>
      <w:pPr>
        <w:tabs>
          <w:tab w:pos="9000" w:val="right" w:leader="dot"/>
        </w:tabs>
        <w:spacing w:before="0" w:after="0" w:line="240" w:lineRule="auto"/>
        <w:ind w:left="0"/>
      </w:pPr>
      <w:r>
        <w:t>16. Plan de acción de doce semanas</w:t>
        <w:tab/>
        <w:t>6</w:t>
      </w:r>
    </w:p>
    <w:p>
      <w:pPr>
        <w:tabs>
          <w:tab w:pos="9000" w:val="right" w:leader="dot"/>
        </w:tabs>
        <w:spacing w:before="0" w:after="0" w:line="240" w:lineRule="auto"/>
        <w:ind w:left="317"/>
      </w:pPr>
      <w:r>
        <w:t>Plan secuencial</w:t>
        <w:tab/>
        <w:t>6</w:t>
      </w:r>
    </w:p>
    <w:p>
      <w:pPr>
        <w:tabs>
          <w:tab w:pos="9000" w:val="right" w:leader="dot"/>
        </w:tabs>
        <w:spacing w:before="0" w:after="0" w:line="240" w:lineRule="auto"/>
        <w:ind w:left="0"/>
      </w:pPr>
      <w:r>
        <w:t>17. Hojas de trabajo</w:t>
        <w:tab/>
        <w:t>6</w:t>
      </w:r>
    </w:p>
    <w:p>
      <w:pPr>
        <w:tabs>
          <w:tab w:pos="9000" w:val="right" w:leader="dot"/>
        </w:tabs>
        <w:spacing w:before="0" w:after="0" w:line="240" w:lineRule="auto"/>
        <w:ind w:left="317"/>
      </w:pPr>
      <w:r>
        <w:t>Compatibilidad y costos</w:t>
        <w:tab/>
        <w:t>6</w:t>
      </w:r>
    </w:p>
    <w:p>
      <w:pPr>
        <w:tabs>
          <w:tab w:pos="9000" w:val="right" w:leader="dot"/>
        </w:tabs>
        <w:spacing w:before="0" w:after="0" w:line="240" w:lineRule="auto"/>
        <w:ind w:left="0"/>
      </w:pPr>
      <w:r>
        <w:t>18. Fuentes, versión y mantenimiento</w:t>
        <w:tab/>
        <w:t>6</w:t>
      </w:r>
    </w:p>
    <w:p>
      <w:pPr>
        <w:tabs>
          <w:tab w:pos="9000" w:val="right" w:leader="dot"/>
        </w:tabs>
        <w:spacing w:before="0" w:after="0" w:line="240" w:lineRule="auto"/>
        <w:ind w:left="317"/>
      </w:pPr>
      <w:r>
        <w:t>Fuentes oficiales</w:t>
        <w:tab/>
        <w:t>6</w:t>
      </w:r>
    </w:p>
    <w:p>
      <w:pPr>
        <w:tabs>
          <w:tab w:pos="9000" w:val="right" w:leader="dot"/>
        </w:tabs>
        <w:spacing w:before="0" w:after="0" w:line="240" w:lineRule="auto"/>
        <w:ind w:left="317"/>
      </w:pPr>
      <w:r>
        <w:t>Política de correcciones</w:t>
        <w:tab/>
        <w:t>6</w:t>
      </w:r>
    </w:p>
    <w:p>
      <w:r>
        <w:br w:type="page"/>
      </w:r>
    </w:p>
    <w:p>
      <w:pPr>
        <w:pStyle w:val="Heading1"/>
      </w:pPr>
      <w:r>
        <w:t>1. Cómo usar esta guía</w:t>
      </w:r>
    </w:p>
    <w:p>
      <w:pPr>
        <w:pStyle w:val="Heading2"/>
      </w:pPr>
      <w:r>
        <w:t>Secuencia de decisión</w:t>
      </w:r>
    </w:p>
    <w:p>
      <w:pPr>
        <w:pStyle w:val="ListBullet"/>
      </w:pPr>
      <w:r>
        <w:t>Comprender el trabajo real antes de elegir una institución educativa.</w:t>
      </w:r>
    </w:p>
    <w:p>
      <w:pPr>
        <w:pStyle w:val="ListBullet"/>
      </w:pPr>
      <w:r>
        <w:t>Verificar requisitos legales, de credenciales, antecedentes, idioma, horario y transporte.</w:t>
      </w:r>
    </w:p>
    <w:p>
      <w:pPr>
        <w:pStyle w:val="ListBullet"/>
      </w:pPr>
      <w:r>
        <w:t>Probar el interés con actividades seguras, ficticias, públicas o totalmente anonimizadas.</w:t>
      </w:r>
    </w:p>
    <w:p>
      <w:pPr>
        <w:pStyle w:val="ListBullet"/>
      </w:pPr>
      <w:r>
        <w:t>Comparar opciones gratuitas, públicas, financiadas por empleadores, sindicales, de aprendizaje y de bajo costo.</w:t>
      </w:r>
    </w:p>
    <w:p>
      <w:pPr>
        <w:pStyle w:val="ListBullet"/>
      </w:pPr>
      <w:r>
        <w:t>Pagar solo cuando una habilidad o credencial verificada cree un siguiente paso claro.</w:t>
      </w:r>
    </w:p>
    <w:p>
      <w:pPr>
        <w:pStyle w:val="ListBullet"/>
      </w:pPr>
      <w:r>
        <w:t>Conservar por escrito costos, promesas, compromisos de servicio, condiciones de reembolso y adaptaciones.</w:t>
      </w:r>
    </w:p>
    <w:p>
      <w:pPr>
        <w:pStyle w:val="Heading1"/>
      </w:pPr>
      <w:r>
        <w:t>2. Qué es este trabajo</w:t>
      </w:r>
    </w:p>
    <w:p>
      <w:pPr>
        <w:pStyle w:val="Heading2"/>
      </w:pPr>
      <w:r>
        <w:t>Definición y títulos comunes</w:t>
      </w:r>
    </w:p>
    <w:p>
      <w:r>
        <w:t>Recibe, almacena, cuenta, mueve y controla materiales y productos mediante procedimientos de ubicación, trazabilidad, exactitud, seguridad y documentación.</w:t>
      </w:r>
    </w:p>
    <w:p>
      <w:pPr>
        <w:pStyle w:val="ListBullet"/>
      </w:pPr>
      <w:r>
        <w:t>Especialista de inventario</w:t>
      </w:r>
    </w:p>
    <w:p>
      <w:pPr>
        <w:pStyle w:val="ListBullet"/>
      </w:pPr>
      <w:r>
        <w:t>Controlador de inventario</w:t>
      </w:r>
    </w:p>
    <w:p>
      <w:pPr>
        <w:pStyle w:val="ListBullet"/>
      </w:pPr>
      <w:r>
        <w:t>Auxiliar de almacén</w:t>
      </w:r>
    </w:p>
    <w:p>
      <w:pPr>
        <w:pStyle w:val="ListBullet"/>
      </w:pPr>
      <w:r>
        <w:t>Coordinador de inventario</w:t>
      </w:r>
    </w:p>
    <w:p>
      <w:pPr>
        <w:pStyle w:val="ListBullet"/>
      </w:pPr>
      <w:r>
        <w:t>Encargado de existencias</w:t>
      </w:r>
    </w:p>
    <w:p>
      <w:pPr>
        <w:pStyle w:val="Heading2"/>
      </w:pPr>
      <w:r>
        <w:t>Entornos de trabajo</w:t>
      </w:r>
    </w:p>
    <w:p>
      <w:pPr>
        <w:pStyle w:val="ListBullet"/>
      </w:pPr>
      <w:r>
        <w:t>Almacenes</w:t>
      </w:r>
    </w:p>
    <w:p>
      <w:pPr>
        <w:pStyle w:val="ListBullet"/>
      </w:pPr>
      <w:r>
        <w:t>Centros de distribución</w:t>
      </w:r>
    </w:p>
    <w:p>
      <w:pPr>
        <w:pStyle w:val="ListBullet"/>
      </w:pPr>
      <w:r>
        <w:t>Manufactura</w:t>
      </w:r>
    </w:p>
    <w:p>
      <w:pPr>
        <w:pStyle w:val="ListBullet"/>
      </w:pPr>
      <w:r>
        <w:t>Hospitales</w:t>
      </w:r>
    </w:p>
    <w:p>
      <w:pPr>
        <w:pStyle w:val="ListBullet"/>
      </w:pPr>
      <w:r>
        <w:t>Comercio electrónico</w:t>
      </w:r>
    </w:p>
    <w:p>
      <w:pPr>
        <w:pStyle w:val="ListBullet"/>
      </w:pPr>
      <w:r>
        <w:t>Repuestos y mantenimiento</w:t>
      </w:r>
    </w:p>
    <w:p>
      <w:pPr>
        <w:pStyle w:val="Heading1"/>
      </w:pPr>
      <w:r>
        <w:t>3. Cómo es el trabajo en la práctica</w:t>
      </w:r>
    </w:p>
    <w:p>
      <w:pPr>
        <w:pStyle w:val="Heading2"/>
      </w:pPr>
      <w:r>
        <w:t>Funciones principales</w:t>
      </w:r>
    </w:p>
    <w:p>
      <w:pPr>
        <w:pStyle w:val="ListBullet"/>
      </w:pPr>
      <w:r>
        <w:t>Recibir materiales y verificar cantidad, condición, identidad y documentación.</w:t>
      </w:r>
    </w:p>
    <w:p>
      <w:pPr>
        <w:pStyle w:val="ListBullet"/>
      </w:pPr>
      <w:r>
        <w:t>Ubicar, etiquetar, almacenar y mover productos según requisitos de seguridad y conservación.</w:t>
      </w:r>
    </w:p>
    <w:p>
      <w:pPr>
        <w:pStyle w:val="ListBullet"/>
      </w:pPr>
      <w:r>
        <w:t>Realizar conteos cíclicos, investigaciones y ajustes autorizados.</w:t>
      </w:r>
    </w:p>
    <w:p>
      <w:pPr>
        <w:pStyle w:val="ListBullet"/>
      </w:pPr>
      <w:r>
        <w:t>Preparar pedidos, reposición, transferencias y devoluciones.</w:t>
      </w:r>
    </w:p>
    <w:p>
      <w:pPr>
        <w:pStyle w:val="ListBullet"/>
      </w:pPr>
      <w:r>
        <w:t>Mantener trazabilidad de lote, serie, fecha, ubicación y cadena de custodia cuando aplique.</w:t>
      </w:r>
    </w:p>
    <w:p>
      <w:pPr>
        <w:pStyle w:val="ListBullet"/>
      </w:pPr>
      <w:r>
        <w:t>Escalar daños, diferencias, producto vencido, material peligroso o posible robo.</w:t>
      </w:r>
    </w:p>
    <w:p>
      <w:pPr>
        <w:pStyle w:val="Heading2"/>
      </w:pPr>
      <w:r>
        <w:t>Dos ciclos de trabajo realistas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top"/>
          </w:tcPr>
          <w:p>
            <w:pPr>
              <w:spacing w:before="0" w:after="10" w:line="240" w:lineRule="auto"/>
            </w:pPr>
            <w:r>
              <w:t>Ciclo</w:t>
            </w:r>
          </w:p>
        </w:tc>
        <w:tc>
          <w:tcPr>
            <w:tcW w:type="dxa" w:w="5112"/>
            <w:shd w:fill="D9EAF7"/>
            <w:vAlign w:val="top"/>
          </w:tcPr>
          <w:p>
            <w:pPr>
              <w:spacing w:before="0" w:after="10" w:line="240" w:lineRule="auto"/>
            </w:pPr>
            <w:r>
              <w:t>Decisiones, evidencia y escalamiento</w:t>
            </w:r>
          </w:p>
        </w:tc>
      </w:tr>
      <w:tr>
        <w:tc>
          <w:tcPr>
            <w:tcW w:type="dxa" w:w="5112"/>
            <w:vAlign w:val="top"/>
          </w:tcPr>
          <w:p>
            <w:pPr>
              <w:spacing w:before="0" w:after="10" w:line="240" w:lineRule="auto"/>
            </w:pPr>
            <w:r>
              <w:t>Ciclo rutinario</w:t>
            </w:r>
          </w:p>
        </w:tc>
        <w:tc>
          <w:tcPr>
            <w:tcW w:type="dxa" w:w="5112"/>
            <w:vAlign w:val="top"/>
          </w:tcPr>
          <w:p>
            <w:pPr>
              <w:spacing w:before="0" w:after="10" w:line="240" w:lineRule="auto"/>
            </w:pPr>
            <w:r>
              <w:t>Revisar la asignación y los riesgos; verificar identidad, registros, autorización o especificaciones; realizar el trabajo autorizado; revisar resultados; documentar la finalización; escalar defectos, instrucciones dudosas o condiciones inseguras.</w:t>
            </w:r>
          </w:p>
        </w:tc>
      </w:tr>
      <w:tr>
        <w:tc>
          <w:tcPr>
            <w:tcW w:type="dxa" w:w="5112"/>
            <w:vAlign w:val="top"/>
          </w:tcPr>
          <w:p>
            <w:pPr>
              <w:spacing w:before="0" w:after="10" w:line="240" w:lineRule="auto"/>
            </w:pPr>
            <w:r>
              <w:t>Ciclo de excepción</w:t>
            </w:r>
          </w:p>
        </w:tc>
        <w:tc>
          <w:tcPr>
            <w:tcW w:type="dxa" w:w="5112"/>
            <w:vAlign w:val="top"/>
          </w:tcPr>
          <w:p>
            <w:pPr>
              <w:spacing w:before="0" w:after="10" w:line="240" w:lineRule="auto"/>
            </w:pPr>
            <w:r>
              <w:t>Detener o estabilizar la tarea; proteger a las personas, los bienes, la evidencia y los materiales regulados; avisar al supervisor autorizado; registrar los hechos sin alterarlos; seguir procedimientos de emergencia, calidad o regulación antes de continuar.</w:t>
            </w:r>
          </w:p>
        </w:tc>
      </w:tr>
    </w:tbl>
    <w:p>
      <w:pPr>
        <w:pStyle w:val="Heading1"/>
      </w:pPr>
      <w:r>
        <w:t>4. Compatibilidad profesional</w:t>
      </w:r>
    </w:p>
    <w:p>
      <w:pPr>
        <w:pStyle w:val="Heading2"/>
      </w:pPr>
      <w:r>
        <w:t>Fortalezas y condiciones</w:t>
      </w:r>
    </w:p>
    <w:p>
      <w:pPr>
        <w:pStyle w:val="ListBullet"/>
      </w:pPr>
      <w:r>
        <w:t>Atención al detalle y disposición para seguir procedimientos.</w:t>
      </w:r>
    </w:p>
    <w:p>
      <w:pPr>
        <w:pStyle w:val="ListBullet"/>
      </w:pPr>
      <w:r>
        <w:t>Capacidad para comunicar inquietudes y escalar cuando se alcanzan límites de autoridad.</w:t>
      </w:r>
    </w:p>
    <w:p>
      <w:pPr>
        <w:pStyle w:val="ListBullet"/>
      </w:pPr>
      <w:r>
        <w:t>Comodidad al aprender sistemas, registros, tecnología y requisitos de seguridad.</w:t>
      </w:r>
    </w:p>
    <w:p>
      <w:pPr>
        <w:pStyle w:val="ListBullet"/>
      </w:pPr>
      <w:r>
        <w:t>Confiabilidad, criterio ético y respeto por información confidencial o regulada.</w:t>
      </w:r>
    </w:p>
    <w:p>
      <w:pPr>
        <w:pStyle w:val="ListBullet"/>
      </w:pPr>
      <w:r>
        <w:t>Demandas físicas, sensoriales, emocionales, de horario y de transporte compatibles con la situación personal.</w:t>
      </w:r>
    </w:p>
    <w:p>
      <w:pPr>
        <w:pStyle w:val="Heading2"/>
      </w:pPr>
      <w:r>
        <w:t>Razones para detenerse y verificar</w:t>
      </w:r>
    </w:p>
    <w:p>
      <w:pPr>
        <w:pStyle w:val="ListBullet"/>
      </w:pPr>
      <w:r>
        <w:t>No se ha verificado un requisito de licencia, antecedentes, salud, transporte o capacidad física.</w:t>
      </w:r>
    </w:p>
    <w:p>
      <w:pPr>
        <w:pStyle w:val="ListBullet"/>
      </w:pPr>
      <w:r>
        <w:t>La formación exige una deuda que no puede pagarse con estimaciones salariales conservadoras.</w:t>
      </w:r>
    </w:p>
    <w:p>
      <w:pPr>
        <w:pStyle w:val="ListBullet"/>
      </w:pPr>
      <w:r>
        <w:t>La institución o el empleador no entrega por escrito costos, resultados o condiciones de reembolso.</w:t>
      </w:r>
    </w:p>
    <w:p>
      <w:pPr>
        <w:pStyle w:val="ListBullet"/>
      </w:pPr>
      <w:r>
        <w:t>Las funciones diarias entran en conflicto con una limitación importante de salud, discapacidad, cuidado familiar o seguridad.</w:t>
      </w:r>
    </w:p>
    <w:p>
      <w:pPr>
        <w:pStyle w:val="Heading1"/>
      </w:pPr>
      <w:r>
        <w:t>5. Ética, límites y escalamiento</w:t>
      </w:r>
    </w:p>
    <w:p>
      <w:pPr>
        <w:pStyle w:val="Heading2"/>
      </w:pPr>
      <w:r>
        <w:t>Alcance y condiciones para detener el trabajo</w:t>
      </w:r>
    </w:p>
    <w:p>
      <w:r>
        <w:t>La persona debe trabajar únicamente dentro de su capacitación, autorización, supervisión, política institucional y ley aplicable. Debe detener y escalar el trabajo cuando falten datos confiables, autorización, controles, seguridad o claridad sobre la responsabilidad.</w:t>
      </w:r>
    </w:p>
    <w:p>
      <w:pPr>
        <w:pStyle w:val="ListBullet"/>
      </w:pPr>
      <w:r>
        <w:t>Montacargas, tráfico interno, caídas de objetos, levantamiento, muelles y materiales peligrosos.</w:t>
      </w:r>
    </w:p>
    <w:p>
      <w:pPr>
        <w:pStyle w:val="ListBullet"/>
      </w:pPr>
      <w:r>
        <w:t>Hacer ajustes de inventario sin evidencia y aprobación.</w:t>
      </w:r>
    </w:p>
    <w:p>
      <w:pPr>
        <w:pStyle w:val="ListBullet"/>
      </w:pPr>
      <w:r>
        <w:t>Mezclar lotes, números de serie, estados de calidad o condiciones de almacenamiento.</w:t>
      </w:r>
    </w:p>
    <w:p>
      <w:pPr>
        <w:pStyle w:val="ListBullet"/>
      </w:pPr>
      <w:r>
        <w:t>Compartir credenciales o manipular registros para ocultar pérdidas o errores.</w:t>
      </w:r>
    </w:p>
    <w:p>
      <w:pPr>
        <w:pStyle w:val="Heading1"/>
      </w:pPr>
      <w:r>
        <w:t>6. Herramientas, registros y tecnología</w:t>
      </w:r>
    </w:p>
    <w:p>
      <w:pPr>
        <w:pStyle w:val="Heading2"/>
      </w:pPr>
      <w:r>
        <w:t>Sistemas comunes</w:t>
      </w:r>
    </w:p>
    <w:p>
      <w:pPr>
        <w:pStyle w:val="ListBullet"/>
      </w:pPr>
      <w:r>
        <w:t>Sistemas de gestión de casos, clientes, proveedores, pacientes, expedientes o transacciones, según la ocupación.</w:t>
      </w:r>
    </w:p>
    <w:p>
      <w:pPr>
        <w:pStyle w:val="ListBullet"/>
      </w:pPr>
      <w:r>
        <w:t>Correo, calendarios, hojas de cálculo, documentos compartidos, formularios, listas de verificación y paneles.</w:t>
      </w:r>
    </w:p>
    <w:p>
      <w:pPr>
        <w:pStyle w:val="ListBullet"/>
      </w:pPr>
      <w:r>
        <w:t>Políticas, procedimientos, manuales, registros de auditoría, plantillas y sistemas de control de versiones.</w:t>
      </w:r>
    </w:p>
    <w:p>
      <w:pPr>
        <w:pStyle w:val="Heading2"/>
      </w:pPr>
      <w:r>
        <w:t>Privacidad, ciberseguridad e inteligencia artificial ética</w:t>
      </w:r>
    </w:p>
    <w:p>
      <w:pPr>
        <w:pStyle w:val="ListBullet"/>
      </w:pPr>
      <w:r>
        <w:t>Usar autenticación segura, dispositivos aprobados y acceso mínimo necesario.</w:t>
      </w:r>
    </w:p>
    <w:p>
      <w:pPr>
        <w:pStyle w:val="ListBullet"/>
      </w:pPr>
      <w:r>
        <w:t>No colocar información confidencial en sistemas públicos de inteligencia artificial ni en cuentas personales.</w:t>
      </w:r>
    </w:p>
    <w:p>
      <w:pPr>
        <w:pStyle w:val="ListBullet"/>
      </w:pPr>
      <w:r>
        <w:t>Verificar los resultados de IA con fuentes oficiales vigentes y criterio profesional.</w:t>
      </w:r>
    </w:p>
    <w:p>
      <w:pPr>
        <w:pStyle w:val="ListBullet"/>
      </w:pPr>
      <w:r>
        <w:t>Informar phishing, dispositivos perdidos, registros mal dirigidos, accesos no autorizados o comportamiento sospechoso.</w:t>
      </w:r>
    </w:p>
    <w:p>
      <w:pPr>
        <w:pStyle w:val="Heading1"/>
      </w:pPr>
      <w:r>
        <w:t>7. Remuneración, beneficios y perspectivas</w:t>
      </w:r>
    </w:p>
    <w:p>
      <w:pPr>
        <w:pStyle w:val="Heading2"/>
      </w:pPr>
      <w:r>
        <w:t>Datos nacionales de referencia</w:t>
      </w:r>
    </w:p>
    <w:p>
      <w:r>
        <w:t>La referencia nacional de la guía en inglés es Shipping, Receiving, and Inventory Clerks. BLS informó una mediana anual de USD 43,190 en mayo de 2024. La demanda depende de la tecnología, el comercio y la industria local.</w:t>
      </w:r>
    </w:p>
    <w:p>
      <w:pPr>
        <w:pStyle w:val="ListBullet"/>
      </w:pPr>
      <w:r>
        <w:t>Comparar pago por hora y anual, horas extra, diferenciales, bonos, escalas sindicales y costos no remunerados.</w:t>
      </w:r>
    </w:p>
    <w:p>
      <w:pPr>
        <w:pStyle w:val="ListBullet"/>
      </w:pPr>
      <w:r>
        <w:t>Estimar seguro médico, jubilación, licencia pagada, apoyo educativo, herramientas, uniformes, transporte y seguros profesionales.</w:t>
      </w:r>
    </w:p>
    <w:p>
      <w:pPr>
        <w:pStyle w:val="ListBullet"/>
      </w:pPr>
      <w:r>
        <w:t>Revisar al menos 25 ofertas locales actuales y registrar los requisitos repetidos.</w:t>
      </w:r>
    </w:p>
    <w:p>
      <w:pPr>
        <w:pStyle w:val="Heading2"/>
      </w:pPr>
      <w:r>
        <w:t>Investigación local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top"/>
          </w:tcPr>
          <w:p>
            <w:pPr>
              <w:spacing w:before="0" w:after="10" w:line="240" w:lineRule="auto"/>
            </w:pPr>
            <w:r>
              <w:t>Pregunta</w:t>
            </w:r>
          </w:p>
        </w:tc>
        <w:tc>
          <w:tcPr>
            <w:tcW w:type="dxa" w:w="5112"/>
            <w:shd w:fill="D9EAF7"/>
            <w:vAlign w:val="top"/>
          </w:tcPr>
          <w:p>
            <w:pPr>
              <w:spacing w:before="0" w:after="10" w:line="240" w:lineRule="auto"/>
            </w:pPr>
            <w:r>
              <w:t>Evidencia que debe recopilarse</w:t>
            </w:r>
          </w:p>
        </w:tc>
      </w:tr>
      <w:tr>
        <w:tc>
          <w:tcPr>
            <w:tcW w:type="dxa" w:w="5112"/>
            <w:vAlign w:val="top"/>
          </w:tcPr>
          <w:p>
            <w:pPr>
              <w:spacing w:before="0" w:after="10" w:line="240" w:lineRule="auto"/>
            </w:pPr>
            <w:r>
              <w:t>¿Cuál es el salario inicial?</w:t>
            </w:r>
          </w:p>
        </w:tc>
        <w:tc>
          <w:tcPr>
            <w:tcW w:type="dxa" w:w="5112"/>
            <w:vAlign w:val="top"/>
          </w:tcPr>
          <w:p>
            <w:pPr>
              <w:spacing w:before="0" w:after="10" w:line="240" w:lineRule="auto"/>
            </w:pPr>
            <w:r>
              <w:t>Ofertas locales, escalas públicas o sindicales y entrevistas con empleadores.</w:t>
            </w:r>
          </w:p>
        </w:tc>
      </w:tr>
      <w:tr>
        <w:tc>
          <w:tcPr>
            <w:tcW w:type="dxa" w:w="5112"/>
            <w:vAlign w:val="top"/>
          </w:tcPr>
          <w:p>
            <w:pPr>
              <w:spacing w:before="0" w:after="10" w:line="240" w:lineRule="auto"/>
            </w:pPr>
            <w:r>
              <w:t>¿Qué beneficios importan?</w:t>
            </w:r>
          </w:p>
        </w:tc>
        <w:tc>
          <w:tcPr>
            <w:tcW w:type="dxa" w:w="5112"/>
            <w:vAlign w:val="top"/>
          </w:tcPr>
          <w:p>
            <w:pPr>
              <w:spacing w:before="0" w:after="10" w:line="240" w:lineRule="auto"/>
            </w:pPr>
            <w:r>
              <w:t>Seguro, jubilación, licencia, capacitación pagada, herramientas y estabilidad del horario.</w:t>
            </w:r>
          </w:p>
        </w:tc>
      </w:tr>
      <w:tr>
        <w:tc>
          <w:tcPr>
            <w:tcW w:type="dxa" w:w="5112"/>
            <w:vAlign w:val="top"/>
          </w:tcPr>
          <w:p>
            <w:pPr>
              <w:spacing w:before="0" w:after="10" w:line="240" w:lineRule="auto"/>
            </w:pPr>
            <w:r>
              <w:t>¿Qué afecta la demanda?</w:t>
            </w:r>
          </w:p>
        </w:tc>
        <w:tc>
          <w:tcPr>
            <w:tcW w:type="dxa" w:w="5112"/>
            <w:vAlign w:val="top"/>
          </w:tcPr>
          <w:p>
            <w:pPr>
              <w:spacing w:before="0" w:after="10" w:line="240" w:lineRule="auto"/>
            </w:pPr>
            <w:r>
              <w:t>Ciclos económicos, presupuestos, regulación, automatización, geografía y reemplazo de personal.</w:t>
            </w:r>
          </w:p>
        </w:tc>
      </w:tr>
    </w:tbl>
    <w:p>
      <w:pPr>
        <w:pStyle w:val="Heading1"/>
      </w:pPr>
      <w:r>
        <w:t>8. Educación y credenciales</w:t>
      </w:r>
    </w:p>
    <w:p>
      <w:pPr>
        <w:pStyle w:val="Heading2"/>
      </w:pPr>
      <w:r>
        <w:t>Vías de ingreso</w:t>
      </w:r>
    </w:p>
    <w:p>
      <w:r>
        <w:t>La educación secundaria y capacitación en el trabajo son comunes. Pueden valorarse experiencia con sistemas de almacén, inventario, códigos de barras, montacargas y materiales regulados.</w:t>
      </w:r>
    </w:p>
    <w:p>
      <w:pPr>
        <w:pStyle w:val="ListBullet"/>
      </w:pPr>
      <w:r>
        <w:t>Comenzar con bibliotecas públicas, educación de adultos, instituciones públicas, empleadores, sindicatos, aprendizaje registrado y organizaciones sin fines de lucro reconocidas.</w:t>
      </w:r>
    </w:p>
    <w:p>
      <w:pPr>
        <w:pStyle w:val="ListBullet"/>
      </w:pPr>
      <w:r>
        <w:t>Confirmar si una credencial es legalmente obligatoria, comúnmente preferida u opcional.</w:t>
      </w:r>
    </w:p>
    <w:p>
      <w:pPr>
        <w:pStyle w:val="ListBullet"/>
      </w:pPr>
      <w:r>
        <w:t>Verificar elegibilidad para exámenes, horas supervisadas, prácticas y educación continua antes de matricularse.</w:t>
      </w:r>
    </w:p>
    <w:p>
      <w:pPr>
        <w:pStyle w:val="Heading2"/>
      </w:pPr>
      <w:r>
        <w:t>Verificación de instituciones y programas</w:t>
      </w:r>
    </w:p>
    <w:p>
      <w:pPr>
        <w:pStyle w:val="ListBullet"/>
      </w:pPr>
      <w:r>
        <w:t>Acreditación institucional y programática, cuando corresponda.</w:t>
      </w:r>
    </w:p>
    <w:p>
      <w:pPr>
        <w:pStyle w:val="ListBullet"/>
      </w:pPr>
      <w:r>
        <w:t>Aprobación de la junta de licencias o del regulador.</w:t>
      </w:r>
    </w:p>
    <w:p>
      <w:pPr>
        <w:pStyle w:val="ListBullet"/>
      </w:pPr>
      <w:r>
        <w:t>Transferencia de créditos, portabilidad y reconocimiento por otros empleadores.</w:t>
      </w:r>
    </w:p>
    <w:p>
      <w:pPr>
        <w:pStyle w:val="ListBullet"/>
      </w:pPr>
      <w:r>
        <w:t>Datos de finalización, retiro, aprobación de exámenes, colocación y deuda.</w:t>
      </w:r>
    </w:p>
    <w:p>
      <w:pPr>
        <w:pStyle w:val="ListBullet"/>
      </w:pPr>
      <w:r>
        <w:t>Costo total, reembolsos, acceso a expedientes, plan de cierre y canales de queja.</w:t>
      </w:r>
    </w:p>
    <w:p>
      <w:pPr>
        <w:pStyle w:val="ListBullet"/>
      </w:pPr>
      <w:r>
        <w:t>Accesibilidad en clases, laboratorios, prácticas, aprendizaje y exámenes.</w:t>
      </w:r>
    </w:p>
    <w:p>
      <w:pPr>
        <w:pStyle w:val="Heading1"/>
      </w:pPr>
      <w:r>
        <w:t>9. Aprendizaje financiado por el empleador</w:t>
      </w:r>
    </w:p>
    <w:p>
      <w:pPr>
        <w:pStyle w:val="Heading2"/>
      </w:pPr>
      <w:r>
        <w:t>Asistencia educativa y reembolso</w:t>
      </w:r>
    </w:p>
    <w:p>
      <w:pPr>
        <w:pStyle w:val="ListBullet"/>
      </w:pPr>
      <w:r>
        <w:t>El empleador puede pagar matrícula, tarifas, libros, herramientas, exámenes, licencias, educación continua, transporte o tiempo de capacitación.</w:t>
      </w:r>
    </w:p>
    <w:p>
      <w:pPr>
        <w:pStyle w:val="ListBullet"/>
      </w:pPr>
      <w:r>
        <w:t>El acuerdo puede exigir aprobación previa, calificaciones mínimas, aprobar un examen, buen desempeño o permanencia laboral.</w:t>
      </w:r>
    </w:p>
    <w:p>
      <w:pPr>
        <w:pStyle w:val="ListBullet"/>
      </w:pPr>
      <w:r>
        <w:t>Un compromiso de servicio puede durar hasta dos años y exigir reembolso total o proporcional tras una renuncia voluntaria.</w:t>
      </w:r>
    </w:p>
    <w:p>
      <w:pPr>
        <w:pStyle w:val="ListBullet"/>
      </w:pPr>
      <w:r>
        <w:t>El acuerdo debe abordar despido por reducción de personal, eliminación del cargo, cierre, reestructuración, discapacidad, servicio militar, jubilación y terminación por causa.</w:t>
      </w:r>
    </w:p>
    <w:p>
      <w:pPr>
        <w:pStyle w:val="ListBullet"/>
      </w:pPr>
      <w:r>
        <w:t>No se debe asumir que existe exención por despido; debe estar escrita y revisarse conforme a la ley local.</w:t>
      </w:r>
    </w:p>
    <w:p>
      <w:pPr>
        <w:pStyle w:val="Heading2"/>
      </w:pPr>
      <w:r>
        <w:t>Prácticas, aprendizaje y desarrollo profesional</w:t>
      </w:r>
    </w:p>
    <w:p>
      <w:pPr>
        <w:pStyle w:val="ListBullet"/>
      </w:pPr>
      <w:r>
        <w:t>Verificar salario, beneficios, progresión, horas de clase, supervisión, propiedad de credenciales, transporte, pruebas, listas de espera, cuotas, portabilidad y adaptaciones.</w:t>
      </w:r>
    </w:p>
    <w:p>
      <w:pPr>
        <w:pStyle w:val="ListBullet"/>
      </w:pPr>
      <w:r>
        <w:t>Las prácticas o programas puente deben incluir funciones, supervisión, evaluación y condiciones de salida por escrito.</w:t>
      </w:r>
    </w:p>
    <w:p>
      <w:pPr>
        <w:pStyle w:val="ListBullet"/>
      </w:pPr>
      <w:r>
        <w:t>Los beneficios educativos no garantizan ascenso, colocación, preferencia de horario ni empleo continuo.</w:t>
      </w:r>
    </w:p>
    <w:p>
      <w:pPr>
        <w:pStyle w:val="Heading1"/>
      </w:pPr>
      <w:r>
        <w:t>10. Accesibilidad, seguridad y protección laboral</w:t>
      </w:r>
    </w:p>
    <w:p>
      <w:pPr>
        <w:pStyle w:val="Heading2"/>
      </w:pPr>
      <w:r>
        <w:t>Adaptaciones</w:t>
      </w:r>
    </w:p>
    <w:p>
      <w:pPr>
        <w:pStyle w:val="ListBullet"/>
      </w:pPr>
      <w:r>
        <w:t>Verificar adaptaciones para admisión, sistemas en línea, aulas, herramientas, simulaciones, prácticas, transporte, emergencias y exámenes.</w:t>
      </w:r>
    </w:p>
    <w:p>
      <w:pPr>
        <w:pStyle w:val="ListBullet"/>
      </w:pPr>
      <w:r>
        <w:t>La institución, el empleador, el organismo examinador y el lugar de práctica pueden tener procesos separados.</w:t>
      </w:r>
    </w:p>
    <w:p>
      <w:pPr>
        <w:pStyle w:val="ListBullet"/>
      </w:pPr>
      <w:r>
        <w:t>Considerar subtítulos, intérpretes, lectores de pantalla, equipo ergonómico, espacio tranquilo, horario flexible, métodos modificados y transporte accesible.</w:t>
      </w:r>
    </w:p>
    <w:p>
      <w:pPr>
        <w:pStyle w:val="Heading2"/>
      </w:pPr>
      <w:r>
        <w:t>Seguridad y riesgos laborales</w:t>
      </w:r>
    </w:p>
    <w:p>
      <w:pPr>
        <w:pStyle w:val="ListBullet"/>
      </w:pPr>
      <w:r>
        <w:t>Evaluar riesgos ergonómicos, fatiga, violencia, exposición a material sensible, presión de productividad y trabajo fuera de horario.</w:t>
      </w:r>
    </w:p>
    <w:p>
      <w:pPr>
        <w:pStyle w:val="ListBullet"/>
      </w:pPr>
      <w:r>
        <w:t>Conocer procedimientos de emergencia, reporte de incidentes, compensación laboral y protección contra represalias.</w:t>
      </w:r>
    </w:p>
    <w:p>
      <w:pPr>
        <w:pStyle w:val="ListBullet"/>
      </w:pPr>
      <w:r>
        <w:t>Solicitar apoyo antes de que una limitación se convierta en un riesgo para la persona o para terceros.</w:t>
      </w:r>
    </w:p>
    <w:p>
      <w:pPr>
        <w:pStyle w:val="Heading1"/>
      </w:pPr>
      <w:r>
        <w:t>11. Evidencia de capacidad</w:t>
      </w:r>
    </w:p>
    <w:p>
      <w:pPr>
        <w:pStyle w:val="Heading2"/>
      </w:pPr>
      <w:r>
        <w:t>Proyectos de portafolio</w:t>
      </w:r>
    </w:p>
    <w:p>
      <w:pPr>
        <w:pStyle w:val="ListBullet"/>
      </w:pPr>
      <w:r>
        <w:t>Crear muestras ficticias o totalmente anonimizadas que demuestren planificación, documentación, control de calidad y escalamiento.</w:t>
      </w:r>
    </w:p>
    <w:p>
      <w:pPr>
        <w:pStyle w:val="ListBullet"/>
      </w:pPr>
      <w:r>
        <w:t>No usar datos de clientes, pacientes, empleadores, tribunales, proveedores o expedientes reales sin autorización.</w:t>
      </w:r>
    </w:p>
    <w:p>
      <w:pPr>
        <w:pStyle w:val="ListBullet"/>
      </w:pPr>
      <w:r>
        <w:t>Explicar herramientas utilizadas, decisiones, límites, controles y lecciones aprendidas.</w:t>
      </w:r>
    </w:p>
    <w:p>
      <w:pPr>
        <w:pStyle w:val="Heading2"/>
      </w:pPr>
      <w:r>
        <w:t>Evidencia para el currículum</w:t>
      </w:r>
    </w:p>
    <w:p>
      <w:r>
        <w:t>En el currículum, describa una tarea, el método utilizado, un control de calidad o seguridad y el resultado, sin exagerar. Conserve evidencia verificable y no invente credenciales, referencias ni logros.</w:t>
      </w:r>
    </w:p>
    <w:p>
      <w:pPr>
        <w:pStyle w:val="Heading1"/>
      </w:pPr>
      <w:r>
        <w:t>12. Preparación para entrevistas</w:t>
      </w:r>
    </w:p>
    <w:p>
      <w:pPr>
        <w:pStyle w:val="Heading2"/>
      </w:pPr>
      <w:r>
        <w:t>Preguntas y orientación para responder</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top"/>
          </w:tcPr>
          <w:p>
            <w:pPr>
              <w:spacing w:before="0" w:after="10" w:line="240" w:lineRule="auto"/>
            </w:pPr>
            <w:r>
              <w:t>Pregunta</w:t>
            </w:r>
          </w:p>
        </w:tc>
        <w:tc>
          <w:tcPr>
            <w:tcW w:type="dxa" w:w="5112"/>
            <w:shd w:fill="D9EAF7"/>
            <w:vAlign w:val="top"/>
          </w:tcPr>
          <w:p>
            <w:pPr>
              <w:spacing w:before="0" w:after="10" w:line="240" w:lineRule="auto"/>
            </w:pPr>
            <w:r>
              <w:t>Orientación</w:t>
            </w:r>
          </w:p>
        </w:tc>
      </w:tr>
      <w:tr>
        <w:tc>
          <w:tcPr>
            <w:tcW w:type="dxa" w:w="5112"/>
            <w:vAlign w:val="top"/>
          </w:tcPr>
          <w:p>
            <w:pPr>
              <w:spacing w:before="0" w:after="10" w:line="240" w:lineRule="auto"/>
            </w:pPr>
            <w:r>
              <w:t>Cuénteme sobre una vez que encontró un problema.</w:t>
            </w:r>
          </w:p>
        </w:tc>
        <w:tc>
          <w:tcPr>
            <w:tcW w:type="dxa" w:w="5112"/>
            <w:vAlign w:val="top"/>
          </w:tcPr>
          <w:p>
            <w:pPr>
              <w:spacing w:before="0" w:after="10" w:line="240" w:lineRule="auto"/>
            </w:pPr>
            <w:r>
              <w:t>Explique qué observó, qué autoridad tenía, cómo documentó y cuándo escaló.</w:t>
            </w:r>
          </w:p>
        </w:tc>
      </w:tr>
      <w:tr>
        <w:tc>
          <w:tcPr>
            <w:tcW w:type="dxa" w:w="5112"/>
            <w:vAlign w:val="top"/>
          </w:tcPr>
          <w:p>
            <w:pPr>
              <w:spacing w:before="0" w:after="10" w:line="240" w:lineRule="auto"/>
            </w:pPr>
            <w:r>
              <w:t>¿Cómo protege la seguridad y la información confidencial bajo presión?</w:t>
            </w:r>
          </w:p>
        </w:tc>
        <w:tc>
          <w:tcPr>
            <w:tcW w:type="dxa" w:w="5112"/>
            <w:vAlign w:val="top"/>
          </w:tcPr>
          <w:p>
            <w:pPr>
              <w:spacing w:before="0" w:after="10" w:line="240" w:lineRule="auto"/>
            </w:pPr>
            <w:r>
              <w:t>Use un ejemplo específico o un escenario realista.</w:t>
            </w:r>
          </w:p>
        </w:tc>
      </w:tr>
      <w:tr>
        <w:tc>
          <w:tcPr>
            <w:tcW w:type="dxa" w:w="5112"/>
            <w:vAlign w:val="top"/>
          </w:tcPr>
          <w:p>
            <w:pPr>
              <w:spacing w:before="0" w:after="10" w:line="240" w:lineRule="auto"/>
            </w:pPr>
            <w:r>
              <w:t>¿Qué hace cuando las instrucciones son contradictorias?</w:t>
            </w:r>
          </w:p>
        </w:tc>
        <w:tc>
          <w:tcPr>
            <w:tcW w:type="dxa" w:w="5112"/>
            <w:vAlign w:val="top"/>
          </w:tcPr>
          <w:p>
            <w:pPr>
              <w:spacing w:before="0" w:after="10" w:line="240" w:lineRule="auto"/>
            </w:pPr>
            <w:r>
              <w:t>Detenga la parte afectada, verifique la fuente autorizada y documente la aclaración.</w:t>
            </w:r>
          </w:p>
        </w:tc>
      </w:tr>
    </w:tbl>
    <w:p>
      <w:pPr>
        <w:pStyle w:val="Heading1"/>
      </w:pPr>
      <w:r>
        <w:t>13. Primeros 30, 60 y 90 días</w:t>
      </w:r>
    </w:p>
    <w:p>
      <w:pPr>
        <w:pStyle w:val="Heading2"/>
      </w:pPr>
      <w:r>
        <w:t>Plan de éxito inicial</w:t>
      </w:r>
    </w:p>
    <w:p>
      <w:pPr>
        <w:pStyle w:val="ListBullet"/>
      </w:pPr>
      <w:r>
        <w:rPr>
          <w:b/>
        </w:rPr>
        <w:t xml:space="preserve">Primeros 30 días: </w:t>
      </w:r>
      <w:r>
        <w:t>Aprender funciones, políticas, sistemas, autoridad, seguridad, privacidad y rutas de escalamiento.</w:t>
      </w:r>
    </w:p>
    <w:p>
      <w:pPr>
        <w:pStyle w:val="ListBullet"/>
      </w:pPr>
      <w:r>
        <w:rPr>
          <w:b/>
        </w:rPr>
        <w:t xml:space="preserve">Días 31 a 60: </w:t>
      </w:r>
      <w:r>
        <w:t>Realizar tareas con menor supervisión, mejorar precisión y tiempo, y solicitar retroalimentación documentada.</w:t>
      </w:r>
    </w:p>
    <w:p>
      <w:pPr>
        <w:pStyle w:val="ListBullet"/>
      </w:pPr>
      <w:r>
        <w:rPr>
          <w:b/>
        </w:rPr>
        <w:t xml:space="preserve">Días 61 a 90: </w:t>
      </w:r>
      <w:r>
        <w:t>Demostrar consistencia, identificar una mejora segura, actualizar el plan de desarrollo y confirmar expectativas futuras.</w:t>
      </w:r>
    </w:p>
    <w:p>
      <w:pPr>
        <w:pStyle w:val="Heading1"/>
      </w:pPr>
      <w:r>
        <w:t>14. Avance y planificación de salida</w:t>
      </w:r>
    </w:p>
    <w:p>
      <w:pPr>
        <w:pStyle w:val="Heading2"/>
      </w:pPr>
      <w:r>
        <w:t>Trayectorias profesionales</w:t>
      </w:r>
    </w:p>
    <w:p>
      <w:pPr>
        <w:pStyle w:val="ListBullet"/>
      </w:pPr>
      <w:r>
        <w:t>Mapear puestos de aprendiz, trabajador calificado, especialista, líder, supervisor, instructor, inspector, analista o gerente.</w:t>
      </w:r>
    </w:p>
    <w:p>
      <w:pPr>
        <w:pStyle w:val="ListBullet"/>
      </w:pPr>
      <w:r>
        <w:t>Identificar educación, experiencia, credenciales, evidencia y cambio esperado de responsabilidades y remuneración.</w:t>
      </w:r>
    </w:p>
    <w:p>
      <w:pPr>
        <w:pStyle w:val="ListBullet"/>
      </w:pPr>
      <w:r>
        <w:t>Preguntar si la educación financiada crea obligaciones adicionales de servicio o reembolso.</w:t>
      </w:r>
    </w:p>
    <w:p>
      <w:pPr>
        <w:pStyle w:val="Heading2"/>
      </w:pPr>
      <w:r>
        <w:t>Habilidades transferibles</w:t>
      </w:r>
    </w:p>
    <w:p>
      <w:pPr>
        <w:pStyle w:val="ListBullet"/>
      </w:pPr>
      <w:r>
        <w:t>Conservar expedientes académicos, licencias, certificados, evaluaciones, acuerdos de reembolso y decisiones de adaptación.</w:t>
      </w:r>
    </w:p>
    <w:p>
      <w:pPr>
        <w:pStyle w:val="ListBullet"/>
      </w:pPr>
      <w:r>
        <w:t>Identificar ocupaciones relacionadas que utilicen documentación, servicio, seguridad, análisis, coordinación y tecnología similares.</w:t>
      </w:r>
    </w:p>
    <w:p>
      <w:pPr>
        <w:pStyle w:val="ListBullet"/>
      </w:pPr>
      <w:r>
        <w:t>Planificar qué ocurrirá si no puede terminar la formación, pierde elegibilidad, desarrolla una limitación o necesita otro horario.</w:t>
      </w:r>
    </w:p>
    <w:p>
      <w:pPr>
        <w:pStyle w:val="Heading1"/>
      </w:pPr>
      <w:r>
        <w:t>15. Antes de matricularse o firmar</w:t>
      </w:r>
    </w:p>
    <w:p>
      <w:pPr>
        <w:pStyle w:val="Heading2"/>
      </w:pPr>
      <w:r>
        <w:t>Lista de verificación</w:t>
      </w:r>
    </w:p>
    <w:p>
      <w:pPr>
        <w:pStyle w:val="ListBullet"/>
      </w:pPr>
      <w:r>
        <w:t>Se distinguen claramente los requisitos legales de las preferencias del empleador.</w:t>
      </w:r>
    </w:p>
    <w:p>
      <w:pPr>
        <w:pStyle w:val="ListBullet"/>
      </w:pPr>
      <w:r>
        <w:t>Se verifican acreditación, aprobación, elegibilidad para exámenes y portabilidad.</w:t>
      </w:r>
    </w:p>
    <w:p>
      <w:pPr>
        <w:pStyle w:val="ListBullet"/>
      </w:pPr>
      <w:r>
        <w:t>El costo total incluye herramientas, exámenes, transporte, cuidado infantil, salarios perdidos y renovaciones.</w:t>
      </w:r>
    </w:p>
    <w:p>
      <w:pPr>
        <w:pStyle w:val="ListBullet"/>
      </w:pPr>
      <w:r>
        <w:t>Las condiciones de práctica, aprendizaje o experiencia supervisada están por escrito.</w:t>
      </w:r>
    </w:p>
    <w:p>
      <w:pPr>
        <w:pStyle w:val="ListBullet"/>
      </w:pPr>
      <w:r>
        <w:t>El apoyo educativo, período de servicio, fórmula de reembolso y disposiciones por despido están por escrito.</w:t>
      </w:r>
    </w:p>
    <w:p>
      <w:pPr>
        <w:pStyle w:val="ListBullet"/>
      </w:pPr>
      <w:r>
        <w:t>La accesibilidad se verificó para toda la trayectoria.</w:t>
      </w:r>
    </w:p>
    <w:p>
      <w:pPr>
        <w:pStyle w:val="ListBullet"/>
      </w:pPr>
      <w:r>
        <w:t>Se comprenden los canales de queja, retiro, cierre institucional, acceso a registros y salida.</w:t>
      </w:r>
    </w:p>
    <w:p>
      <w:pPr>
        <w:pStyle w:val="Heading1"/>
      </w:pPr>
      <w:r>
        <w:t>16. Plan de acción de doce semanas</w:t>
      </w:r>
    </w:p>
    <w:p>
      <w:pPr>
        <w:pStyle w:val="Heading2"/>
      </w:pPr>
      <w:r>
        <w:t>Plan secuencial</w:t>
      </w:r>
    </w:p>
    <w:p>
      <w:pPr>
        <w:pStyle w:val="ListNumber"/>
      </w:pPr>
      <w:r>
        <w:t>1. Semanas 1-2: Definir fortalezas, restricciones, necesidades de acceso, horario, transporte y condiciones no negociables.</w:t>
      </w:r>
    </w:p>
    <w:p>
      <w:pPr>
        <w:pStyle w:val="ListNumber"/>
      </w:pPr>
      <w:r>
        <w:t>2. Semanas 3-4: Estudiar funciones, entornos, herramientas, riesgos y límites de alcance.</w:t>
      </w:r>
    </w:p>
    <w:p>
      <w:pPr>
        <w:pStyle w:val="ListNumber"/>
      </w:pPr>
      <w:r>
        <w:t>3. Semanas 5-6: Revisar ofertas locales, salarios, beneficios y requisitos del empleador.</w:t>
      </w:r>
    </w:p>
    <w:p>
      <w:pPr>
        <w:pStyle w:val="ListNumber"/>
      </w:pPr>
      <w:r>
        <w:t>4. Semanas 7-8: Comparar instituciones públicas, programas de aprendizaje, vías del empleador, credenciales y costo total.</w:t>
      </w:r>
    </w:p>
    <w:p>
      <w:pPr>
        <w:pStyle w:val="ListNumber"/>
      </w:pPr>
      <w:r>
        <w:t>5. Semanas 9-10: Verificar financiamiento, acuerdos, adaptaciones, licencias y consecuencias de salida.</w:t>
      </w:r>
    </w:p>
    <w:p>
      <w:pPr>
        <w:pStyle w:val="ListNumber"/>
      </w:pPr>
      <w:r>
        <w:t>6. Semanas 11-12: Completar una muestra ética de trabajo, preparar evidencia para el currículum, practicar entrevistas y decidir si avanzar, pausar o cambiar de dirección.</w:t>
      </w:r>
    </w:p>
    <w:p>
      <w:pPr>
        <w:pStyle w:val="Heading1"/>
      </w:pPr>
      <w:r>
        <w:t>17. Hojas de trabajo</w:t>
      </w:r>
    </w:p>
    <w:p>
      <w:pPr>
        <w:pStyle w:val="Heading2"/>
      </w:pPr>
      <w:r>
        <w:t>Compatibilidad y costos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top"/>
          </w:tcPr>
          <w:p>
            <w:pPr>
              <w:spacing w:before="0" w:after="10" w:line="240" w:lineRule="auto"/>
            </w:pPr>
            <w:r>
              <w:t>Pregunta</w:t>
            </w:r>
          </w:p>
        </w:tc>
        <w:tc>
          <w:tcPr>
            <w:tcW w:type="dxa" w:w="5112"/>
            <w:shd w:fill="D9EAF7"/>
            <w:vAlign w:val="top"/>
          </w:tcPr>
          <w:p>
            <w:pPr>
              <w:spacing w:before="0" w:after="10" w:line="240" w:lineRule="auto"/>
            </w:pPr>
            <w:r>
              <w:t>Notas de la persona lectora</w:t>
            </w:r>
          </w:p>
        </w:tc>
      </w:tr>
      <w:tr>
        <w:tc>
          <w:tcPr>
            <w:tcW w:type="dxa" w:w="5112"/>
            <w:vAlign w:val="top"/>
          </w:tcPr>
          <w:p>
            <w:pPr>
              <w:spacing w:before="0" w:after="10" w:line="240" w:lineRule="auto"/>
            </w:pPr>
            <w:r>
              <w:t>Tareas diarias compatibles conmigo</w:t>
            </w:r>
          </w:p>
        </w:tc>
        <w:tc>
          <w:tcPr>
            <w:tcW w:type="dxa" w:w="5112"/>
            <w:vAlign w:val="top"/>
          </w:tcPr>
          <w:p>
            <w:pPr>
              <w:spacing w:before="0" w:after="10" w:line="240" w:lineRule="auto"/>
            </w:pPr>
            <w:r/>
          </w:p>
        </w:tc>
      </w:tr>
      <w:tr>
        <w:tc>
          <w:tcPr>
            <w:tcW w:type="dxa" w:w="5112"/>
            <w:vAlign w:val="top"/>
          </w:tcPr>
          <w:p>
            <w:pPr>
              <w:spacing w:before="0" w:after="10" w:line="240" w:lineRule="auto"/>
            </w:pPr>
            <w:r>
              <w:t>Condiciones o riesgos que debo evitar</w:t>
            </w:r>
          </w:p>
        </w:tc>
        <w:tc>
          <w:tcPr>
            <w:tcW w:type="dxa" w:w="5112"/>
            <w:vAlign w:val="top"/>
          </w:tcPr>
          <w:p>
            <w:pPr>
              <w:spacing w:before="0" w:after="10" w:line="240" w:lineRule="auto"/>
            </w:pPr>
            <w:r/>
          </w:p>
        </w:tc>
      </w:tr>
      <w:tr>
        <w:tc>
          <w:tcPr>
            <w:tcW w:type="dxa" w:w="5112"/>
            <w:vAlign w:val="top"/>
          </w:tcPr>
          <w:p>
            <w:pPr>
              <w:spacing w:before="0" w:after="10" w:line="240" w:lineRule="auto"/>
            </w:pPr>
            <w:r>
              <w:t>Límites de horario, viaje y transporte</w:t>
            </w:r>
          </w:p>
        </w:tc>
        <w:tc>
          <w:tcPr>
            <w:tcW w:type="dxa" w:w="5112"/>
            <w:vAlign w:val="top"/>
          </w:tcPr>
          <w:p>
            <w:pPr>
              <w:spacing w:before="0" w:after="10" w:line="240" w:lineRule="auto"/>
            </w:pPr>
            <w:r/>
          </w:p>
        </w:tc>
      </w:tr>
      <w:tr>
        <w:tc>
          <w:tcPr>
            <w:tcW w:type="dxa" w:w="5112"/>
            <w:vAlign w:val="top"/>
          </w:tcPr>
          <w:p>
            <w:pPr>
              <w:spacing w:before="0" w:after="10" w:line="240" w:lineRule="auto"/>
            </w:pPr>
            <w:r>
              <w:t>Necesidades de accesibilidad y adaptación</w:t>
            </w:r>
          </w:p>
        </w:tc>
        <w:tc>
          <w:tcPr>
            <w:tcW w:type="dxa" w:w="5112"/>
            <w:vAlign w:val="top"/>
          </w:tcPr>
          <w:p>
            <w:pPr>
              <w:spacing w:before="0" w:after="10" w:line="240" w:lineRule="auto"/>
            </w:pPr>
            <w:r/>
          </w:p>
        </w:tc>
      </w:tr>
      <w:tr>
        <w:tc>
          <w:tcPr>
            <w:tcW w:type="dxa" w:w="5112"/>
            <w:vAlign w:val="top"/>
          </w:tcPr>
          <w:p>
            <w:pPr>
              <w:spacing w:before="0" w:after="10" w:line="240" w:lineRule="auto"/>
            </w:pPr>
            <w:r>
              <w:t>Costo total de educación y credenciales</w:t>
            </w:r>
          </w:p>
        </w:tc>
        <w:tc>
          <w:tcPr>
            <w:tcW w:type="dxa" w:w="5112"/>
            <w:vAlign w:val="top"/>
          </w:tcPr>
          <w:p>
            <w:pPr>
              <w:spacing w:before="0" w:after="10" w:line="240" w:lineRule="auto"/>
            </w:pPr>
            <w:r/>
          </w:p>
        </w:tc>
      </w:tr>
      <w:tr>
        <w:tc>
          <w:tcPr>
            <w:tcW w:type="dxa" w:w="5112"/>
            <w:vAlign w:val="top"/>
          </w:tcPr>
          <w:p>
            <w:pPr>
              <w:spacing w:before="0" w:after="10" w:line="240" w:lineRule="auto"/>
            </w:pPr>
            <w:r>
              <w:t>Apoyo disponible del empleador o sindicato</w:t>
            </w:r>
          </w:p>
        </w:tc>
        <w:tc>
          <w:tcPr>
            <w:tcW w:type="dxa" w:w="5112"/>
            <w:vAlign w:val="top"/>
          </w:tcPr>
          <w:p>
            <w:pPr>
              <w:spacing w:before="0" w:after="10" w:line="240" w:lineRule="auto"/>
            </w:pPr>
            <w:r/>
          </w:p>
        </w:tc>
      </w:tr>
      <w:tr>
        <w:tc>
          <w:tcPr>
            <w:tcW w:type="dxa" w:w="5112"/>
            <w:vAlign w:val="top"/>
          </w:tcPr>
          <w:p>
            <w:pPr>
              <w:spacing w:before="0" w:after="10" w:line="240" w:lineRule="auto"/>
            </w:pPr>
            <w:r>
              <w:t>Obligaciones de servicio y reembolso</w:t>
            </w:r>
          </w:p>
        </w:tc>
        <w:tc>
          <w:tcPr>
            <w:tcW w:type="dxa" w:w="5112"/>
            <w:vAlign w:val="top"/>
          </w:tcPr>
          <w:p>
            <w:pPr>
              <w:spacing w:before="0" w:after="10" w:line="240" w:lineRule="auto"/>
            </w:pPr>
            <w:r/>
          </w:p>
        </w:tc>
      </w:tr>
      <w:tr>
        <w:tc>
          <w:tcPr>
            <w:tcW w:type="dxa" w:w="5112"/>
            <w:vAlign w:val="top"/>
          </w:tcPr>
          <w:p>
            <w:pPr>
              <w:spacing w:before="0" w:after="10" w:line="240" w:lineRule="auto"/>
            </w:pPr>
            <w:r>
              <w:t>Opción de salida si no puedo terminar</w:t>
            </w:r>
          </w:p>
        </w:tc>
        <w:tc>
          <w:tcPr>
            <w:tcW w:type="dxa" w:w="5112"/>
            <w:vAlign w:val="top"/>
          </w:tcPr>
          <w:p>
            <w:pPr>
              <w:spacing w:before="0" w:after="10" w:line="240" w:lineRule="auto"/>
            </w:pPr>
            <w:r/>
          </w:p>
        </w:tc>
      </w:tr>
    </w:tbl>
    <w:p>
      <w:pPr>
        <w:pStyle w:val="Heading1"/>
      </w:pPr>
      <w:r>
        <w:t>18. Fuentes, versión y mantenimiento</w:t>
      </w:r>
    </w:p>
    <w:p>
      <w:pPr>
        <w:pStyle w:val="Heading2"/>
      </w:pPr>
      <w:r>
        <w:t>Fuentes oficiales</w:t>
      </w:r>
    </w:p>
    <w:p>
      <w:pPr>
        <w:pStyle w:val="ListBullet"/>
      </w:pPr>
      <w:r>
        <w:t>U.S. Bureau of Labor Statistics, Occupational Outlook Handbook: https://www.bls.gov/ooh/</w:t>
      </w:r>
    </w:p>
    <w:p>
      <w:pPr>
        <w:pStyle w:val="ListBullet"/>
      </w:pPr>
      <w:r>
        <w:t>Apprenticeship.gov, Registered Apprenticeship Program: https://www.apprenticeship.gov/employers/registered-apprenticeship-program</w:t>
      </w:r>
    </w:p>
    <w:p>
      <w:pPr>
        <w:pStyle w:val="ListBullet"/>
      </w:pPr>
      <w:r>
        <w:t>Apprenticeship.gov, Apprenticeship Job Finder: https://www.apprenticeship.gov/apprenticeship-job-finder</w:t>
      </w:r>
    </w:p>
    <w:p>
      <w:pPr>
        <w:pStyle w:val="ListBullet"/>
      </w:pPr>
      <w:r>
        <w:t>IRS, Education Credits: https://www.irs.gov/credits-deductions/individuals/education-credits-aotc-and-llc</w:t>
      </w:r>
    </w:p>
    <w:p>
      <w:pPr>
        <w:pStyle w:val="ListBullet"/>
      </w:pPr>
      <w:r>
        <w:t>IRS, Section 127 Educational Assistance: https://www.irs.gov/newsroom/irs-updates-frequently-asked-questions-about-section-127-educational-assistance-programs</w:t>
      </w:r>
    </w:p>
    <w:p>
      <w:pPr>
        <w:pStyle w:val="Heading2"/>
      </w:pPr>
      <w:r>
        <w:t>Política de correcciones</w:t>
      </w:r>
    </w:p>
    <w:p>
      <w:pPr>
        <w:pStyle w:val="ListBullet"/>
      </w:pPr>
      <w:r>
        <w:t>Estado: candidato de publicación pendiente de revisión del propietario.</w:t>
      </w:r>
    </w:p>
    <w:p>
      <w:pPr>
        <w:pStyle w:val="ListBullet"/>
      </w:pPr>
      <w:r>
        <w:t>Versión: v1.0, primera edición pública después de aprobación.</w:t>
      </w:r>
    </w:p>
    <w:p>
      <w:pPr>
        <w:pStyle w:val="ListBullet"/>
      </w:pPr>
      <w:r>
        <w:t>Los datos de salarios, perspectivas, impuestos, licencias, acreditación, aprendizaje y financiamiento educativo requieren revisión al menos anual.</w:t>
      </w:r>
    </w:p>
    <w:p>
      <w:pPr>
        <w:pStyle w:val="ListBullet"/>
      </w:pPr>
      <w:r>
        <w:t>Los errores sustanciales, enlaces rotos, barreras de accesibilidad y riesgos de seguridad deben corregirse oportunamente mediante el proceso de incidencias del repositorio.</w:t>
      </w:r>
    </w:p>
    <w:sectPr w:rsidR="00FC693F" w:rsidRPr="0006063C" w:rsidSect="00034616">
      <w:headerReference w:type="default" r:id="rId9"/>
      <w:footerReference w:type="default" r:id="rId10"/>
      <w:pgSz w:w="12240" w:h="15840"/>
      <w:pgMar w:top="835" w:right="1008" w:bottom="835"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Recurso educativo gratuito • Alberto (Al) Leiva • CC BY-NC-SA 4.0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Guías de Oportunidades para Toda la Vida | Especialista en Almacén y Control de Inventario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140" w:after="4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pageBreakBefore w:val="0"/>
      <w:spacing w:before="80" w:after="20"/>
      <w:outlineLvl w:val="1"/>
    </w:pPr>
    <w:rPr>
      <w:rFonts w:asciiTheme="majorHAnsi" w:eastAsiaTheme="majorEastAsia" w:hAnsiTheme="majorHAnsi" w:cstheme="majorBidi" w:ascii="Arial" w:hAnsi="Arial"/>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10" w:line="240" w:lineRule="auto"/>
      <w:contextualSpacing/>
    </w:pPr>
    <w:rPr>
      <w:rFonts w:ascii="Arial" w:hAnsi="Arial"/>
      <w:sz w:val="18"/>
    </w:rPr>
  </w:style>
  <w:style w:type="paragraph" w:styleId="ListBullet2">
    <w:name w:val="List Bullet 2"/>
    <w:basedOn w:val="Normal"/>
    <w:uiPriority w:val="99"/>
    <w:unhideWhenUsed/>
    <w:rsid w:val="00326F90"/>
    <w:pPr>
      <w:numPr>
        <w:numId w:val="2"/>
      </w:numPr>
      <w:spacing w:before="0" w:after="10" w:line="240" w:lineRule="auto"/>
      <w:contextualSpacing/>
    </w:pPr>
    <w:rPr>
      <w:rFonts w:ascii="Arial" w:hAnsi="Arial"/>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10" w:line="240" w:lineRule="auto"/>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