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0031840ecf7dfa2ea2786d458197fbf8c3eb375"/>
    <w:p>
      <w:pPr>
        <w:pStyle w:val="Heading1"/>
      </w:pPr>
      <w:r>
        <w:t xml:space="preserve">Guía de Oportunidades para Toda la Vida 12 — Coordinador y Asistente de Cumplimiento</w:t>
      </w:r>
    </w:p>
    <w:p>
      <w:pPr>
        <w:pStyle w:val="FirstParagraph"/>
      </w:pPr>
      <w:r>
        <w:rPr>
          <w:bCs/>
          <w:b/>
        </w:rPr>
        <w:t xml:space="preserve">Candidato de publicación controlado en español latinoamericano 2026</w:t>
      </w:r>
      <w:r>
        <w:br/>
      </w:r>
      <w:r>
        <w:t xml:space="preserve">Versión 2.0 • agosto de 2026</w:t>
      </w:r>
      <w:r>
        <w:br/>
      </w:r>
      <w:r>
        <w:t xml:space="preserve">Creado y dirigido por Alberto (Al) Leiva</w:t>
      </w:r>
      <w:r>
        <w:br/>
      </w:r>
      <w:r>
        <w:t xml:space="preserve">Investigación, organización, edición y preparación de documentos con asistencia de ChatGPT, OpenAI</w:t>
      </w:r>
    </w:p>
    <w:p>
      <w:pPr>
        <w:pStyle w:val="BlockText"/>
      </w:pPr>
      <w:r>
        <w:rPr>
          <w:bCs/>
          <w:b/>
        </w:rPr>
        <w:t xml:space="preserve">Estado controlado:</w:t>
      </w:r>
      <w:r>
        <w:t xml:space="preserve"> </w:t>
      </w:r>
      <w:r>
        <w:t xml:space="preserve">Este es el maestro de trabajo en español latinoamericano para la revisión de 2026, localizado a partir de la fuente inglesa v2 congelada. Todavía no es un candidato de publicación. Debe superar las verificaciones de terminología, paridad de contenido, enlaces, legibilidad orientada a la accesibilidad, codificación, DOCX, PDF, metadatos, renderizado y publicación antes de su liberación.</w:t>
      </w:r>
    </w:p>
    <w:bookmarkStart w:id="20" w:name="la-promesa-de-esta-guía"/>
    <w:p>
      <w:pPr>
        <w:pStyle w:val="Heading2"/>
      </w:pPr>
      <w:r>
        <w:t xml:space="preserve">La promesa de esta guía</w:t>
      </w:r>
    </w:p>
    <w:p>
      <w:pPr>
        <w:pStyle w:val="FirstParagraph"/>
      </w:pPr>
      <w:r>
        <w:t xml:space="preserve">Esta guía no promete que el trabajo de cumplimiento sea adecuado para todas las personas, que una credencial produzca empleo, que la formación sea gratuita ni que un salario se aplique en todos los lugares. Su propósito es ayudar a comprender el trabajo de apoyo en cumplimiento, comparar rutas de aprendizaje asequibles, reconocer límites profesionales, crear evidencia de capacidad, usar IA de manera responsable y verificar requisitos actuales antes de gastar dinero o aceptar una obligación laboral o de reembolso.</w:t>
      </w:r>
    </w:p>
    <w:bookmarkEnd w:id="20"/>
    <w:bookmarkStart w:id="21" w:name="por-qué-existe-esta-guía"/>
    <w:p>
      <w:pPr>
        <w:pStyle w:val="Heading2"/>
      </w:pPr>
      <w:r>
        <w:t xml:space="preserve">Por qué existe esta guía</w:t>
      </w:r>
    </w:p>
    <w:p>
      <w:pPr>
        <w:pStyle w:val="FirstParagraph"/>
      </w:pPr>
      <w:r>
        <w:rPr>
          <w:rStyle w:val="VerbatimChar"/>
        </w:rPr>
        <w:t xml:space="preserve">Compliance Coordinator</w:t>
      </w:r>
      <w:r>
        <w:t xml:space="preserve"> </w:t>
      </w:r>
      <w:r>
        <w:t xml:space="preserve">y</w:t>
      </w:r>
      <w:r>
        <w:t xml:space="preserve"> </w:t>
      </w:r>
      <w:r>
        <w:rPr>
          <w:rStyle w:val="VerbatimChar"/>
        </w:rPr>
        <w:t xml:space="preserve">Compliance Assistant</w:t>
      </w:r>
      <w:r>
        <w:t xml:space="preserve"> </w:t>
      </w:r>
      <w:r>
        <w:t xml:space="preserve">son títulos amplios. En una empresa pueden significar administración de políticas, recolección de evidencia, registros de capacitación, seguimiento de asuntos y apoyo de auditoría. En otra pueden significar delitos financieros, privacidad, salud, ambiente, seguridad, controles de exportación, calidad, licencias, regulación o cumplimiento del sector público. El plan profesional más seguro comienza con el dominio, las funciones, la autoridad y la jurisdicción reales, no solo con el título.</w:t>
      </w:r>
    </w:p>
    <w:bookmarkEnd w:id="21"/>
    <w:bookmarkStart w:id="22" w:name="reconocimiento-de-la-asistencia-de-ia"/>
    <w:p>
      <w:pPr>
        <w:pStyle w:val="Heading2"/>
      </w:pPr>
      <w:r>
        <w:t xml:space="preserve">Reconocimiento de la asistencia de IA</w:t>
      </w:r>
    </w:p>
    <w:p>
      <w:pPr>
        <w:pStyle w:val="FirstParagraph"/>
      </w:pPr>
      <w:r>
        <w:t xml:space="preserve">Alberto (Al) Leiva concibió y dirige este proyecto y sigue siendo responsable de la guía. ChatGPT de OpenAI se utilizó como herramienta de apoyo para investigación, organización, edición, apoyo de traducción y preparación de documentos. La asistencia de IA no constituye certificación humana independiente, certificación profesional de traducción, acreditación, certificación de accesibilidad, revisión jurídica, certificación de cumplimiento ni sustituto de fuentes oficiales actuales y del juicio humano calificado.</w:t>
      </w:r>
    </w:p>
    <w:bookmarkEnd w:id="22"/>
    <w:bookmarkStart w:id="23" w:name="límites-éticos-y-prácticos"/>
    <w:p>
      <w:pPr>
        <w:pStyle w:val="Heading2"/>
      </w:pPr>
      <w:r>
        <w:t xml:space="preserve">Límites éticos y prácticos</w:t>
      </w:r>
    </w:p>
    <w:p>
      <w:pPr>
        <w:pStyle w:val="FirstParagraph"/>
      </w:pPr>
      <w:r>
        <w:t xml:space="preserve">Esta guía ofrece información general de educación y orientación profesional. No ofrece asesoría individual jurídica, regulatoria, financiera, de privacidad, ciberseguridad, salud, seguridad, ambiente, impuestos, inmigración, licencias ni asesoría profesional. No debe presentarse a un coordinador o asistente como autorizado de manera independiente para interpretar leyes, certificar cumplimiento, hacer declaraciones ante reguladores, realizar análisis jurídicos privilegiados o cerrar investigaciones graves, salvo que el puesto y la jurisdicción realmente otorguen esa autoridad.</w:t>
      </w:r>
    </w:p>
    <w:p>
      <w:r>
        <w:pict>
          <v:rect style="width:0;height:1.5pt" o:hralign="center" o:hrstd="t" o:hr="t"/>
        </w:pict>
      </w:r>
    </w:p>
    <w:bookmarkEnd w:id="23"/>
    <w:bookmarkStart w:id="24" w:name="cómo-usar-esta-guía"/>
    <w:p>
      <w:pPr>
        <w:pStyle w:val="Heading2"/>
      </w:pPr>
      <w:r>
        <w:t xml:space="preserve">1. Cómo usar esta guía</w:t>
      </w:r>
    </w:p>
    <w:p>
      <w:pPr>
        <w:pStyle w:val="FirstParagraph"/>
      </w:pPr>
      <w:r>
        <w:t xml:space="preserve">Comience con vacantes actuales en su mercado objetivo.</w:t>
      </w:r>
    </w:p>
    <w:p>
      <w:pPr>
        <w:numPr>
          <w:ilvl w:val="0"/>
          <w:numId w:val="1001"/>
        </w:numPr>
        <w:pStyle w:val="Compact"/>
      </w:pPr>
      <w:r>
        <w:t xml:space="preserve">Busque</w:t>
      </w:r>
      <w:r>
        <w:t xml:space="preserve"> </w:t>
      </w:r>
      <w:r>
        <w:rPr>
          <w:rStyle w:val="VerbatimChar"/>
        </w:rPr>
        <w:t xml:space="preserve">Compliance Coordinator</w:t>
      </w:r>
      <w:r>
        <w:t xml:space="preserve">,</w:t>
      </w:r>
      <w:r>
        <w:t xml:space="preserve"> </w:t>
      </w:r>
      <w:r>
        <w:rPr>
          <w:rStyle w:val="VerbatimChar"/>
        </w:rPr>
        <w:t xml:space="preserve">Compliance Assistant</w:t>
      </w:r>
      <w:r>
        <w:t xml:space="preserve">,</w:t>
      </w:r>
      <w:r>
        <w:t xml:space="preserve"> </w:t>
      </w:r>
      <w:r>
        <w:rPr>
          <w:rStyle w:val="VerbatimChar"/>
        </w:rPr>
        <w:t xml:space="preserve">Compliance Administrator</w:t>
      </w:r>
      <w:r>
        <w:t xml:space="preserve">,</w:t>
      </w:r>
      <w:r>
        <w:t xml:space="preserve"> </w:t>
      </w:r>
      <w:r>
        <w:rPr>
          <w:rStyle w:val="VerbatimChar"/>
        </w:rPr>
        <w:t xml:space="preserve">Compliance Specialist</w:t>
      </w:r>
      <w:r>
        <w:t xml:space="preserve">,</w:t>
      </w:r>
      <w:r>
        <w:t xml:space="preserve"> </w:t>
      </w:r>
      <w:r>
        <w:rPr>
          <w:rStyle w:val="VerbatimChar"/>
        </w:rPr>
        <w:t xml:space="preserve">Regulatory Coordinator</w:t>
      </w:r>
      <w:r>
        <w:t xml:space="preserve">,</w:t>
      </w:r>
      <w:r>
        <w:t xml:space="preserve"> </w:t>
      </w:r>
      <w:r>
        <w:rPr>
          <w:rStyle w:val="VerbatimChar"/>
        </w:rPr>
        <w:t xml:space="preserve">Risk and Compliance Coordinator</w:t>
      </w:r>
      <w:r>
        <w:t xml:space="preserve">,</w:t>
      </w:r>
      <w:r>
        <w:t xml:space="preserve"> </w:t>
      </w:r>
      <w:r>
        <w:rPr>
          <w:rStyle w:val="VerbatimChar"/>
        </w:rPr>
        <w:t xml:space="preserve">Ethics and Compliance Coordinator</w:t>
      </w:r>
      <w:r>
        <w:t xml:space="preserve"> </w:t>
      </w:r>
      <w:r>
        <w:t xml:space="preserve">y equivalentes locales.</w:t>
      </w:r>
    </w:p>
    <w:p>
      <w:pPr>
        <w:numPr>
          <w:ilvl w:val="0"/>
          <w:numId w:val="1001"/>
        </w:numPr>
        <w:pStyle w:val="Compact"/>
      </w:pPr>
      <w:r>
        <w:t xml:space="preserve">Registre la industria y el dominio antes de comparar requisitos.</w:t>
      </w:r>
    </w:p>
    <w:p>
      <w:pPr>
        <w:numPr>
          <w:ilvl w:val="0"/>
          <w:numId w:val="1001"/>
        </w:numPr>
        <w:pStyle w:val="Compact"/>
      </w:pPr>
      <w:r>
        <w:t xml:space="preserve">Separe el apoyo administrativo del trabajo especializado o sujeto a licencia.</w:t>
      </w:r>
    </w:p>
    <w:p>
      <w:pPr>
        <w:numPr>
          <w:ilvl w:val="0"/>
          <w:numId w:val="1001"/>
        </w:numPr>
        <w:pStyle w:val="Compact"/>
      </w:pPr>
      <w:r>
        <w:t xml:space="preserve">Anote educación, certificaciones, sistemas, idiomas, experiencia en investigaciones, conocimiento regulatorio, reportes, viajes, horario y autoridad requeridos.</w:t>
      </w:r>
    </w:p>
    <w:p>
      <w:pPr>
        <w:numPr>
          <w:ilvl w:val="0"/>
          <w:numId w:val="1001"/>
        </w:numPr>
        <w:pStyle w:val="Compact"/>
      </w:pPr>
      <w:r>
        <w:t xml:space="preserve">Use aprendizaje público, gratuito, financiado por el empleador o basado en el trabajo antes de pagar una credencial privada cuando esas rutas satisfagan el siguiente requisito verificado.</w:t>
      </w:r>
    </w:p>
    <w:p>
      <w:pPr>
        <w:numPr>
          <w:ilvl w:val="0"/>
          <w:numId w:val="1001"/>
        </w:numPr>
        <w:pStyle w:val="Compact"/>
      </w:pPr>
      <w:r>
        <w:t xml:space="preserve">No acepte que un proveedor de formación afirme que un solo certificado habilita para todos los dominios de cumplimiento.</w:t>
      </w:r>
    </w:p>
    <w:bookmarkEnd w:id="24"/>
    <w:bookmarkStart w:id="25" w:name="en-qué-consiste-el-trabajo"/>
    <w:p>
      <w:pPr>
        <w:pStyle w:val="Heading2"/>
      </w:pPr>
      <w:r>
        <w:t xml:space="preserve">2. En qué consiste el trabajo</w:t>
      </w:r>
    </w:p>
    <w:p>
      <w:pPr>
        <w:pStyle w:val="FirstParagraph"/>
      </w:pPr>
      <w:r>
        <w:t xml:space="preserve">Los coordinadores y asistentes de cumplimiento pueden ayudar a una organización a documentar, monitorear, comunicar y mejorar la adhesión a políticas, normas, contratos, leyes o reglamentos dentro de una gobernanza establecida.</w:t>
      </w:r>
    </w:p>
    <w:p>
      <w:pPr>
        <w:pStyle w:val="BodyText"/>
      </w:pPr>
      <w:r>
        <w:t xml:space="preserve">Según el empleador, las funciones pueden incluir:</w:t>
      </w:r>
    </w:p>
    <w:p>
      <w:pPr>
        <w:numPr>
          <w:ilvl w:val="0"/>
          <w:numId w:val="1002"/>
        </w:numPr>
        <w:pStyle w:val="Compact"/>
      </w:pPr>
      <w:r>
        <w:t xml:space="preserve">mantener políticas, procedimientos, registros, evidencia o documentación de controles;</w:t>
      </w:r>
    </w:p>
    <w:p>
      <w:pPr>
        <w:numPr>
          <w:ilvl w:val="0"/>
          <w:numId w:val="1002"/>
        </w:numPr>
        <w:pStyle w:val="Compact"/>
      </w:pPr>
      <w:r>
        <w:t xml:space="preserve">coordinar calendarios de cumplimiento y declaraciones periódicas;</w:t>
      </w:r>
    </w:p>
    <w:p>
      <w:pPr>
        <w:numPr>
          <w:ilvl w:val="0"/>
          <w:numId w:val="1002"/>
        </w:numPr>
        <w:pStyle w:val="Compact"/>
      </w:pPr>
      <w:r>
        <w:t xml:space="preserve">recopilar evidencia para auditorías, evaluaciones, revisiones o solicitudes de reguladores;</w:t>
      </w:r>
    </w:p>
    <w:p>
      <w:pPr>
        <w:numPr>
          <w:ilvl w:val="0"/>
          <w:numId w:val="1002"/>
        </w:numPr>
        <w:pStyle w:val="Compact"/>
      </w:pPr>
      <w:r>
        <w:t xml:space="preserve">dar seguimiento a hallazgos, excepciones, acciones correctivas y fechas límite;</w:t>
      </w:r>
    </w:p>
    <w:p>
      <w:pPr>
        <w:numPr>
          <w:ilvl w:val="0"/>
          <w:numId w:val="1002"/>
        </w:numPr>
        <w:pStyle w:val="Compact"/>
      </w:pPr>
      <w:r>
        <w:t xml:space="preserve">apoyar capacitación de empleados y registros de finalización;</w:t>
      </w:r>
    </w:p>
    <w:p>
      <w:pPr>
        <w:numPr>
          <w:ilvl w:val="0"/>
          <w:numId w:val="1002"/>
        </w:numPr>
        <w:pStyle w:val="Compact"/>
      </w:pPr>
      <w:r>
        <w:t xml:space="preserve">organizar certificaciones, licencias, permisos o presentaciones requeridas;</w:t>
      </w:r>
    </w:p>
    <w:p>
      <w:pPr>
        <w:numPr>
          <w:ilvl w:val="0"/>
          <w:numId w:val="1002"/>
        </w:numPr>
        <w:pStyle w:val="Compact"/>
      </w:pPr>
      <w:r>
        <w:t xml:space="preserve">monitorear bandejas de entrada, colas de casos, quejas, registros de líneas éticas o canales de escalamiento;</w:t>
      </w:r>
    </w:p>
    <w:p>
      <w:pPr>
        <w:numPr>
          <w:ilvl w:val="0"/>
          <w:numId w:val="1002"/>
        </w:numPr>
        <w:pStyle w:val="Compact"/>
      </w:pPr>
      <w:r>
        <w:t xml:space="preserve">preparar tableros e informes de estado;</w:t>
      </w:r>
    </w:p>
    <w:p>
      <w:pPr>
        <w:numPr>
          <w:ilvl w:val="0"/>
          <w:numId w:val="1002"/>
        </w:numPr>
        <w:pStyle w:val="Compact"/>
      </w:pPr>
      <w:r>
        <w:t xml:space="preserve">apoyar debida diligencia o incorporación de terceros;</w:t>
      </w:r>
    </w:p>
    <w:p>
      <w:pPr>
        <w:numPr>
          <w:ilvl w:val="0"/>
          <w:numId w:val="1002"/>
        </w:numPr>
        <w:pStyle w:val="Compact"/>
      </w:pPr>
      <w:r>
        <w:t xml:space="preserve">documentar reuniones y acciones;</w:t>
      </w:r>
    </w:p>
    <w:p>
      <w:pPr>
        <w:numPr>
          <w:ilvl w:val="0"/>
          <w:numId w:val="1002"/>
        </w:numPr>
        <w:pStyle w:val="Compact"/>
      </w:pPr>
      <w:r>
        <w:t xml:space="preserve">mantener expedientes confidenciales de investigaciones o revisiones cuando exista autorización; y</w:t>
      </w:r>
    </w:p>
    <w:p>
      <w:pPr>
        <w:numPr>
          <w:ilvl w:val="0"/>
          <w:numId w:val="1002"/>
        </w:numPr>
        <w:pStyle w:val="Compact"/>
      </w:pPr>
      <w:r>
        <w:t xml:space="preserve">escalar posibles incumplimientos o fallas de control sin resolver.</w:t>
      </w:r>
    </w:p>
    <w:p>
      <w:pPr>
        <w:pStyle w:val="FirstParagraph"/>
      </w:pPr>
      <w:r>
        <w:t xml:space="preserve">El referente amplio más cercano del BLS de Estados Unidos es</w:t>
      </w:r>
      <w:r>
        <w:t xml:space="preserve"> </w:t>
      </w:r>
      <w:r>
        <w:rPr>
          <w:bCs/>
          <w:b/>
        </w:rPr>
        <w:t xml:space="preserve">Compliance Officers</w:t>
      </w:r>
      <w:r>
        <w:t xml:space="preserve">. No es una equivalencia uno a uno para cada puesto de asistente o coordinador.</w:t>
      </w:r>
    </w:p>
    <w:bookmarkEnd w:id="25"/>
    <w:bookmarkStart w:id="26" w:name="dominios-y-un-ciclo-de-trabajo-realista"/>
    <w:p>
      <w:pPr>
        <w:pStyle w:val="Heading2"/>
      </w:pPr>
      <w:r>
        <w:t xml:space="preserve">3. Dominios y un ciclo de trabajo realista</w:t>
      </w:r>
    </w:p>
    <w:p>
      <w:pPr>
        <w:pStyle w:val="FirstParagraph"/>
      </w:pPr>
      <w:r>
        <w:t xml:space="preserve">Los dominios comunes incluyen ética corporativa, servicios financieros, AML/KYC, privacidad, ciberseguridad, salud, farmacéutica, ambiente, seguridad laboral, calidad, controles de exportación, contratación pública, gestión documental, licencias y regulación sectorial.</w:t>
      </w:r>
    </w:p>
    <w:p>
      <w:pPr>
        <w:pStyle w:val="BodyText"/>
      </w:pPr>
      <w:r>
        <w:t xml:space="preserve">Un ciclo de apoyo realista puede ser:</w:t>
      </w:r>
    </w:p>
    <w:p>
      <w:pPr>
        <w:numPr>
          <w:ilvl w:val="0"/>
          <w:numId w:val="1003"/>
        </w:numPr>
        <w:pStyle w:val="Compact"/>
      </w:pPr>
      <w:r>
        <w:t xml:space="preserve">Identificar el requisito, política, control o solicitud de evidencia aplicable.</w:t>
      </w:r>
    </w:p>
    <w:p>
      <w:pPr>
        <w:numPr>
          <w:ilvl w:val="0"/>
          <w:numId w:val="1003"/>
        </w:numPr>
        <w:pStyle w:val="Compact"/>
      </w:pPr>
      <w:r>
        <w:t xml:space="preserve">Confirmar responsable y fecha límite.</w:t>
      </w:r>
    </w:p>
    <w:p>
      <w:pPr>
        <w:numPr>
          <w:ilvl w:val="0"/>
          <w:numId w:val="1003"/>
        </w:numPr>
        <w:pStyle w:val="Compact"/>
      </w:pPr>
      <w:r>
        <w:t xml:space="preserve">Recopilar evidencia aprobada sin alterarla ni fecharla retroactivamente.</w:t>
      </w:r>
    </w:p>
    <w:p>
      <w:pPr>
        <w:numPr>
          <w:ilvl w:val="0"/>
          <w:numId w:val="1003"/>
        </w:numPr>
        <w:pStyle w:val="Compact"/>
      </w:pPr>
      <w:r>
        <w:t xml:space="preserve">Verificar integridad según la lista o procedimiento establecido.</w:t>
      </w:r>
    </w:p>
    <w:p>
      <w:pPr>
        <w:numPr>
          <w:ilvl w:val="0"/>
          <w:numId w:val="1003"/>
        </w:numPr>
        <w:pStyle w:val="Compact"/>
      </w:pPr>
      <w:r>
        <w:t xml:space="preserve">Registrar con precisión excepciones, evidencia faltante o asuntos vencidos.</w:t>
      </w:r>
    </w:p>
    <w:p>
      <w:pPr>
        <w:numPr>
          <w:ilvl w:val="0"/>
          <w:numId w:val="1003"/>
        </w:numPr>
        <w:pStyle w:val="Compact"/>
      </w:pPr>
      <w:r>
        <w:t xml:space="preserve">Escalar preguntas de interpretación al profesional responsable de cumplimiento, jurídico, privacidad, seguridad, finanzas, salud, ingeniería o regulación.</w:t>
      </w:r>
    </w:p>
    <w:p>
      <w:pPr>
        <w:numPr>
          <w:ilvl w:val="0"/>
          <w:numId w:val="1003"/>
        </w:numPr>
        <w:pStyle w:val="Compact"/>
      </w:pPr>
      <w:r>
        <w:t xml:space="preserve">Dar seguimiento a remediación y conservar evidencia.</w:t>
      </w:r>
    </w:p>
    <w:p>
      <w:pPr>
        <w:numPr>
          <w:ilvl w:val="0"/>
          <w:numId w:val="1003"/>
        </w:numPr>
        <w:pStyle w:val="Compact"/>
      </w:pPr>
      <w:r>
        <w:t xml:space="preserve">Reportar estado sin ocultar fallas ni exagerar aseguramiento.</w:t>
      </w:r>
    </w:p>
    <w:p>
      <w:pPr>
        <w:numPr>
          <w:ilvl w:val="0"/>
          <w:numId w:val="1003"/>
        </w:numPr>
        <w:pStyle w:val="Compact"/>
      </w:pPr>
      <w:r>
        <w:t xml:space="preserve">Cerrar el asunto solo cuando existan evidencia y aprobación requeridas.</w:t>
      </w:r>
    </w:p>
    <w:bookmarkEnd w:id="26"/>
    <w:bookmarkStart w:id="27" w:name="X61e241ecafcc736543d55b315ab0d0f11306d9b"/>
    <w:p>
      <w:pPr>
        <w:pStyle w:val="Heading2"/>
      </w:pPr>
      <w:r>
        <w:t xml:space="preserve">4. Compatibilidad, condiciones de trabajo y accesibilidad</w:t>
      </w:r>
    </w:p>
    <w:p>
      <w:pPr>
        <w:pStyle w:val="FirstParagraph"/>
      </w:pPr>
      <w:r>
        <w:t xml:space="preserve">Pregúntese:</w:t>
      </w:r>
    </w:p>
    <w:p>
      <w:pPr>
        <w:numPr>
          <w:ilvl w:val="0"/>
          <w:numId w:val="1004"/>
        </w:numPr>
        <w:pStyle w:val="Compact"/>
      </w:pPr>
      <w:r>
        <w:t xml:space="preserve">¿Puedo trabajar cuidadosamente con políticas, evidencia, fechas y registros?</w:t>
      </w:r>
    </w:p>
    <w:p>
      <w:pPr>
        <w:numPr>
          <w:ilvl w:val="0"/>
          <w:numId w:val="1004"/>
        </w:numPr>
        <w:pStyle w:val="Compact"/>
      </w:pPr>
      <w:r>
        <w:t xml:space="preserve">¿Puedo reportar un hallazgo incómodo sin cambiar los hechos?</w:t>
      </w:r>
    </w:p>
    <w:p>
      <w:pPr>
        <w:numPr>
          <w:ilvl w:val="0"/>
          <w:numId w:val="1004"/>
        </w:numPr>
        <w:pStyle w:val="Compact"/>
      </w:pPr>
      <w:r>
        <w:t xml:space="preserve">¿Puedo distinguir un documento faltante de una prueba de cumplimiento?</w:t>
      </w:r>
    </w:p>
    <w:p>
      <w:pPr>
        <w:numPr>
          <w:ilvl w:val="0"/>
          <w:numId w:val="1004"/>
        </w:numPr>
        <w:pStyle w:val="Compact"/>
      </w:pPr>
      <w:r>
        <w:t xml:space="preserve">¿Puedo proteger información confidencial de empleados, clientes, proveedores, investigaciones y reguladores?</w:t>
      </w:r>
    </w:p>
    <w:p>
      <w:pPr>
        <w:numPr>
          <w:ilvl w:val="0"/>
          <w:numId w:val="1004"/>
        </w:numPr>
        <w:pStyle w:val="Compact"/>
      </w:pPr>
      <w:r>
        <w:t xml:space="preserve">¿Puedo aprender el vocabulario de una industria sin fingir ser abogado o experto licenciado?</w:t>
      </w:r>
    </w:p>
    <w:p>
      <w:pPr>
        <w:numPr>
          <w:ilvl w:val="0"/>
          <w:numId w:val="1004"/>
        </w:numPr>
        <w:pStyle w:val="Compact"/>
      </w:pPr>
      <w:r>
        <w:t xml:space="preserve">¿Puedo mantener independencia si un gerente me presiona para marcar algo como completo?</w:t>
      </w:r>
    </w:p>
    <w:p>
      <w:pPr>
        <w:numPr>
          <w:ilvl w:val="0"/>
          <w:numId w:val="1004"/>
        </w:numPr>
        <w:pStyle w:val="Compact"/>
      </w:pPr>
      <w:r>
        <w:t xml:space="preserve">¿Puedo usar hojas de cálculo, sistemas de flujo, repositorios documentales y herramientas de reporte con precisión?</w:t>
      </w:r>
    </w:p>
    <w:p>
      <w:pPr>
        <w:pStyle w:val="FirstParagraph"/>
      </w:pPr>
      <w:r>
        <w:t xml:space="preserve">El trabajo suele ser de oficina, híbrido o remoto, pero algunos puestos requieren visitas, auditorías, entrevistas, inspecciones, viajes o trabajo en instalaciones reguladas. Las necesidades de accesibilidad pueden relacionarse con el tiempo frente a pantallas, la carga de lectura, las reuniones, las exigencias de audición o habla, los viajes, el acceso físico, las condiciones sensoriales o la rigidez del horario. Verifique funciones esenciales y opciones razonables de adaptación en la jurisdicción correspondiente.</w:t>
      </w:r>
    </w:p>
    <w:bookmarkEnd w:id="27"/>
    <w:bookmarkStart w:id="28" w:name="Xfbac4acc4d11cb8450bd5ea1a73660af710bcde"/>
    <w:p>
      <w:pPr>
        <w:pStyle w:val="Heading2"/>
      </w:pPr>
      <w:r>
        <w:t xml:space="preserve">5. Ética, privacidad, integridad de evidencia y escalamiento</w:t>
      </w:r>
    </w:p>
    <w:p>
      <w:pPr>
        <w:pStyle w:val="FirstParagraph"/>
      </w:pPr>
      <w:r>
        <w:t xml:space="preserve">Nunca:</w:t>
      </w:r>
    </w:p>
    <w:p>
      <w:pPr>
        <w:numPr>
          <w:ilvl w:val="0"/>
          <w:numId w:val="1005"/>
        </w:numPr>
        <w:pStyle w:val="Compact"/>
      </w:pPr>
      <w:r>
        <w:t xml:space="preserve">fabrique, altere, retrodate, elimine u oculte evidencia de cumplimiento;</w:t>
      </w:r>
    </w:p>
    <w:p>
      <w:pPr>
        <w:numPr>
          <w:ilvl w:val="0"/>
          <w:numId w:val="1005"/>
        </w:numPr>
        <w:pStyle w:val="Compact"/>
      </w:pPr>
      <w:r>
        <w:t xml:space="preserve">marque un control como eficaz cuando falta evidencia requerida;</w:t>
      </w:r>
    </w:p>
    <w:p>
      <w:pPr>
        <w:numPr>
          <w:ilvl w:val="0"/>
          <w:numId w:val="1005"/>
        </w:numPr>
        <w:pStyle w:val="Compact"/>
      </w:pPr>
      <w:r>
        <w:t xml:space="preserve">tergiverse el alcance o resultado de una auditoría, prueba, investigación o certificación;</w:t>
      </w:r>
    </w:p>
    <w:p>
      <w:pPr>
        <w:numPr>
          <w:ilvl w:val="0"/>
          <w:numId w:val="1005"/>
        </w:numPr>
        <w:pStyle w:val="Compact"/>
      </w:pPr>
      <w:r>
        <w:t xml:space="preserve">divulgue información confidencial de líneas éticas, investigaciones, salud, finanzas, empleados, clientes o asuntos jurídicos sin autorización;</w:t>
      </w:r>
    </w:p>
    <w:p>
      <w:pPr>
        <w:numPr>
          <w:ilvl w:val="0"/>
          <w:numId w:val="1005"/>
        </w:numPr>
        <w:pStyle w:val="Compact"/>
      </w:pPr>
      <w:r>
        <w:t xml:space="preserve">tome represalias o exponga a un denunciante en contra de política o ley;</w:t>
      </w:r>
    </w:p>
    <w:p>
      <w:pPr>
        <w:numPr>
          <w:ilvl w:val="0"/>
          <w:numId w:val="1005"/>
        </w:numPr>
        <w:pStyle w:val="Compact"/>
      </w:pPr>
      <w:r>
        <w:t xml:space="preserve">dé conclusiones jurídicas más allá de su autoridad;</w:t>
      </w:r>
    </w:p>
    <w:p>
      <w:pPr>
        <w:numPr>
          <w:ilvl w:val="0"/>
          <w:numId w:val="1005"/>
        </w:numPr>
        <w:pStyle w:val="Compact"/>
      </w:pPr>
      <w:r>
        <w:t xml:space="preserve">use un servicio de IA no aprobado para casos confidenciales, datos regulados o evidencia;</w:t>
      </w:r>
    </w:p>
    <w:p>
      <w:pPr>
        <w:numPr>
          <w:ilvl w:val="0"/>
          <w:numId w:val="1005"/>
        </w:numPr>
        <w:pStyle w:val="Compact"/>
      </w:pPr>
      <w:r>
        <w:t xml:space="preserve">permita que la IA tome decisiones finales disciplinarias, jurídicas, regulatorias, de fraude, sanciones o seguridad; ni</w:t>
      </w:r>
    </w:p>
    <w:p>
      <w:pPr>
        <w:numPr>
          <w:ilvl w:val="0"/>
          <w:numId w:val="1005"/>
        </w:numPr>
        <w:pStyle w:val="Compact"/>
      </w:pPr>
      <w:r>
        <w:t xml:space="preserve">afirme certificaciones, licencias, autorizaciones o aprobaciones que no posee.</w:t>
      </w:r>
    </w:p>
    <w:p>
      <w:pPr>
        <w:pStyle w:val="FirstParagraph"/>
      </w:pPr>
      <w:r>
        <w:t xml:space="preserve">Escale sospechas de fraude, soborno, represalias, riesgo de seguridad, violaciones de privacidad, asuntos de sanciones, conducta criminal, fallas materiales de control, manipulación de evidencia o asuntos sensibles para reguladores mediante el canal autorizado.</w:t>
      </w:r>
    </w:p>
    <w:bookmarkEnd w:id="28"/>
    <w:bookmarkStart w:id="32" w:name="X4ea17fe45f765f0226a9a64cc7e0166e603caf2"/>
    <w:p>
      <w:pPr>
        <w:pStyle w:val="Heading2"/>
      </w:pPr>
      <w:r>
        <w:t xml:space="preserve">6. Salarios, perspectivas e investigación actual</w:t>
      </w:r>
    </w:p>
    <w:bookmarkStart w:id="29" w:name="estados-unidos-referente-oficial-del-bls"/>
    <w:p>
      <w:pPr>
        <w:pStyle w:val="Heading3"/>
      </w:pPr>
      <w:r>
        <w:t xml:space="preserve">Estados Unidos — referente oficial del BLS</w:t>
      </w:r>
    </w:p>
    <w:p>
      <w:pPr>
        <w:pStyle w:val="FirstParagraph"/>
      </w:pPr>
      <w:r>
        <w:t xml:space="preserve">La Oficina de Estadísticas Laborales de Estados Unidos informa que</w:t>
      </w:r>
      <w:r>
        <w:t xml:space="preserve"> </w:t>
      </w:r>
      <w:r>
        <w:rPr>
          <w:bCs/>
          <w:b/>
        </w:rPr>
        <w:t xml:space="preserve">Compliance Officers</w:t>
      </w:r>
      <w:r>
        <w:t xml:space="preserve"> </w:t>
      </w:r>
      <w:r>
        <w:t xml:space="preserve">tuvo un salario anual mediano de</w:t>
      </w:r>
      <w:r>
        <w:t xml:space="preserve"> </w:t>
      </w:r>
      <w:r>
        <w:rPr>
          <w:bCs/>
          <w:b/>
        </w:rPr>
        <w:t xml:space="preserve">$78,420 en mayo de 2024</w:t>
      </w:r>
      <w:r>
        <w:t xml:space="preserve">. Se proyecta un crecimiento del empleo de</w:t>
      </w:r>
      <w:r>
        <w:t xml:space="preserve"> </w:t>
      </w:r>
      <w:r>
        <w:rPr>
          <w:bCs/>
          <w:b/>
        </w:rPr>
        <w:t xml:space="preserve">3% entre 2024 y 2034</w:t>
      </w:r>
      <w:r>
        <w:t xml:space="preserve">, con aproximadamente</w:t>
      </w:r>
      <w:r>
        <w:t xml:space="preserve"> </w:t>
      </w:r>
      <w:r>
        <w:rPr>
          <w:bCs/>
          <w:b/>
        </w:rPr>
        <w:t xml:space="preserve">33,300 vacantes por año</w:t>
      </w:r>
      <w:r>
        <w:t xml:space="preserve"> </w:t>
      </w:r>
      <w:r>
        <w:t xml:space="preserve">en promedio durante la década.</w:t>
      </w:r>
    </w:p>
    <w:p>
      <w:pPr>
        <w:pStyle w:val="BodyText"/>
      </w:pPr>
      <w:r>
        <w:t xml:space="preserve">Estas son cifras a nivel ocupacional. Un coordinador o asistente puede ser más junior y ganar menos; los puestos especializados pueden exigir mayor experiencia y pagar de manera diferente.</w:t>
      </w:r>
    </w:p>
    <w:p>
      <w:pPr>
        <w:pStyle w:val="BodyText"/>
      </w:pPr>
      <w:r>
        <w:t xml:space="preserve">Fuente:</w:t>
      </w:r>
      <w:r>
        <w:br/>
      </w:r>
      <w:r>
        <w:t xml:space="preserve">https://www.bls.gov/ooh/business-and-financial/compliance-officers.htm</w:t>
      </w:r>
    </w:p>
    <w:bookmarkEnd w:id="29"/>
    <w:bookmarkStart w:id="30" w:name="canadá-el-mapeo-depende-del-dominio"/>
    <w:p>
      <w:pPr>
        <w:pStyle w:val="Heading3"/>
      </w:pPr>
      <w:r>
        <w:t xml:space="preserve">Canadá — el mapeo depende del dominio</w:t>
      </w:r>
    </w:p>
    <w:p>
      <w:pPr>
        <w:pStyle w:val="FirstParagraph"/>
      </w:pPr>
      <w:r>
        <w:t xml:space="preserve">Job Bank del Gobierno de Canadá asigna</w:t>
      </w:r>
      <w:r>
        <w:t xml:space="preserve"> </w:t>
      </w:r>
      <w:r>
        <w:rPr>
          <w:rStyle w:val="VerbatimChar"/>
        </w:rPr>
        <w:t xml:space="preserve">Regulatory Compliance Officer</w:t>
      </w:r>
      <w:r>
        <w:t xml:space="preserve"> </w:t>
      </w:r>
      <w:r>
        <w:t xml:space="preserve">a</w:t>
      </w:r>
      <w:r>
        <w:t xml:space="preserve"> </w:t>
      </w:r>
      <w:r>
        <w:rPr>
          <w:bCs/>
          <w:b/>
        </w:rPr>
        <w:t xml:space="preserve">NOC 11201</w:t>
      </w:r>
      <w:r>
        <w:t xml:space="preserve"> </w:t>
      </w:r>
      <w:r>
        <w:t xml:space="preserve">e informa salarios horarios nacionales, actualizados el 19 de noviembre de 2025 para el período de referencia 2023–2024, de</w:t>
      </w:r>
      <w:r>
        <w:t xml:space="preserve"> </w:t>
      </w:r>
      <w:r>
        <w:rPr>
          <w:bCs/>
          <w:b/>
        </w:rPr>
        <w:t xml:space="preserve">C$27.00 bajo, C$44.10 mediano y C$69.71 alto</w:t>
      </w:r>
      <w:r>
        <w:t xml:space="preserve">.</w:t>
      </w:r>
    </w:p>
    <w:p>
      <w:pPr>
        <w:pStyle w:val="BodyText"/>
      </w:pPr>
      <w:r>
        <w:t xml:space="preserve">Job Bank asigna por separado</w:t>
      </w:r>
      <w:r>
        <w:t xml:space="preserve"> </w:t>
      </w:r>
      <w:r>
        <w:rPr>
          <w:rStyle w:val="VerbatimChar"/>
        </w:rPr>
        <w:t xml:space="preserve">Financial Compliance Officer</w:t>
      </w:r>
      <w:r>
        <w:t xml:space="preserve"> </w:t>
      </w:r>
      <w:r>
        <w:t xml:space="preserve">a</w:t>
      </w:r>
      <w:r>
        <w:t xml:space="preserve"> </w:t>
      </w:r>
      <w:r>
        <w:rPr>
          <w:bCs/>
          <w:b/>
        </w:rPr>
        <w:t xml:space="preserve">NOC 11109</w:t>
      </w:r>
      <w:r>
        <w:t xml:space="preserve">, con salarios nacionales de</w:t>
      </w:r>
      <w:r>
        <w:t xml:space="preserve"> </w:t>
      </w:r>
      <w:r>
        <w:rPr>
          <w:bCs/>
          <w:b/>
        </w:rPr>
        <w:t xml:space="preserve">C$24.04 bajo, C$38.46 mediano y C$66.67 alto</w:t>
      </w:r>
      <w:r>
        <w:t xml:space="preserve"> </w:t>
      </w:r>
      <w:r>
        <w:t xml:space="preserve">para el mismo período. La diferencia muestra por qué debe identificarse el dominio real antes de usar un referente salarial.</w:t>
      </w:r>
    </w:p>
    <w:p>
      <w:pPr>
        <w:pStyle w:val="BodyText"/>
      </w:pPr>
      <w:r>
        <w:t xml:space="preserve">Fuentes:</w:t>
      </w:r>
      <w:r>
        <w:br/>
      </w:r>
      <w:r>
        <w:t xml:space="preserve">https://www.jobbank.gc.ca/marketreport/wages-occupation/27323/ca</w:t>
      </w:r>
      <w:r>
        <w:br/>
      </w:r>
      <w:r>
        <w:t xml:space="preserve">https://www.jobbank.gc.ca/marketreport/wages-occupation/296408/ca</w:t>
      </w:r>
    </w:p>
    <w:bookmarkEnd w:id="30"/>
    <w:bookmarkStart w:id="31" w:name="colombia-y-américa-latina"/>
    <w:p>
      <w:pPr>
        <w:pStyle w:val="Heading3"/>
      </w:pPr>
      <w:r>
        <w:t xml:space="preserve">Colombia y América Latina</w:t>
      </w:r>
    </w:p>
    <w:p>
      <w:pPr>
        <w:pStyle w:val="FirstParagraph"/>
      </w:pPr>
      <w:r>
        <w:t xml:space="preserve">No invente un salario o credencial regional única. Busque títulos locales como</w:t>
      </w:r>
      <w:r>
        <w:t xml:space="preserve"> </w:t>
      </w:r>
      <w:r>
        <w:rPr>
          <w:rStyle w:val="VerbatimChar"/>
        </w:rPr>
        <w:t xml:space="preserve">cumplimiento</w:t>
      </w:r>
      <w:r>
        <w:t xml:space="preserve">,</w:t>
      </w:r>
      <w:r>
        <w:t xml:space="preserve"> </w:t>
      </w:r>
      <w:r>
        <w:rPr>
          <w:rStyle w:val="VerbatimChar"/>
        </w:rPr>
        <w:t xml:space="preserve">cumplimiento normativo</w:t>
      </w:r>
      <w:r>
        <w:t xml:space="preserve">,</w:t>
      </w:r>
      <w:r>
        <w:t xml:space="preserve"> </w:t>
      </w:r>
      <w:r>
        <w:rPr>
          <w:rStyle w:val="VerbatimChar"/>
        </w:rPr>
        <w:t xml:space="preserve">riesgo y cumplimiento</w:t>
      </w:r>
      <w:r>
        <w:t xml:space="preserve">,</w:t>
      </w:r>
      <w:r>
        <w:t xml:space="preserve"> </w:t>
      </w:r>
      <w:r>
        <w:rPr>
          <w:rStyle w:val="VerbatimChar"/>
        </w:rPr>
        <w:t xml:space="preserve">control interno</w:t>
      </w:r>
      <w:r>
        <w:t xml:space="preserve">,</w:t>
      </w:r>
      <w:r>
        <w:t xml:space="preserve"> </w:t>
      </w:r>
      <w:r>
        <w:rPr>
          <w:rStyle w:val="VerbatimChar"/>
        </w:rPr>
        <w:t xml:space="preserve">ética y cumplimiento</w:t>
      </w:r>
      <w:r>
        <w:t xml:space="preserve">,</w:t>
      </w:r>
      <w:r>
        <w:t xml:space="preserve"> </w:t>
      </w:r>
      <w:r>
        <w:rPr>
          <w:rStyle w:val="VerbatimChar"/>
        </w:rPr>
        <w:t xml:space="preserve">protección de datos</w:t>
      </w:r>
      <w:r>
        <w:t xml:space="preserve">,</w:t>
      </w:r>
      <w:r>
        <w:t xml:space="preserve"> </w:t>
      </w:r>
      <w:r>
        <w:rPr>
          <w:rStyle w:val="VerbatimChar"/>
        </w:rPr>
        <w:t xml:space="preserve">SARLAFT</w:t>
      </w:r>
      <w:r>
        <w:t xml:space="preserve">,</w:t>
      </w:r>
      <w:r>
        <w:t xml:space="preserve"> </w:t>
      </w:r>
      <w:r>
        <w:rPr>
          <w:rStyle w:val="VerbatimChar"/>
        </w:rPr>
        <w:t xml:space="preserve">prevención de lavado</w:t>
      </w:r>
      <w:r>
        <w:t xml:space="preserve"> </w:t>
      </w:r>
      <w:r>
        <w:t xml:space="preserve">y equivalentes específicos del dominio. Compare funciones reales y vacantes públicas o de empleadores actuales.</w:t>
      </w:r>
    </w:p>
    <w:bookmarkEnd w:id="31"/>
    <w:bookmarkEnd w:id="32"/>
    <w:bookmarkStart w:id="33" w:name="X9b92d22b3a1eb0e3798338da01a27c8713fda87"/>
    <w:p>
      <w:pPr>
        <w:pStyle w:val="Heading2"/>
      </w:pPr>
      <w:r>
        <w:t xml:space="preserve">7. Educación, credenciales y aprendizaje gratuito primero</w:t>
      </w:r>
    </w:p>
    <w:p>
      <w:pPr>
        <w:pStyle w:val="FirstParagraph"/>
      </w:pPr>
      <w:r>
        <w:t xml:space="preserve">No existe una credencial universal para todos los puestos de coordinador o asistente de cumplimiento.</w:t>
      </w:r>
    </w:p>
    <w:p>
      <w:pPr>
        <w:pStyle w:val="BodyText"/>
      </w:pPr>
      <w:r>
        <w:t xml:space="preserve">Temas básicos útiles incluyen:</w:t>
      </w:r>
    </w:p>
    <w:p>
      <w:pPr>
        <w:numPr>
          <w:ilvl w:val="0"/>
          <w:numId w:val="1006"/>
        </w:numPr>
        <w:pStyle w:val="Compact"/>
      </w:pPr>
      <w:r>
        <w:t xml:space="preserve">gestión de políticas y procedimientos;</w:t>
      </w:r>
    </w:p>
    <w:p>
      <w:pPr>
        <w:numPr>
          <w:ilvl w:val="0"/>
          <w:numId w:val="1006"/>
        </w:numPr>
        <w:pStyle w:val="Compact"/>
      </w:pPr>
      <w:r>
        <w:t xml:space="preserve">recolección de evidencia e integridad de registros;</w:t>
      </w:r>
    </w:p>
    <w:p>
      <w:pPr>
        <w:numPr>
          <w:ilvl w:val="0"/>
          <w:numId w:val="1006"/>
        </w:numPr>
        <w:pStyle w:val="Compact"/>
      </w:pPr>
      <w:r>
        <w:t xml:space="preserve">hojas de cálculo y reportes;</w:t>
      </w:r>
    </w:p>
    <w:p>
      <w:pPr>
        <w:numPr>
          <w:ilvl w:val="0"/>
          <w:numId w:val="1006"/>
        </w:numPr>
        <w:pStyle w:val="Compact"/>
      </w:pPr>
      <w:r>
        <w:t xml:space="preserve">seguimiento de asuntos y acciones correctivas;</w:t>
      </w:r>
    </w:p>
    <w:p>
      <w:pPr>
        <w:numPr>
          <w:ilvl w:val="0"/>
          <w:numId w:val="1006"/>
        </w:numPr>
        <w:pStyle w:val="Compact"/>
      </w:pPr>
      <w:r>
        <w:t xml:space="preserve">fundamentos de auditoría y evaluación;</w:t>
      </w:r>
    </w:p>
    <w:p>
      <w:pPr>
        <w:numPr>
          <w:ilvl w:val="0"/>
          <w:numId w:val="1006"/>
        </w:numPr>
        <w:pStyle w:val="Compact"/>
      </w:pPr>
      <w:r>
        <w:t xml:space="preserve">ética y conflictos de interés;</w:t>
      </w:r>
    </w:p>
    <w:p>
      <w:pPr>
        <w:numPr>
          <w:ilvl w:val="0"/>
          <w:numId w:val="1006"/>
        </w:numPr>
        <w:pStyle w:val="Compact"/>
      </w:pPr>
      <w:r>
        <w:t xml:space="preserve">privacidad y manejo de datos;</w:t>
      </w:r>
    </w:p>
    <w:p>
      <w:pPr>
        <w:numPr>
          <w:ilvl w:val="0"/>
          <w:numId w:val="1006"/>
        </w:numPr>
        <w:pStyle w:val="Compact"/>
      </w:pPr>
      <w:r>
        <w:t xml:space="preserve">conciencia de ciberseguridad;</w:t>
      </w:r>
    </w:p>
    <w:p>
      <w:pPr>
        <w:numPr>
          <w:ilvl w:val="0"/>
          <w:numId w:val="1006"/>
        </w:numPr>
        <w:pStyle w:val="Compact"/>
      </w:pPr>
      <w:r>
        <w:t xml:space="preserve">redacción empresarial;</w:t>
      </w:r>
    </w:p>
    <w:p>
      <w:pPr>
        <w:numPr>
          <w:ilvl w:val="0"/>
          <w:numId w:val="1006"/>
        </w:numPr>
        <w:pStyle w:val="Compact"/>
      </w:pPr>
      <w:r>
        <w:t xml:space="preserve">entrevistas y toma de notas bajo procedimientos aprobados;</w:t>
      </w:r>
    </w:p>
    <w:p>
      <w:pPr>
        <w:numPr>
          <w:ilvl w:val="0"/>
          <w:numId w:val="1006"/>
        </w:numPr>
        <w:pStyle w:val="Compact"/>
      </w:pPr>
      <w:r>
        <w:t xml:space="preserve">terminología de riesgos y controles; y</w:t>
      </w:r>
    </w:p>
    <w:p>
      <w:pPr>
        <w:numPr>
          <w:ilvl w:val="0"/>
          <w:numId w:val="1006"/>
        </w:numPr>
        <w:pStyle w:val="Compact"/>
      </w:pPr>
      <w:r>
        <w:t xml:space="preserve">uso responsable de IA.</w:t>
      </w:r>
    </w:p>
    <w:p>
      <w:pPr>
        <w:pStyle w:val="FirstParagraph"/>
      </w:pPr>
      <w:r>
        <w:t xml:space="preserve">Los puestos específicos pueden requerir contabilidad, derecho, finanzas, salud, ingeniería, seguridad, ambiente, privacidad, ciberseguridad u otra formación especializada. Verifique el requisito real del empleador antes de pagar por una certificación.</w:t>
      </w:r>
    </w:p>
    <w:bookmarkEnd w:id="33"/>
    <w:bookmarkStart w:id="35" w:name="Xd0b9b989b87dbe8f3cdb9df9298861ffddab5db"/>
    <w:p>
      <w:pPr>
        <w:pStyle w:val="Heading2"/>
      </w:pPr>
      <w:r>
        <w:t xml:space="preserve">8. Financiamiento, apoyo del empleador y aprendizaje basado en el trabajo</w:t>
      </w:r>
    </w:p>
    <w:bookmarkStart w:id="34" w:name="estados-unidos"/>
    <w:p>
      <w:pPr>
        <w:pStyle w:val="Heading3"/>
      </w:pPr>
      <w:r>
        <w:t xml:space="preserve">Estados Unidos</w:t>
      </w:r>
    </w:p>
    <w:p>
      <w:pPr>
        <w:pStyle w:val="FirstParagraph"/>
      </w:pPr>
      <w:r>
        <w:t xml:space="preserve">Federal Student Aid puede apoyar a estudiantes elegibles en programas postsecundarios o de formación profesional elegibles. La elegibilidad FAFSA no significa que todos los cursos privados cortos califiquen.</w:t>
      </w:r>
    </w:p>
    <w:p>
      <w:pPr>
        <w:pStyle w:val="BodyText"/>
      </w:pPr>
      <w:r>
        <w:t xml:space="preserve">https://studentaid.gov/articles/fafsa-student-steps/</w:t>
      </w:r>
    </w:p>
    <w:p>
      <w:pPr>
        <w:pStyle w:val="BodyText"/>
      </w:pPr>
      <w:r>
        <w:t xml:space="preserve">Los sistemas estatales y locales de fuerza laboral pueden ofrecer capacitación apoyada por WIOA u otros servicios cuando se cumplan elegibilidad y reglas locales.</w:t>
      </w:r>
    </w:p>
    <w:p>
      <w:pPr>
        <w:pStyle w:val="BodyText"/>
      </w:pPr>
      <w:r>
        <w:t xml:space="preserve">https://www.dol.gov/general/topic/training/adulttraining</w:t>
      </w:r>
    </w:p>
    <w:p>
      <w:pPr>
        <w:pStyle w:val="BodyText"/>
      </w:pPr>
      <w:r>
        <w:t xml:space="preserve">Bajo un programa de asistencia educativa del empleador que cumpla con</w:t>
      </w:r>
      <w:r>
        <w:t xml:space="preserve"> </w:t>
      </w:r>
      <w:r>
        <w:rPr>
          <w:bCs/>
          <w:b/>
        </w:rPr>
        <w:t xml:space="preserve">IRS Section 127</w:t>
      </w:r>
      <w:r>
        <w:t xml:space="preserve">, hasta</w:t>
      </w:r>
      <w:r>
        <w:t xml:space="preserve"> </w:t>
      </w:r>
      <w:r>
        <w:rPr>
          <w:bCs/>
          <w:b/>
        </w:rPr>
        <w:t xml:space="preserve">$5,250</w:t>
      </w:r>
      <w:r>
        <w:t xml:space="preserve"> </w:t>
      </w:r>
      <w:r>
        <w:t xml:space="preserve">de asistencia educativa elegible puede excluirse del ingreso bruto del empleado en los años calendario 2025 y 2026. No es un beneficio garantizado.</w:t>
      </w:r>
    </w:p>
    <w:p>
      <w:pPr>
        <w:pStyle w:val="BodyText"/>
      </w:pPr>
      <w:r>
        <w:t xml:space="preserve">https://www.irs.gov/newsroom/irs-updates-frequently-asked-questions-about-section-127-educational-assistance-programs</w:t>
      </w:r>
    </w:p>
    <w:p>
      <w:pPr>
        <w:pStyle w:val="BodyText"/>
      </w:pPr>
      <w:r>
        <w:t xml:space="preserve">Use Apprenticeship.gov para buscar oportunidades actuales de Registered Apprenticeship. No suponga que existe un aprendizaje genérico de cumplimiento en todos los lugares.</w:t>
      </w:r>
    </w:p>
    <w:p>
      <w:pPr>
        <w:pStyle w:val="BodyText"/>
      </w:pPr>
      <w:r>
        <w:t xml:space="preserve">https://www.apprenticeship.gov/career-seekers</w:t>
      </w:r>
    </w:p>
    <w:bookmarkEnd w:id="34"/>
    <w:bookmarkEnd w:id="35"/>
    <w:bookmarkStart w:id="36" w:name="X16d5a9102d19659541f77f38afd69dd956aeb73"/>
    <w:p>
      <w:pPr>
        <w:pStyle w:val="Heading2"/>
      </w:pPr>
      <w:r>
        <w:t xml:space="preserve">9. Acreditación y verificación de proveedores de formación</w:t>
      </w:r>
    </w:p>
    <w:p>
      <w:pPr>
        <w:pStyle w:val="FirstParagraph"/>
      </w:pPr>
      <w:r>
        <w:t xml:space="preserve">Antes de pagar por un título, certificado, bootcamp o credencial privada de cumplimiento:</w:t>
      </w:r>
    </w:p>
    <w:p>
      <w:pPr>
        <w:numPr>
          <w:ilvl w:val="0"/>
          <w:numId w:val="1007"/>
        </w:numPr>
        <w:pStyle w:val="Compact"/>
      </w:pPr>
      <w:r>
        <w:t xml:space="preserve">verifique si los empleadores realmente la solicitan;</w:t>
      </w:r>
    </w:p>
    <w:p>
      <w:pPr>
        <w:numPr>
          <w:ilvl w:val="0"/>
          <w:numId w:val="1007"/>
        </w:numPr>
        <w:pStyle w:val="Compact"/>
      </w:pPr>
      <w:r>
        <w:t xml:space="preserve">confirme acreditación cuando corresponda;</w:t>
      </w:r>
    </w:p>
    <w:p>
      <w:pPr>
        <w:numPr>
          <w:ilvl w:val="0"/>
          <w:numId w:val="1007"/>
        </w:numPr>
        <w:pStyle w:val="Compact"/>
      </w:pPr>
      <w:r>
        <w:t xml:space="preserve">distinga acreditación institucional de un certificado emitido por un proveedor;</w:t>
      </w:r>
    </w:p>
    <w:p>
      <w:pPr>
        <w:numPr>
          <w:ilvl w:val="0"/>
          <w:numId w:val="1007"/>
        </w:numPr>
        <w:pStyle w:val="Compact"/>
      </w:pPr>
      <w:r>
        <w:t xml:space="preserve">revise costo total, renovaciones, educación continua, repetición de exámenes, devoluciones y vencimiento;</w:t>
      </w:r>
    </w:p>
    <w:p>
      <w:pPr>
        <w:numPr>
          <w:ilvl w:val="0"/>
          <w:numId w:val="1007"/>
        </w:numPr>
        <w:pStyle w:val="Compact"/>
      </w:pPr>
      <w:r>
        <w:t xml:space="preserve">verifique si la credencial aplica al país y sector correspondientes; y</w:t>
      </w:r>
    </w:p>
    <w:p>
      <w:pPr>
        <w:numPr>
          <w:ilvl w:val="0"/>
          <w:numId w:val="1007"/>
        </w:numPr>
        <w:pStyle w:val="Compact"/>
      </w:pPr>
      <w:r>
        <w:t xml:space="preserve">evite proveedores que prometan empleo o salario garantizado.</w:t>
      </w:r>
    </w:p>
    <w:p>
      <w:pPr>
        <w:pStyle w:val="FirstParagraph"/>
      </w:pPr>
      <w:r>
        <w:t xml:space="preserve">Información de acreditación en EE. UU.:</w:t>
      </w:r>
      <w:r>
        <w:br/>
      </w:r>
      <w:r>
        <w:t xml:space="preserve">https://www.ed.gov/accreditation</w:t>
      </w:r>
    </w:p>
    <w:bookmarkEnd w:id="36"/>
    <w:bookmarkStart w:id="37" w:name="rutas-en-colombia-y-américa-latina"/>
    <w:p>
      <w:pPr>
        <w:pStyle w:val="Heading2"/>
      </w:pPr>
      <w:r>
        <w:t xml:space="preserve">10. Rutas en Colombia y América Latina</w:t>
      </w:r>
    </w:p>
    <w:p>
      <w:pPr>
        <w:pStyle w:val="FirstParagraph"/>
      </w:pPr>
      <w:r>
        <w:t xml:space="preserve">En Colombia, comience con SENA Betowa y Servicio Público de Empleo, y luego busque formación que coincida con el dominio real. Las bases pertinentes pueden aparecer bajo riesgos, calidad, seguridad y salud en el trabajo, protección de datos, servicios financieros, anticorrupción, control interno, sistemas de gestión, auditoría, logística o procesos administrativos, no necesariamente bajo la palabra inglesa</w:t>
      </w:r>
      <w:r>
        <w:t xml:space="preserve"> </w:t>
      </w:r>
      <w:r>
        <w:rPr>
          <w:rStyle w:val="VerbatimChar"/>
        </w:rPr>
        <w:t xml:space="preserve">compliance</w:t>
      </w:r>
      <w:r>
        <w:t xml:space="preserve">.</w:t>
      </w:r>
    </w:p>
    <w:p>
      <w:pPr>
        <w:pStyle w:val="BodyText"/>
      </w:pPr>
      <w:r>
        <w:t xml:space="preserve">No presente un curso como habilitación para todo trabajo regulado. Verifique disponibilidad de cohortes, duración, modalidad, requisitos y si el puesto exige licencia profesional o experiencia especializada.</w:t>
      </w:r>
    </w:p>
    <w:p>
      <w:pPr>
        <w:pStyle w:val="BodyText"/>
      </w:pPr>
      <w:r>
        <w:t xml:space="preserve">En América Latina, use servicios nacionales de empleo, instituciones públicas de educación técnica, universidades reconocidas, reguladores, academias de empleadores y organismos profesionales relacionados con el dominio específico.</w:t>
      </w:r>
    </w:p>
    <w:bookmarkEnd w:id="37"/>
    <w:bookmarkStart w:id="38" w:name="accesibilidad-e-inclusión"/>
    <w:p>
      <w:pPr>
        <w:pStyle w:val="Heading2"/>
      </w:pPr>
      <w:r>
        <w:t xml:space="preserve">11. Accesibilidad e inclusión</w:t>
      </w:r>
    </w:p>
    <w:p>
      <w:pPr>
        <w:pStyle w:val="FirstParagraph"/>
      </w:pPr>
      <w:r>
        <w:t xml:space="preserve">Las funciones de cumplimiento no deben crear barreras innecesarias. El apoyo práctico puede incluir documentos y formularios accesibles, subtítulos, sistemas compatibles con lectores de pantalla, formatos alternativos, tecnología de asistencia, equipo ergonómico, flujos predecibles, reuniones accesibles o horarios modificados cuando sean razonables y aplicables.</w:t>
      </w:r>
    </w:p>
    <w:p>
      <w:pPr>
        <w:pStyle w:val="BodyText"/>
      </w:pPr>
      <w:r>
        <w:t xml:space="preserve">Las verificaciones automatizadas de accesibilidad son evidencia útil, pero no certificación jurídica.</w:t>
      </w:r>
    </w:p>
    <w:p>
      <w:pPr>
        <w:pStyle w:val="BodyText"/>
      </w:pPr>
      <w:r>
        <w:t xml:space="preserve">Información de EE. UU. sobre discapacidad en el empleo:</w:t>
      </w:r>
      <w:r>
        <w:br/>
      </w:r>
      <w:r>
        <w:t xml:space="preserve">https://www.eeoc.gov/disability-discrimination</w:t>
      </w:r>
    </w:p>
    <w:bookmarkEnd w:id="38"/>
    <w:bookmarkStart w:id="39" w:name="X379a6307d7b4031ba82c3d2d510c7a7e3af8f29"/>
    <w:p>
      <w:pPr>
        <w:pStyle w:val="Heading2"/>
      </w:pPr>
      <w:r>
        <w:t xml:space="preserve">12. Privacidad, ciberseguridad, IA y automatización responsable</w:t>
      </w:r>
    </w:p>
    <w:p>
      <w:pPr>
        <w:pStyle w:val="FirstParagraph"/>
      </w:pPr>
      <w:r>
        <w:t xml:space="preserve">Los sistemas de cumplimiento pueden contener información muy sensible: alegaciones, notas de investigación, documentos de identidad, registros financieros, datos de clientes y empleados, evidencia de auditoría, hallazgos de seguridad, análisis de sanciones, información de salud o comunicaciones con reguladores.</w:t>
      </w:r>
    </w:p>
    <w:p>
      <w:pPr>
        <w:pStyle w:val="BodyText"/>
      </w:pPr>
      <w:r>
        <w:t xml:space="preserve">Use sistemas aprobados, acceso de mínimo privilegio, autenticación fuerte, intercambio seguro, reglas de retención y procedimientos documentados de manejo de evidencia.</w:t>
      </w:r>
    </w:p>
    <w:p>
      <w:pPr>
        <w:pStyle w:val="BodyText"/>
      </w:pPr>
      <w:r>
        <w:t xml:space="preserve">La IA puede ayudar en tareas de bajo riesgo como redactar listas no confidenciales, explicar terminología genérica, crear escenarios ficticios, resumir regulaciones públicas para revisión o dar formato a informes sanitizados. La revisión humana sigue siendo responsable de exactitud, confidencialidad, sesgo, interpretación jurídica, decisiones reguladas y liberación final.</w:t>
      </w:r>
    </w:p>
    <w:bookmarkEnd w:id="39"/>
    <w:bookmarkStart w:id="40" w:name="construya-evidencia-de-capacidad"/>
    <w:p>
      <w:pPr>
        <w:pStyle w:val="Heading2"/>
      </w:pPr>
      <w:r>
        <w:t xml:space="preserve">13. Construya evidencia de capacidad</w:t>
      </w:r>
    </w:p>
    <w:p>
      <w:pPr>
        <w:pStyle w:val="FirstParagraph"/>
      </w:pPr>
      <w:r>
        <w:t xml:space="preserve">Use datos ficticios o totalmente sanitizados para crear elementos de portafolio como:</w:t>
      </w:r>
    </w:p>
    <w:p>
      <w:pPr>
        <w:numPr>
          <w:ilvl w:val="0"/>
          <w:numId w:val="1008"/>
        </w:numPr>
        <w:pStyle w:val="Compact"/>
      </w:pPr>
      <w:r>
        <w:t xml:space="preserve">calendario de cumplimiento;</w:t>
      </w:r>
    </w:p>
    <w:p>
      <w:pPr>
        <w:numPr>
          <w:ilvl w:val="0"/>
          <w:numId w:val="1008"/>
        </w:numPr>
        <w:pStyle w:val="Compact"/>
      </w:pPr>
      <w:r>
        <w:t xml:space="preserve">rastreador de revisión de políticas;</w:t>
      </w:r>
    </w:p>
    <w:p>
      <w:pPr>
        <w:numPr>
          <w:ilvl w:val="0"/>
          <w:numId w:val="1008"/>
        </w:numPr>
        <w:pStyle w:val="Compact"/>
      </w:pPr>
      <w:r>
        <w:t xml:space="preserve">lista ficticia de solicitud de evidencia;</w:t>
      </w:r>
    </w:p>
    <w:p>
      <w:pPr>
        <w:numPr>
          <w:ilvl w:val="0"/>
          <w:numId w:val="1008"/>
        </w:numPr>
        <w:pStyle w:val="Compact"/>
      </w:pPr>
      <w:r>
        <w:t xml:space="preserve">registro de acciones correctivas;</w:t>
      </w:r>
    </w:p>
    <w:p>
      <w:pPr>
        <w:numPr>
          <w:ilvl w:val="0"/>
          <w:numId w:val="1008"/>
        </w:numPr>
        <w:pStyle w:val="Compact"/>
      </w:pPr>
      <w:r>
        <w:t xml:space="preserve">tablero ficticio de capacitación completada;</w:t>
      </w:r>
    </w:p>
    <w:p>
      <w:pPr>
        <w:numPr>
          <w:ilvl w:val="0"/>
          <w:numId w:val="1008"/>
        </w:numPr>
        <w:pStyle w:val="Compact"/>
      </w:pPr>
      <w:r>
        <w:t xml:space="preserve">lista de debida diligencia de terceros;</w:t>
      </w:r>
    </w:p>
    <w:p>
      <w:pPr>
        <w:numPr>
          <w:ilvl w:val="0"/>
          <w:numId w:val="1008"/>
        </w:numPr>
        <w:pStyle w:val="Compact"/>
      </w:pPr>
      <w:r>
        <w:t xml:space="preserve">matriz sencilla de riesgos y controles;</w:t>
      </w:r>
    </w:p>
    <w:p>
      <w:pPr>
        <w:numPr>
          <w:ilvl w:val="0"/>
          <w:numId w:val="1008"/>
        </w:numPr>
        <w:pStyle w:val="Compact"/>
      </w:pPr>
      <w:r>
        <w:t xml:space="preserve">flujo de escalamiento; o</w:t>
      </w:r>
    </w:p>
    <w:p>
      <w:pPr>
        <w:numPr>
          <w:ilvl w:val="0"/>
          <w:numId w:val="1008"/>
        </w:numPr>
        <w:pStyle w:val="Compact"/>
      </w:pPr>
      <w:r>
        <w:t xml:space="preserve">proceso versionado de reconocimiento de políticas.</w:t>
      </w:r>
    </w:p>
    <w:p>
      <w:pPr>
        <w:pStyle w:val="FirstParagraph"/>
      </w:pPr>
      <w:r>
        <w:t xml:space="preserve">Explique objetivo, evidencia, control, responsable, fecha límite, regla de escalamiento y limitación. Nunca publique investigaciones reales, denuncias de empleados, comunicaciones regulatorias, datos de clientes, credenciales o debilidades confidenciales de control.</w:t>
      </w:r>
    </w:p>
    <w:bookmarkEnd w:id="40"/>
    <w:bookmarkStart w:id="41" w:name="preparación-para-entrevistas"/>
    <w:p>
      <w:pPr>
        <w:pStyle w:val="Heading2"/>
      </w:pPr>
      <w:r>
        <w:t xml:space="preserve">14. Preparación para entrevistas</w:t>
      </w:r>
    </w:p>
    <w:p>
      <w:pPr>
        <w:pStyle w:val="FirstParagraph"/>
      </w:pPr>
      <w:r>
        <w:t xml:space="preserve">Practique preguntas como:</w:t>
      </w:r>
    </w:p>
    <w:p>
      <w:pPr>
        <w:numPr>
          <w:ilvl w:val="0"/>
          <w:numId w:val="1009"/>
        </w:numPr>
        <w:pStyle w:val="Compact"/>
      </w:pPr>
      <w:r>
        <w:t xml:space="preserve">¿Qué haría si falta evidencia requerida justo antes de una auditoría?</w:t>
      </w:r>
    </w:p>
    <w:p>
      <w:pPr>
        <w:numPr>
          <w:ilvl w:val="0"/>
          <w:numId w:val="1009"/>
        </w:numPr>
        <w:pStyle w:val="Compact"/>
      </w:pPr>
      <w:r>
        <w:t xml:space="preserve">¿Cómo respondería si un gerente le pide marcar un control como completo sin prueba?</w:t>
      </w:r>
    </w:p>
    <w:p>
      <w:pPr>
        <w:numPr>
          <w:ilvl w:val="0"/>
          <w:numId w:val="1009"/>
        </w:numPr>
        <w:pStyle w:val="Compact"/>
      </w:pPr>
      <w:r>
        <w:t xml:space="preserve">¿Cómo protegería material confidencial de una investigación?</w:t>
      </w:r>
    </w:p>
    <w:p>
      <w:pPr>
        <w:numPr>
          <w:ilvl w:val="0"/>
          <w:numId w:val="1009"/>
        </w:numPr>
        <w:pStyle w:val="Compact"/>
      </w:pPr>
      <w:r>
        <w:t xml:space="preserve">¿Qué haría si dos políticas parecen entrar en conflicto?</w:t>
      </w:r>
    </w:p>
    <w:p>
      <w:pPr>
        <w:numPr>
          <w:ilvl w:val="0"/>
          <w:numId w:val="1009"/>
        </w:numPr>
        <w:pStyle w:val="Compact"/>
      </w:pPr>
      <w:r>
        <w:t xml:space="preserve">¿Cómo daría seguimiento a acciones correctivas sin perder responsables ni fechas?</w:t>
      </w:r>
    </w:p>
    <w:p>
      <w:pPr>
        <w:numPr>
          <w:ilvl w:val="0"/>
          <w:numId w:val="1009"/>
        </w:numPr>
        <w:pStyle w:val="Compact"/>
      </w:pPr>
      <w:r>
        <w:t xml:space="preserve">¿Cuándo escalaría a jurídico, privacidad, seguridad, RR. HH., finanzas, seguridad laboral u otro especialista?</w:t>
      </w:r>
    </w:p>
    <w:p>
      <w:pPr>
        <w:numPr>
          <w:ilvl w:val="0"/>
          <w:numId w:val="1009"/>
        </w:numPr>
        <w:pStyle w:val="Compact"/>
      </w:pPr>
      <w:r>
        <w:t xml:space="preserve">¿Dónde puede ayudar la IA y dónde no debe tomar la decisión final?</w:t>
      </w:r>
    </w:p>
    <w:p>
      <w:pPr>
        <w:pStyle w:val="FirstParagraph"/>
      </w:pPr>
      <w:r>
        <w:t xml:space="preserve">Las respuestas sólidas demuestran integridad de evidencia, documentación, confidencialidad, límites profesionales, escalamiento y disposición a reconocer cuándo se requiere asesoría calificada.</w:t>
      </w:r>
    </w:p>
    <w:bookmarkEnd w:id="41"/>
    <w:bookmarkStart w:id="48" w:name="plan-inicial-práctico-de-12-semanas"/>
    <w:p>
      <w:pPr>
        <w:pStyle w:val="Heading2"/>
      </w:pPr>
      <w:r>
        <w:t xml:space="preserve">15. Plan inicial práctico de 12 semanas</w:t>
      </w:r>
    </w:p>
    <w:bookmarkStart w:id="42" w:name="semanas-12"/>
    <w:p>
      <w:pPr>
        <w:pStyle w:val="Heading3"/>
      </w:pPr>
      <w:r>
        <w:t xml:space="preserve">Semanas 1–2</w:t>
      </w:r>
    </w:p>
    <w:p>
      <w:pPr>
        <w:numPr>
          <w:ilvl w:val="0"/>
          <w:numId w:val="1010"/>
        </w:numPr>
        <w:pStyle w:val="Compact"/>
      </w:pPr>
      <w:r>
        <w:t xml:space="preserve">Revise 20–30 vacantes actuales.</w:t>
      </w:r>
    </w:p>
    <w:p>
      <w:pPr>
        <w:numPr>
          <w:ilvl w:val="0"/>
          <w:numId w:val="1010"/>
        </w:numPr>
        <w:pStyle w:val="Compact"/>
      </w:pPr>
      <w:r>
        <w:t xml:space="preserve">Clasifique cada puesto por dominio, nivel, educación, sistemas y autoridad.</w:t>
      </w:r>
    </w:p>
    <w:bookmarkEnd w:id="42"/>
    <w:bookmarkStart w:id="43" w:name="semanas-34"/>
    <w:p>
      <w:pPr>
        <w:pStyle w:val="Heading3"/>
      </w:pPr>
      <w:r>
        <w:t xml:space="preserve">Semanas 3–4</w:t>
      </w:r>
    </w:p>
    <w:p>
      <w:pPr>
        <w:numPr>
          <w:ilvl w:val="0"/>
          <w:numId w:val="1011"/>
        </w:numPr>
        <w:pStyle w:val="Compact"/>
      </w:pPr>
      <w:r>
        <w:t xml:space="preserve">Fortalezca hojas de cálculo, redacción, control documental y lectura de políticas.</w:t>
      </w:r>
    </w:p>
    <w:p>
      <w:pPr>
        <w:numPr>
          <w:ilvl w:val="0"/>
          <w:numId w:val="1011"/>
        </w:numPr>
        <w:pStyle w:val="Compact"/>
      </w:pPr>
      <w:r>
        <w:t xml:space="preserve">Aprenda terminología básica de riesgo, control, hallazgo, excepción, remediación y evidencia.</w:t>
      </w:r>
    </w:p>
    <w:bookmarkEnd w:id="43"/>
    <w:bookmarkStart w:id="44" w:name="semanas-56"/>
    <w:p>
      <w:pPr>
        <w:pStyle w:val="Heading3"/>
      </w:pPr>
      <w:r>
        <w:t xml:space="preserve">Semanas 5–6</w:t>
      </w:r>
    </w:p>
    <w:p>
      <w:pPr>
        <w:numPr>
          <w:ilvl w:val="0"/>
          <w:numId w:val="1012"/>
        </w:numPr>
        <w:pStyle w:val="Compact"/>
      </w:pPr>
      <w:r>
        <w:t xml:space="preserve">Complete una actividad gratuita o de bajo costo relevante para su dominio objetivo.</w:t>
      </w:r>
    </w:p>
    <w:p>
      <w:pPr>
        <w:numPr>
          <w:ilvl w:val="0"/>
          <w:numId w:val="1012"/>
        </w:numPr>
        <w:pStyle w:val="Compact"/>
      </w:pPr>
      <w:r>
        <w:t xml:space="preserve">Cree un calendario ficticio de cumplimiento y un rastreador de acciones correctivas.</w:t>
      </w:r>
    </w:p>
    <w:bookmarkEnd w:id="44"/>
    <w:bookmarkStart w:id="45" w:name="semanas-78"/>
    <w:p>
      <w:pPr>
        <w:pStyle w:val="Heading3"/>
      </w:pPr>
      <w:r>
        <w:t xml:space="preserve">Semanas 7–8</w:t>
      </w:r>
    </w:p>
    <w:p>
      <w:pPr>
        <w:numPr>
          <w:ilvl w:val="0"/>
          <w:numId w:val="1013"/>
        </w:numPr>
        <w:pStyle w:val="Compact"/>
      </w:pPr>
      <w:r>
        <w:t xml:space="preserve">Aprenda privacidad, confidencialidad, ética, conflictos de interés y límites básicos de investigación.</w:t>
      </w:r>
    </w:p>
    <w:p>
      <w:pPr>
        <w:numPr>
          <w:ilvl w:val="0"/>
          <w:numId w:val="1013"/>
        </w:numPr>
        <w:pStyle w:val="Compact"/>
      </w:pPr>
      <w:r>
        <w:t xml:space="preserve">Cree una lista ficticia de solicitud de evidencia o formulario de terceros.</w:t>
      </w:r>
    </w:p>
    <w:bookmarkEnd w:id="45"/>
    <w:bookmarkStart w:id="46" w:name="semanas-910"/>
    <w:p>
      <w:pPr>
        <w:pStyle w:val="Heading3"/>
      </w:pPr>
      <w:r>
        <w:t xml:space="preserve">Semanas 9–10</w:t>
      </w:r>
    </w:p>
    <w:p>
      <w:pPr>
        <w:numPr>
          <w:ilvl w:val="0"/>
          <w:numId w:val="1014"/>
        </w:numPr>
        <w:pStyle w:val="Compact"/>
      </w:pPr>
      <w:r>
        <w:t xml:space="preserve">Revise prácticas de ciberseguridad e IA responsable.</w:t>
      </w:r>
    </w:p>
    <w:p>
      <w:pPr>
        <w:numPr>
          <w:ilvl w:val="0"/>
          <w:numId w:val="1014"/>
        </w:numPr>
        <w:pStyle w:val="Compact"/>
      </w:pPr>
      <w:r>
        <w:t xml:space="preserve">Verifique financiamiento, acreditación, requisitos de credenciales y condiciones de apoyo del empleador antes de pagar.</w:t>
      </w:r>
    </w:p>
    <w:bookmarkEnd w:id="46"/>
    <w:bookmarkStart w:id="47" w:name="semanas-1112"/>
    <w:p>
      <w:pPr>
        <w:pStyle w:val="Heading3"/>
      </w:pPr>
      <w:r>
        <w:t xml:space="preserve">Semanas 11–12</w:t>
      </w:r>
    </w:p>
    <w:p>
      <w:pPr>
        <w:numPr>
          <w:ilvl w:val="0"/>
          <w:numId w:val="1015"/>
        </w:numPr>
        <w:pStyle w:val="Compact"/>
      </w:pPr>
      <w:r>
        <w:t xml:space="preserve">Adapte su currículum de forma veraz.</w:t>
      </w:r>
    </w:p>
    <w:p>
      <w:pPr>
        <w:numPr>
          <w:ilvl w:val="0"/>
          <w:numId w:val="1015"/>
        </w:numPr>
        <w:pStyle w:val="Compact"/>
      </w:pPr>
      <w:r>
        <w:t xml:space="preserve">Practique entrevistas de escenarios.</w:t>
      </w:r>
    </w:p>
    <w:p>
      <w:pPr>
        <w:numPr>
          <w:ilvl w:val="0"/>
          <w:numId w:val="1015"/>
        </w:numPr>
        <w:pStyle w:val="Compact"/>
      </w:pPr>
      <w:r>
        <w:t xml:space="preserve">Postúlese selectivamente y ajuste su plan según retroalimentación de empleadores.</w:t>
      </w:r>
    </w:p>
    <w:bookmarkEnd w:id="47"/>
    <w:bookmarkEnd w:id="48"/>
    <w:bookmarkStart w:id="49" w:name="evidencia-para-currículum-y-solicitudes"/>
    <w:p>
      <w:pPr>
        <w:pStyle w:val="Heading2"/>
      </w:pPr>
      <w:r>
        <w:t xml:space="preserve">16. Evidencia para currículum y solicitudes</w:t>
      </w:r>
    </w:p>
    <w:p>
      <w:pPr>
        <w:pStyle w:val="FirstParagraph"/>
      </w:pPr>
      <w:r>
        <w:t xml:space="preserve">Use evidencia que pueda defender. Viñetas sólidas pueden mostrar políticas mantenidas, auditorías apoyadas, solicitudes de evidencia coordinadas, acciones correctivas seguidas, registros de capacitación administrados, expedientes de terceros revisados, tableros preparados o mejoras de procesos con resultados verificados.</w:t>
      </w:r>
    </w:p>
    <w:p>
      <w:pPr>
        <w:pStyle w:val="BodyText"/>
      </w:pPr>
      <w:r>
        <w:t xml:space="preserve">No invente certificaciones, licencias, resultados de auditoría, interacciones con reguladores, autoridad de investigación, hallazgos cerrados, reducciones de riesgo, ahorros financieros ni resultados de cumplimiento.</w:t>
      </w:r>
    </w:p>
    <w:bookmarkEnd w:id="49"/>
    <w:bookmarkStart w:id="50" w:name="progresión-profesional"/>
    <w:p>
      <w:pPr>
        <w:pStyle w:val="Heading2"/>
      </w:pPr>
      <w:r>
        <w:t xml:space="preserve">17. Progresión profesional</w:t>
      </w:r>
    </w:p>
    <w:p>
      <w:pPr>
        <w:pStyle w:val="FirstParagraph"/>
      </w:pPr>
      <w:r>
        <w:t xml:space="preserve">Posibles rutas incluyen:</w:t>
      </w:r>
    </w:p>
    <w:p>
      <w:pPr>
        <w:numPr>
          <w:ilvl w:val="0"/>
          <w:numId w:val="1016"/>
        </w:numPr>
        <w:pStyle w:val="Compact"/>
      </w:pPr>
      <w:r>
        <w:t xml:space="preserve">Senior Compliance Coordinator</w:t>
      </w:r>
    </w:p>
    <w:p>
      <w:pPr>
        <w:numPr>
          <w:ilvl w:val="0"/>
          <w:numId w:val="1016"/>
        </w:numPr>
        <w:pStyle w:val="Compact"/>
      </w:pPr>
      <w:r>
        <w:t xml:space="preserve">Compliance Specialist</w:t>
      </w:r>
    </w:p>
    <w:p>
      <w:pPr>
        <w:numPr>
          <w:ilvl w:val="0"/>
          <w:numId w:val="1016"/>
        </w:numPr>
        <w:pStyle w:val="Compact"/>
      </w:pPr>
      <w:r>
        <w:t xml:space="preserve">Compliance Analyst</w:t>
      </w:r>
    </w:p>
    <w:p>
      <w:pPr>
        <w:numPr>
          <w:ilvl w:val="0"/>
          <w:numId w:val="1016"/>
        </w:numPr>
        <w:pStyle w:val="Compact"/>
      </w:pPr>
      <w:r>
        <w:t xml:space="preserve">Regulatory Affairs Coordinator</w:t>
      </w:r>
    </w:p>
    <w:p>
      <w:pPr>
        <w:numPr>
          <w:ilvl w:val="0"/>
          <w:numId w:val="1016"/>
        </w:numPr>
        <w:pStyle w:val="Compact"/>
      </w:pPr>
      <w:r>
        <w:t xml:space="preserve">Risk and Compliance Analyst</w:t>
      </w:r>
    </w:p>
    <w:p>
      <w:pPr>
        <w:numPr>
          <w:ilvl w:val="0"/>
          <w:numId w:val="1016"/>
        </w:numPr>
        <w:pStyle w:val="Compact"/>
      </w:pPr>
      <w:r>
        <w:t xml:space="preserve">Ethics and Compliance Specialist</w:t>
      </w:r>
    </w:p>
    <w:p>
      <w:pPr>
        <w:numPr>
          <w:ilvl w:val="0"/>
          <w:numId w:val="1016"/>
        </w:numPr>
        <w:pStyle w:val="Compact"/>
      </w:pPr>
      <w:r>
        <w:t xml:space="preserve">Privacy or Security Compliance Analyst</w:t>
      </w:r>
    </w:p>
    <w:p>
      <w:pPr>
        <w:numPr>
          <w:ilvl w:val="0"/>
          <w:numId w:val="1016"/>
        </w:numPr>
        <w:pStyle w:val="Compact"/>
      </w:pPr>
      <w:r>
        <w:t xml:space="preserve">Quality or Management Systems Coordinator</w:t>
      </w:r>
    </w:p>
    <w:p>
      <w:pPr>
        <w:numPr>
          <w:ilvl w:val="0"/>
          <w:numId w:val="1016"/>
        </w:numPr>
        <w:pStyle w:val="Compact"/>
      </w:pPr>
      <w:r>
        <w:t xml:space="preserve">Compliance Manager</w:t>
      </w:r>
    </w:p>
    <w:p>
      <w:pPr>
        <w:pStyle w:val="FirstParagraph"/>
      </w:pPr>
      <w:r>
        <w:t xml:space="preserve">La progresión no es automática. Los puestos especializados y de gestión pueden requerir experiencia de dominio más profunda, educación formal, credenciales profesionales o responsabilidad regulada.</w:t>
      </w:r>
    </w:p>
    <w:bookmarkEnd w:id="50"/>
    <w:bookmarkStart w:id="51" w:name="X6643b69b16f38be9cf53999965a2e4ec3ecc5e7"/>
    <w:p>
      <w:pPr>
        <w:pStyle w:val="Heading2"/>
      </w:pPr>
      <w:r>
        <w:t xml:space="preserve">18. Cuándo detenerse, aplazar o elegir otra ruta</w:t>
      </w:r>
    </w:p>
    <w:p>
      <w:pPr>
        <w:pStyle w:val="FirstParagraph"/>
      </w:pPr>
      <w:r>
        <w:t xml:space="preserve">Deténgase o reconsidere cuando:</w:t>
      </w:r>
    </w:p>
    <w:p>
      <w:pPr>
        <w:numPr>
          <w:ilvl w:val="0"/>
          <w:numId w:val="1017"/>
        </w:numPr>
        <w:pStyle w:val="Compact"/>
      </w:pPr>
      <w:r>
        <w:t xml:space="preserve">el puesto espere asesoría jurídica o regulatoria independiente más allá de sus cualificaciones;</w:t>
      </w:r>
    </w:p>
    <w:p>
      <w:pPr>
        <w:numPr>
          <w:ilvl w:val="0"/>
          <w:numId w:val="1017"/>
        </w:numPr>
        <w:pStyle w:val="Compact"/>
      </w:pPr>
      <w:r>
        <w:t xml:space="preserve">el empleador espere manipulación de evidencia, excepciones ocultas, represalias o certificación falsa;</w:t>
      </w:r>
    </w:p>
    <w:p>
      <w:pPr>
        <w:numPr>
          <w:ilvl w:val="0"/>
          <w:numId w:val="1017"/>
        </w:numPr>
        <w:pStyle w:val="Compact"/>
      </w:pPr>
      <w:r>
        <w:t xml:space="preserve">un proveedor prometa empleo o salario garantizado;</w:t>
      </w:r>
    </w:p>
    <w:p>
      <w:pPr>
        <w:numPr>
          <w:ilvl w:val="0"/>
          <w:numId w:val="1017"/>
        </w:numPr>
        <w:pStyle w:val="Compact"/>
      </w:pPr>
      <w:r>
        <w:t xml:space="preserve">costos totales, renovaciones, reglas de devolución o condiciones para reembolsar al empleador la formación financiada por este no estén claros;</w:t>
      </w:r>
    </w:p>
    <w:p>
      <w:pPr>
        <w:numPr>
          <w:ilvl w:val="0"/>
          <w:numId w:val="1017"/>
        </w:numPr>
        <w:pStyle w:val="Compact"/>
      </w:pPr>
      <w:r>
        <w:t xml:space="preserve">los requisitos de viaje, horario, entorno sensorial, seguridad o acceso al sitio no sean viables y no haya una adaptación razonable; o</w:t>
      </w:r>
    </w:p>
    <w:p>
      <w:pPr>
        <w:numPr>
          <w:ilvl w:val="0"/>
          <w:numId w:val="1017"/>
        </w:numPr>
        <w:pStyle w:val="Compact"/>
      </w:pPr>
      <w:r>
        <w:t xml:space="preserve">el dominio requiera licencia, autorización, experiencia técnica o autoridad regulada que aún no posee.</w:t>
      </w:r>
    </w:p>
    <w:bookmarkEnd w:id="51"/>
    <w:bookmarkStart w:id="52" w:name="lista-de-fuentes-y-verificación"/>
    <w:p>
      <w:pPr>
        <w:pStyle w:val="Heading2"/>
      </w:pPr>
      <w:r>
        <w:t xml:space="preserve">19. Lista de fuentes y verificación</w:t>
      </w:r>
    </w:p>
    <w:p>
      <w:pPr>
        <w:pStyle w:val="FirstParagraph"/>
      </w:pPr>
      <w:r>
        <w:t xml:space="preserve">Vuelva a verificar datos sensibles al tiempo antes de decisiones importantes y antes de publicar.</w:t>
      </w:r>
    </w:p>
    <w:p>
      <w:pPr>
        <w:numPr>
          <w:ilvl w:val="0"/>
          <w:numId w:val="1018"/>
        </w:numPr>
        <w:pStyle w:val="Compact"/>
      </w:pPr>
      <w:r>
        <w:t xml:space="preserve">U.S. Bureau of Labor Statistics — Compliance Officers: https://www.bls.gov/ooh/business-and-financial/compliance-officers.htm</w:t>
      </w:r>
    </w:p>
    <w:p>
      <w:pPr>
        <w:numPr>
          <w:ilvl w:val="0"/>
          <w:numId w:val="1018"/>
        </w:numPr>
        <w:pStyle w:val="Compact"/>
      </w:pPr>
      <w:r>
        <w:t xml:space="preserve">Government of Canada Job Bank — Regulatory Compliance Officer wages: https://www.jobbank.gc.ca/marketreport/wages-occupation/27323/ca</w:t>
      </w:r>
    </w:p>
    <w:p>
      <w:pPr>
        <w:numPr>
          <w:ilvl w:val="0"/>
          <w:numId w:val="1018"/>
        </w:numPr>
        <w:pStyle w:val="Compact"/>
      </w:pPr>
      <w:r>
        <w:t xml:space="preserve">Government of Canada Job Bank — Financial Compliance Officer wages: https://www.jobbank.gc.ca/marketreport/wages-occupation/296408/ca</w:t>
      </w:r>
    </w:p>
    <w:p>
      <w:pPr>
        <w:numPr>
          <w:ilvl w:val="0"/>
          <w:numId w:val="1018"/>
        </w:numPr>
        <w:pStyle w:val="Compact"/>
      </w:pPr>
      <w:r>
        <w:t xml:space="preserve">Federal Student Aid — FAFSA student steps: https://studentaid.gov/articles/fafsa-student-steps/</w:t>
      </w:r>
    </w:p>
    <w:p>
      <w:pPr>
        <w:numPr>
          <w:ilvl w:val="0"/>
          <w:numId w:val="1018"/>
        </w:numPr>
        <w:pStyle w:val="Compact"/>
      </w:pPr>
      <w:r>
        <w:t xml:space="preserve">U.S. Department of Labor — Adult training: https://www.dol.gov/general/topic/training/adulttraining</w:t>
      </w:r>
    </w:p>
    <w:p>
      <w:pPr>
        <w:numPr>
          <w:ilvl w:val="0"/>
          <w:numId w:val="1018"/>
        </w:numPr>
        <w:pStyle w:val="Compact"/>
      </w:pPr>
      <w:r>
        <w:t xml:space="preserve">Apprenticeship.gov — Career Seekers: https://www.apprenticeship.gov/career-seekers</w:t>
      </w:r>
    </w:p>
    <w:p>
      <w:pPr>
        <w:numPr>
          <w:ilvl w:val="0"/>
          <w:numId w:val="1018"/>
        </w:numPr>
        <w:pStyle w:val="Compact"/>
      </w:pPr>
      <w:r>
        <w:t xml:space="preserve">IRS — Section 127 educational assistance: https://www.irs.gov/newsroom/irs-updates-frequently-asked-questions-about-section-127-educational-assistance-programs</w:t>
      </w:r>
    </w:p>
    <w:p>
      <w:pPr>
        <w:numPr>
          <w:ilvl w:val="0"/>
          <w:numId w:val="1018"/>
        </w:numPr>
        <w:pStyle w:val="Compact"/>
      </w:pPr>
      <w:r>
        <w:t xml:space="preserve">U.S. Department of Education — Accreditation: https://www.ed.gov/accreditation</w:t>
      </w:r>
    </w:p>
    <w:p>
      <w:pPr>
        <w:numPr>
          <w:ilvl w:val="0"/>
          <w:numId w:val="1018"/>
        </w:numPr>
        <w:pStyle w:val="Compact"/>
      </w:pPr>
      <w:r>
        <w:t xml:space="preserve">U.S. Equal Employment Opportunity Commission — Disability discrimination: https://www.eeoc.gov/disability-discrimination</w:t>
      </w:r>
    </w:p>
    <w:p>
      <w:pPr>
        <w:numPr>
          <w:ilvl w:val="0"/>
          <w:numId w:val="1018"/>
        </w:numPr>
        <w:pStyle w:val="Compact"/>
      </w:pPr>
      <w:r>
        <w:t xml:space="preserve">SENA Betowa: https://betowa.sena.edu.co/</w:t>
      </w:r>
    </w:p>
    <w:p>
      <w:pPr>
        <w:numPr>
          <w:ilvl w:val="0"/>
          <w:numId w:val="1018"/>
        </w:numPr>
        <w:pStyle w:val="Compact"/>
      </w:pPr>
      <w:r>
        <w:t xml:space="preserve">Servicio Público de Empleo Colombia: https://www.serviciodeempleo.gov.co/</w:t>
      </w:r>
    </w:p>
    <w:p>
      <w:pPr>
        <w:pStyle w:val="FirstParagraph"/>
      </w:pPr>
      <w:r>
        <w:rPr>
          <w:bCs/>
          <w:b/>
        </w:rPr>
        <w:t xml:space="preserve">Regla de publicación:</w:t>
      </w:r>
      <w:r>
        <w:t xml:space="preserve"> </w:t>
      </w:r>
      <w:r>
        <w:t xml:space="preserve">vuelva a verificar hechos y enlaces sensibles al tiempo antes de liberar. Esta guía no garantiza empleo, remuneración, admisión, financiamiento, certificación, adaptación ni ningún otro resultado.</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2026-08-08T23:11:25Z</dcterms:created>
  <dcterms:modified xsi:type="dcterms:W3CDTF">2026-08-08T23:11:25Z</dcterms:modified>
</cp:coreProperties>
</file>

<file path=docProps/custom.xml><?xml version="1.0" encoding="utf-8"?>
<Properties xmlns="http://schemas.openxmlformats.org/officeDocument/2006/custom-properties" xmlns:vt="http://schemas.openxmlformats.org/officeDocument/2006/docPropsVTypes"/>
</file>