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8f4521c2c25bd4967db78a9ac10b91eece803bf"/>
    <w:p>
      <w:pPr>
        <w:pStyle w:val="Heading1"/>
      </w:pPr>
      <w:r>
        <w:t xml:space="preserve">Guia 57 — Reparador de Equipamentos Médicos</w:t>
      </w:r>
    </w:p>
    <w:p>
      <w:pPr>
        <w:pStyle w:val="FirstParagraph"/>
      </w:pPr>
      <w:r>
        <w:rPr>
          <w:bCs/>
          <w:b/>
        </w:rPr>
        <w:t xml:space="preserve">Mestre de trabalho controlado em português brasileiro — Versão 1.0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Reparadores de equipamentos médicos instalam, inspecionam, mantêm, diagnosticam falhas, calibram e reparam equipamentos usados no atendimento a pacientes. Empregadores podem usar títulos como</w:t>
      </w:r>
      <w:r>
        <w:t xml:space="preserve"> </w:t>
      </w:r>
      <w:r>
        <w:rPr>
          <w:bCs/>
          <w:b/>
        </w:rPr>
        <w:t xml:space="preserve">reparador de equipamentos médicos</w:t>
      </w:r>
      <w:r>
        <w:t xml:space="preserve">,</w:t>
      </w:r>
      <w:r>
        <w:t xml:space="preserve"> </w:t>
      </w:r>
      <w:r>
        <w:rPr>
          <w:bCs/>
          <w:b/>
        </w:rPr>
        <w:t xml:space="preserve">técnico em equipamentos biomédicos (BMET)</w:t>
      </w:r>
      <w:r>
        <w:t xml:space="preserve">,</w:t>
      </w:r>
      <w:r>
        <w:t xml:space="preserve"> </w:t>
      </w:r>
      <w:r>
        <w:rPr>
          <w:bCs/>
          <w:b/>
        </w:rPr>
        <w:t xml:space="preserve">técnico biomédico</w:t>
      </w:r>
      <w:r>
        <w:t xml:space="preserve">,</w:t>
      </w:r>
      <w:r>
        <w:t xml:space="preserve"> </w:t>
      </w:r>
      <w:r>
        <w:rPr>
          <w:bCs/>
          <w:b/>
        </w:rPr>
        <w:t xml:space="preserve">técnico de engenharia clínica</w:t>
      </w:r>
      <w:r>
        <w:t xml:space="preserve">,</w:t>
      </w:r>
      <w:r>
        <w:t xml:space="preserve"> </w:t>
      </w:r>
      <w:r>
        <w:rPr>
          <w:bCs/>
          <w:b/>
        </w:rPr>
        <w:t xml:space="preserve">técnico de serviço de campo</w:t>
      </w:r>
      <w:r>
        <w:t xml:space="preserve"> </w:t>
      </w:r>
      <w:r>
        <w:t xml:space="preserve">ou títulos semelhantes. Os títulos e o escopo variam conforme o empregador e a jurisdição.</w:t>
      </w:r>
    </w:p>
    <w:p>
      <w:pPr>
        <w:pStyle w:val="BodyText"/>
      </w:pPr>
      <w:r>
        <w:t xml:space="preserve">Essa ocupação fica na interseção entre eletrônica, mecânica, software, redes, sistemas de qualidade, segurança e operações de saúde. O trabalho pode envolver desde dispositivos simples até sistemas complexos que afetam diagnóstico, monitoramento, terapia ou suporte à vida.</w:t>
      </w:r>
    </w:p>
    <w:p>
      <w:pPr>
        <w:pStyle w:val="BodyText"/>
      </w:pPr>
      <w:r>
        <w:t xml:space="preserve">Um título de cargo nunca autoriza a executar qualquer tarefa possível. Trabalhe somente dentro da sua capacitação, da autorização do empregador, dos procedimentos do fabricante, da regulamentação aplicável e do escopo específico de serviço que lhe foi atribuído.</w:t>
      </w:r>
    </w:p>
    <w:bookmarkEnd w:id="20"/>
    <w:bookmarkStart w:id="21" w:name="Xc241459dc01ea7cfa3868a40a32f660e031265e"/>
    <w:p>
      <w:pPr>
        <w:pStyle w:val="Heading2"/>
      </w:pPr>
      <w:r>
        <w:t xml:space="preserve">O que um reparador de equipamentos médicos pode fazer</w:t>
      </w:r>
    </w:p>
    <w:p>
      <w:pPr>
        <w:pStyle w:val="FirstParagraph"/>
      </w:pPr>
      <w:r>
        <w:t xml:space="preserve">Dependendo da capacitação, autorização, classe do equipamento e empregador, o trabalho pode incluir:</w:t>
      </w:r>
    </w:p>
    <w:p>
      <w:pPr>
        <w:numPr>
          <w:ilvl w:val="0"/>
          <w:numId w:val="1001"/>
        </w:numPr>
        <w:pStyle w:val="Compact"/>
      </w:pPr>
      <w:r>
        <w:t xml:space="preserve">receber e inspecionar equipamentos novos;</w:t>
      </w:r>
    </w:p>
    <w:p>
      <w:pPr>
        <w:numPr>
          <w:ilvl w:val="0"/>
          <w:numId w:val="1001"/>
        </w:numPr>
        <w:pStyle w:val="Compact"/>
      </w:pPr>
      <w:r>
        <w:t xml:space="preserve">instalar equipamentos e verificar o funcionamento básico;</w:t>
      </w:r>
    </w:p>
    <w:p>
      <w:pPr>
        <w:numPr>
          <w:ilvl w:val="0"/>
          <w:numId w:val="1001"/>
        </w:numPr>
        <w:pStyle w:val="Compact"/>
      </w:pPr>
      <w:r>
        <w:t xml:space="preserve">realizar manutenção preventiva programada;</w:t>
      </w:r>
    </w:p>
    <w:p>
      <w:pPr>
        <w:numPr>
          <w:ilvl w:val="0"/>
          <w:numId w:val="1001"/>
        </w:numPr>
        <w:pStyle w:val="Compact"/>
      </w:pPr>
      <w:r>
        <w:t xml:space="preserve">inspecionar cabos, conectores, baterias, sensores, carcaças, controles, alarmes, acessórios e outros componentes;</w:t>
      </w:r>
    </w:p>
    <w:p>
      <w:pPr>
        <w:numPr>
          <w:ilvl w:val="0"/>
          <w:numId w:val="1001"/>
        </w:numPr>
        <w:pStyle w:val="Compact"/>
      </w:pPr>
      <w:r>
        <w:t xml:space="preserve">usar equipamentos de teste aprovados para verificar parâmetros elétricos, mecânicos, ambientais ou de desempenho;</w:t>
      </w:r>
    </w:p>
    <w:p>
      <w:pPr>
        <w:numPr>
          <w:ilvl w:val="0"/>
          <w:numId w:val="1001"/>
        </w:numPr>
        <w:pStyle w:val="Compact"/>
      </w:pPr>
      <w:r>
        <w:t xml:space="preserve">diagnosticar falhas usando documentação de serviço e ferramentas de diagnóstico aprovadas;</w:t>
      </w:r>
    </w:p>
    <w:p>
      <w:pPr>
        <w:numPr>
          <w:ilvl w:val="0"/>
          <w:numId w:val="1001"/>
        </w:numPr>
        <w:pStyle w:val="Compact"/>
      </w:pPr>
      <w:r>
        <w:t xml:space="preserve">substituir peças e conjuntos autorizados;</w:t>
      </w:r>
    </w:p>
    <w:p>
      <w:pPr>
        <w:numPr>
          <w:ilvl w:val="0"/>
          <w:numId w:val="1001"/>
        </w:numPr>
        <w:pStyle w:val="Compact"/>
      </w:pPr>
      <w:r>
        <w:t xml:space="preserve">calibrar ou verificar equipamentos conforme procedimentos aprovados;</w:t>
      </w:r>
    </w:p>
    <w:p>
      <w:pPr>
        <w:numPr>
          <w:ilvl w:val="0"/>
          <w:numId w:val="1001"/>
        </w:numPr>
        <w:pStyle w:val="Compact"/>
      </w:pPr>
      <w:r>
        <w:t xml:space="preserve">documentar manutenção, peças, medições, estado de software/firmware, ações corretivas e resultados de retorno ao serviço;</w:t>
      </w:r>
    </w:p>
    <w:p>
      <w:pPr>
        <w:numPr>
          <w:ilvl w:val="0"/>
          <w:numId w:val="1001"/>
        </w:numPr>
        <w:pStyle w:val="Compact"/>
      </w:pPr>
      <w:r>
        <w:t xml:space="preserve">apoiar registros de inventário, recalls, alertas e histórico de serviço;</w:t>
      </w:r>
    </w:p>
    <w:p>
      <w:pPr>
        <w:numPr>
          <w:ilvl w:val="0"/>
          <w:numId w:val="1001"/>
        </w:numPr>
        <w:pStyle w:val="Compact"/>
      </w:pPr>
      <w:r>
        <w:t xml:space="preserve">coordenar com fabricantes, fornecedores, engenharia clínica, tecnologia da informação, cibersegurança, instalações, prevenção de infecções e usuários clínicos;</w:t>
      </w:r>
    </w:p>
    <w:p>
      <w:pPr>
        <w:numPr>
          <w:ilvl w:val="0"/>
          <w:numId w:val="1001"/>
        </w:numPr>
        <w:pStyle w:val="Compact"/>
      </w:pPr>
      <w:r>
        <w:t xml:space="preserve">ajudar a identificar falhas recorrentes, riscos de segurança ou tendências anormais; e</w:t>
      </w:r>
    </w:p>
    <w:p>
      <w:pPr>
        <w:numPr>
          <w:ilvl w:val="0"/>
          <w:numId w:val="1001"/>
        </w:numPr>
        <w:pStyle w:val="Compact"/>
      </w:pPr>
      <w:r>
        <w:t xml:space="preserve">escalar incidentes, suspeitas de defeito, preocupações de cibersegurança ou trabalho fora dos procedimentos de serviço autorizados.</w:t>
      </w:r>
    </w:p>
    <w:p>
      <w:pPr>
        <w:pStyle w:val="FirstParagraph"/>
      </w:pPr>
      <w:r>
        <w:t xml:space="preserve">Algumas funções envolvem viagens de campo, rondas hospitalares, trabalho em oficina, reparo em bancada, suporte a dispositivos conectados em rede ou cobertura de plantão.</w:t>
      </w:r>
    </w:p>
    <w:bookmarkEnd w:id="21"/>
    <w:bookmarkStart w:id="22" w:name="o-que-esta-função-não-deve-presumir"/>
    <w:p>
      <w:pPr>
        <w:pStyle w:val="Heading2"/>
      </w:pPr>
      <w:r>
        <w:t xml:space="preserve">O que esta função não deve presumir</w:t>
      </w:r>
    </w:p>
    <w:p>
      <w:pPr>
        <w:pStyle w:val="FirstParagraph"/>
      </w:pPr>
      <w:r>
        <w:t xml:space="preserve">Não faça de forma independente:</w:t>
      </w:r>
    </w:p>
    <w:p>
      <w:pPr>
        <w:numPr>
          <w:ilvl w:val="0"/>
          <w:numId w:val="1002"/>
        </w:numPr>
        <w:pStyle w:val="Compact"/>
      </w:pPr>
      <w:r>
        <w:t xml:space="preserve">diagnóstico de pacientes nem decisões de tratamento;</w:t>
      </w:r>
    </w:p>
    <w:p>
      <w:pPr>
        <w:numPr>
          <w:ilvl w:val="0"/>
          <w:numId w:val="1002"/>
        </w:numPr>
        <w:pStyle w:val="Compact"/>
      </w:pPr>
      <w:r>
        <w:t xml:space="preserve">alterações de parâmetros clínicos porque você acredita que outra terapia seria melhor;</w:t>
      </w:r>
    </w:p>
    <w:p>
      <w:pPr>
        <w:numPr>
          <w:ilvl w:val="0"/>
          <w:numId w:val="1002"/>
        </w:numPr>
        <w:pStyle w:val="Compact"/>
      </w:pPr>
      <w:r>
        <w:t xml:space="preserve">desativação de alarmes de segurança, intertravamentos, proteções de aterramento, controles de acesso ou outras salvaguardas apenas para fazer o equipamento funcionar;</w:t>
      </w:r>
    </w:p>
    <w:p>
      <w:pPr>
        <w:numPr>
          <w:ilvl w:val="0"/>
          <w:numId w:val="1002"/>
        </w:numPr>
        <w:pStyle w:val="Compact"/>
      </w:pPr>
      <w:r>
        <w:t xml:space="preserve">instalação de peças, firmware, software, patches, drivers ou alterações de configuração não aprovadas;</w:t>
      </w:r>
    </w:p>
    <w:p>
      <w:pPr>
        <w:numPr>
          <w:ilvl w:val="0"/>
          <w:numId w:val="1002"/>
        </w:numPr>
        <w:pStyle w:val="Compact"/>
      </w:pPr>
      <w:r>
        <w:t xml:space="preserve">alteração do uso pretendido de um dispositivo ou mudança material de suas especificações de segurança/desempenho sem o processo exigido de engenharia, qualidade, fabricante e regulamentação;</w:t>
      </w:r>
    </w:p>
    <w:p>
      <w:pPr>
        <w:numPr>
          <w:ilvl w:val="0"/>
          <w:numId w:val="1002"/>
        </w:numPr>
        <w:pStyle w:val="Compact"/>
      </w:pPr>
      <w:r>
        <w:t xml:space="preserve">omissão de etapas obrigatórias de calibração, testes, documentação, controle de infecção ou retorno ao serviço;</w:t>
      </w:r>
    </w:p>
    <w:p>
      <w:pPr>
        <w:numPr>
          <w:ilvl w:val="0"/>
          <w:numId w:val="1002"/>
        </w:numPr>
        <w:pStyle w:val="Compact"/>
      </w:pPr>
      <w:r>
        <w:t xml:space="preserve">falsificação de registros de serviço, resultados de testes, números de série, peças, informações de incidentes ou datas de manutenção;</w:t>
      </w:r>
    </w:p>
    <w:p>
      <w:pPr>
        <w:numPr>
          <w:ilvl w:val="0"/>
          <w:numId w:val="1002"/>
        </w:numPr>
        <w:pStyle w:val="Compact"/>
      </w:pPr>
      <w:r>
        <w:t xml:space="preserve">uso das credenciais de outro trabalhador ou compartilhamento de senhas de serviço; nem</w:t>
      </w:r>
    </w:p>
    <w:p>
      <w:pPr>
        <w:numPr>
          <w:ilvl w:val="0"/>
          <w:numId w:val="1002"/>
        </w:numPr>
        <w:pStyle w:val="Compact"/>
      </w:pPr>
      <w:r>
        <w:t xml:space="preserve">ocultação de falha ou evento adverso que possa ter afetado a segurança do paciente ou operador.</w:t>
      </w:r>
    </w:p>
    <w:p>
      <w:pPr>
        <w:pStyle w:val="FirstParagraph"/>
      </w:pPr>
      <w:r>
        <w:t xml:space="preserve">Quando uma tarefa puder ultrapassar o serviço comum e entrar em modificação ou remanufatura, pare e escale antes de prosseguir.</w:t>
      </w:r>
    </w:p>
    <w:bookmarkEnd w:id="22"/>
    <w:bookmarkStart w:id="23" w:name="Xc4c5b1d7972e067c1ff804d57bdce817c6da447"/>
    <w:p>
      <w:pPr>
        <w:pStyle w:val="Heading2"/>
      </w:pPr>
      <w:r>
        <w:t xml:space="preserve">Serviço versus remanufatura — Estados Unidos</w:t>
      </w:r>
    </w:p>
    <w:p>
      <w:pPr>
        <w:pStyle w:val="FirstParagraph"/>
      </w:pPr>
      <w:r>
        <w:t xml:space="preserve">A Food and Drug Administration (FDA) dos Estados Unidos distingue</w:t>
      </w:r>
      <w:r>
        <w:t xml:space="preserve"> </w:t>
      </w:r>
      <w:r>
        <w:rPr>
          <w:bCs/>
          <w:b/>
        </w:rPr>
        <w:t xml:space="preserve">servicing</w:t>
      </w:r>
      <w:r>
        <w:t xml:space="preserve"> </w:t>
      </w:r>
      <w:r>
        <w:t xml:space="preserve">de</w:t>
      </w:r>
      <w:r>
        <w:t xml:space="preserve"> </w:t>
      </w:r>
      <w:r>
        <w:rPr>
          <w:bCs/>
          <w:b/>
        </w:rPr>
        <w:t xml:space="preserve">remanufacturing</w:t>
      </w:r>
      <w:r>
        <w:t xml:space="preserve">.</w:t>
      </w:r>
    </w:p>
    <w:p>
      <w:pPr>
        <w:pStyle w:val="BodyText"/>
      </w:pPr>
      <w:r>
        <w:t xml:space="preserve">No marco da FDA, servicing em geral significa reparo, manutenção preventiva ou manutenção de rotina com o objetivo de devolver um dispositivo acabado às especificações de segurança e desempenho do fabricante original e ao uso pretendido original.</w:t>
      </w:r>
    </w:p>
    <w:p>
      <w:pPr>
        <w:pStyle w:val="BodyText"/>
      </w:pPr>
      <w:r>
        <w:t xml:space="preserve">Remanufacturing pode incluir atividade que altere significativamente as especificações de desempenho ou segurança de um dispositivo acabado ou seu uso pretendido. O nome que uma empresa dá ao trabalho não determina a classificação regulatória; importa o que a atividade realmente faz ao dispositivo.</w:t>
      </w:r>
    </w:p>
    <w:p>
      <w:pPr>
        <w:pStyle w:val="BodyText"/>
      </w:pPr>
      <w:r>
        <w:t xml:space="preserve">Para um técnico individual, a regra prática é simples:</w:t>
      </w:r>
      <w:r>
        <w:t xml:space="preserve"> </w:t>
      </w:r>
      <w:r>
        <w:rPr>
          <w:bCs/>
          <w:b/>
        </w:rPr>
        <w:t xml:space="preserve">não improvise uma alteração de projeto sob o rótulo de reparo</w:t>
      </w:r>
      <w:r>
        <w:t xml:space="preserve">. Se uma mudança proposta estiver fora das instruções de serviço aprovadas ou puder afetar materialmente segurança, desempenho, cibersegurança, rotulagem ou uso pretendido, escale para as funções responsáveis de engenharia, qualidade, fabricante e regulamentação.</w:t>
      </w:r>
    </w:p>
    <w:bookmarkEnd w:id="23"/>
    <w:bookmarkStart w:id="24" w:name="segurança-do-paciente-e-do-trabalhador"/>
    <w:p>
      <w:pPr>
        <w:pStyle w:val="Heading2"/>
      </w:pPr>
      <w:r>
        <w:t xml:space="preserve">Segurança do paciente e do trabalhador</w:t>
      </w:r>
    </w:p>
    <w:p>
      <w:pPr>
        <w:pStyle w:val="FirstParagraph"/>
      </w:pPr>
      <w:r>
        <w:t xml:space="preserve">O serviço em equipamentos médicos pode expor trabalhadores a riscos graves. Dependendo do dispositivo e do ambiente, os riscos podem incluir:</w:t>
      </w:r>
    </w:p>
    <w:p>
      <w:pPr>
        <w:numPr>
          <w:ilvl w:val="0"/>
          <w:numId w:val="1003"/>
        </w:numPr>
        <w:pStyle w:val="Compact"/>
      </w:pPr>
      <w:r>
        <w:t xml:space="preserve">tensão de rede e energia elétrica armazenada;</w:t>
      </w:r>
    </w:p>
    <w:p>
      <w:pPr>
        <w:numPr>
          <w:ilvl w:val="0"/>
          <w:numId w:val="1003"/>
        </w:numPr>
        <w:pStyle w:val="Compact"/>
      </w:pPr>
      <w:r>
        <w:t xml:space="preserve">capacitores de alta tensão;</w:t>
      </w:r>
    </w:p>
    <w:p>
      <w:pPr>
        <w:numPr>
          <w:ilvl w:val="0"/>
          <w:numId w:val="1003"/>
        </w:numPr>
        <w:pStyle w:val="Compact"/>
      </w:pPr>
      <w:r>
        <w:t xml:space="preserve">baterias e fuga térmica;</w:t>
      </w:r>
    </w:p>
    <w:p>
      <w:pPr>
        <w:numPr>
          <w:ilvl w:val="0"/>
          <w:numId w:val="1003"/>
        </w:numPr>
        <w:pStyle w:val="Compact"/>
      </w:pPr>
      <w:r>
        <w:t xml:space="preserve">partes mecânicas móveis;</w:t>
      </w:r>
    </w:p>
    <w:p>
      <w:pPr>
        <w:numPr>
          <w:ilvl w:val="0"/>
          <w:numId w:val="1003"/>
        </w:numPr>
        <w:pStyle w:val="Compact"/>
      </w:pPr>
      <w:r>
        <w:t xml:space="preserve">sistemas de gás comprimido ou pressão;</w:t>
      </w:r>
    </w:p>
    <w:p>
      <w:pPr>
        <w:numPr>
          <w:ilvl w:val="0"/>
          <w:numId w:val="1003"/>
        </w:numPr>
        <w:pStyle w:val="Compact"/>
      </w:pPr>
      <w:r>
        <w:t xml:space="preserve">superfícies quentes;</w:t>
      </w:r>
    </w:p>
    <w:p>
      <w:pPr>
        <w:numPr>
          <w:ilvl w:val="0"/>
          <w:numId w:val="1003"/>
        </w:numPr>
        <w:pStyle w:val="Compact"/>
      </w:pPr>
      <w:r>
        <w:t xml:space="preserve">lasers ou radiação óptica;</w:t>
      </w:r>
    </w:p>
    <w:p>
      <w:pPr>
        <w:numPr>
          <w:ilvl w:val="0"/>
          <w:numId w:val="1003"/>
        </w:numPr>
        <w:pStyle w:val="Compact"/>
      </w:pPr>
      <w:r>
        <w:t xml:space="preserve">ambientes com radiação ionizante;</w:t>
      </w:r>
    </w:p>
    <w:p>
      <w:pPr>
        <w:numPr>
          <w:ilvl w:val="0"/>
          <w:numId w:val="1003"/>
        </w:numPr>
        <w:pStyle w:val="Compact"/>
      </w:pPr>
      <w:r>
        <w:t xml:space="preserve">riscos de campo magnético;</w:t>
      </w:r>
    </w:p>
    <w:p>
      <w:pPr>
        <w:numPr>
          <w:ilvl w:val="0"/>
          <w:numId w:val="1003"/>
        </w:numPr>
        <w:pStyle w:val="Compact"/>
      </w:pPr>
      <w:r>
        <w:t xml:space="preserve">contaminação biológica;</w:t>
      </w:r>
    </w:p>
    <w:p>
      <w:pPr>
        <w:numPr>
          <w:ilvl w:val="0"/>
          <w:numId w:val="1003"/>
        </w:numPr>
        <w:pStyle w:val="Compact"/>
      </w:pPr>
      <w:r>
        <w:t xml:space="preserve">perfurocortantes ou exposição a fluidos corporais;</w:t>
      </w:r>
    </w:p>
    <w:p>
      <w:pPr>
        <w:numPr>
          <w:ilvl w:val="0"/>
          <w:numId w:val="1003"/>
        </w:numPr>
        <w:pStyle w:val="Compact"/>
      </w:pPr>
      <w:r>
        <w:t xml:space="preserve">produtos químicos perigosos;</w:t>
      </w:r>
    </w:p>
    <w:p>
      <w:pPr>
        <w:numPr>
          <w:ilvl w:val="0"/>
          <w:numId w:val="1003"/>
        </w:numPr>
        <w:pStyle w:val="Compact"/>
      </w:pPr>
      <w:r>
        <w:t xml:space="preserve">equipamentos pesados ou difíceis de manusear;</w:t>
      </w:r>
    </w:p>
    <w:p>
      <w:pPr>
        <w:numPr>
          <w:ilvl w:val="0"/>
          <w:numId w:val="1003"/>
        </w:numPr>
        <w:pStyle w:val="Compact"/>
      </w:pPr>
      <w:r>
        <w:t xml:space="preserve">riscos de tropeço e ergonomia; e</w:t>
      </w:r>
    </w:p>
    <w:p>
      <w:pPr>
        <w:numPr>
          <w:ilvl w:val="0"/>
          <w:numId w:val="1003"/>
        </w:numPr>
        <w:pStyle w:val="Compact"/>
      </w:pPr>
      <w:r>
        <w:t xml:space="preserve">ativação inesperada do dispositivo.</w:t>
      </w:r>
    </w:p>
    <w:p>
      <w:pPr>
        <w:pStyle w:val="FirstParagraph"/>
      </w:pPr>
      <w:r>
        <w:t xml:space="preserve">Use o procedimento de bloqueio/etiquetagem ou controle de energia do empregador quando aplicável. Siga os requisitos de equipamento de proteção individual, prevenção de infecções, descontaminação, segurança elétrica, segurança radiológica, movimentação de cargas e isolamento do equipamento.</w:t>
      </w:r>
    </w:p>
    <w:p>
      <w:pPr>
        <w:pStyle w:val="BodyText"/>
      </w:pPr>
      <w:r>
        <w:t xml:space="preserve">Não trate equipamento contaminado como se fosse um eletrônico de consumo comum. Confirme o processo exigido de descontaminação e controle de infecção antes de abrir ou transportar o equipamento quando houver possibilidade de exposição.</w:t>
      </w:r>
    </w:p>
    <w:bookmarkEnd w:id="24"/>
    <w:bookmarkStart w:id="25" w:name="disciplina-de-retorno-ao-serviço"/>
    <w:p>
      <w:pPr>
        <w:pStyle w:val="Heading2"/>
      </w:pPr>
      <w:r>
        <w:t xml:space="preserve">Disciplina de retorno ao serviço</w:t>
      </w:r>
    </w:p>
    <w:p>
      <w:pPr>
        <w:pStyle w:val="FirstParagraph"/>
      </w:pPr>
      <w:r>
        <w:t xml:space="preserve">O reparo não termina apenas porque o dispositivo liga.</w:t>
      </w:r>
    </w:p>
    <w:p>
      <w:pPr>
        <w:pStyle w:val="BodyText"/>
      </w:pPr>
      <w:r>
        <w:t xml:space="preserve">Antes do retorno ao serviço, siga o procedimento aplicável para:</w:t>
      </w:r>
    </w:p>
    <w:p>
      <w:pPr>
        <w:numPr>
          <w:ilvl w:val="0"/>
          <w:numId w:val="1004"/>
        </w:numPr>
        <w:pStyle w:val="Compact"/>
      </w:pPr>
      <w:r>
        <w:t xml:space="preserve">verificação funcional;</w:t>
      </w:r>
    </w:p>
    <w:p>
      <w:pPr>
        <w:numPr>
          <w:ilvl w:val="0"/>
          <w:numId w:val="1004"/>
        </w:numPr>
        <w:pStyle w:val="Compact"/>
      </w:pPr>
      <w:r>
        <w:t xml:space="preserve">calibração ou verificação de desempenho quando exigida;</w:t>
      </w:r>
    </w:p>
    <w:p>
      <w:pPr>
        <w:numPr>
          <w:ilvl w:val="0"/>
          <w:numId w:val="1004"/>
        </w:numPr>
        <w:pStyle w:val="Compact"/>
      </w:pPr>
      <w:r>
        <w:t xml:space="preserve">testes de alarmes e segurança;</w:t>
      </w:r>
    </w:p>
    <w:p>
      <w:pPr>
        <w:numPr>
          <w:ilvl w:val="0"/>
          <w:numId w:val="1004"/>
        </w:numPr>
        <w:pStyle w:val="Compact"/>
      </w:pPr>
      <w:r>
        <w:t xml:space="preserve">testes de segurança elétrica quando aplicáveis;</w:t>
      </w:r>
    </w:p>
    <w:p>
      <w:pPr>
        <w:numPr>
          <w:ilvl w:val="0"/>
          <w:numId w:val="1004"/>
        </w:numPr>
        <w:pStyle w:val="Compact"/>
      </w:pPr>
      <w:r>
        <w:t xml:space="preserve">verificação de acessórios e bateria;</w:t>
      </w:r>
    </w:p>
    <w:p>
      <w:pPr>
        <w:numPr>
          <w:ilvl w:val="0"/>
          <w:numId w:val="1004"/>
        </w:numPr>
        <w:pStyle w:val="Compact"/>
      </w:pPr>
      <w:r>
        <w:t xml:space="preserve">confirmação de software/firmware/configuração;</w:t>
      </w:r>
    </w:p>
    <w:p>
      <w:pPr>
        <w:numPr>
          <w:ilvl w:val="0"/>
          <w:numId w:val="1004"/>
        </w:numPr>
        <w:pStyle w:val="Compact"/>
      </w:pPr>
      <w:r>
        <w:t xml:space="preserve">etiquetas, lacres, tampas, fixadores e proteções;</w:t>
      </w:r>
    </w:p>
    <w:p>
      <w:pPr>
        <w:numPr>
          <w:ilvl w:val="0"/>
          <w:numId w:val="1004"/>
        </w:numPr>
        <w:pStyle w:val="Compact"/>
      </w:pPr>
      <w:r>
        <w:t xml:space="preserve">condição de limpeza/descontaminação;</w:t>
      </w:r>
    </w:p>
    <w:p>
      <w:pPr>
        <w:numPr>
          <w:ilvl w:val="0"/>
          <w:numId w:val="1004"/>
        </w:numPr>
        <w:pStyle w:val="Compact"/>
      </w:pPr>
      <w:r>
        <w:t xml:space="preserve">documentação de peças e medições;</w:t>
      </w:r>
    </w:p>
    <w:p>
      <w:pPr>
        <w:numPr>
          <w:ilvl w:val="0"/>
          <w:numId w:val="1004"/>
        </w:numPr>
        <w:pStyle w:val="Compact"/>
      </w:pPr>
      <w:r>
        <w:t xml:space="preserve">limitações ou exceções não resolvidas; e</w:t>
      </w:r>
    </w:p>
    <w:p>
      <w:pPr>
        <w:numPr>
          <w:ilvl w:val="0"/>
          <w:numId w:val="1004"/>
        </w:numPr>
        <w:pStyle w:val="Compact"/>
      </w:pPr>
      <w:r>
        <w:t xml:space="preserve">revisão ou aprovação exigida.</w:t>
      </w:r>
    </w:p>
    <w:p>
      <w:pPr>
        <w:pStyle w:val="FirstParagraph"/>
      </w:pPr>
      <w:r>
        <w:t xml:space="preserve">Se um dispositivo não puder atender aos critérios de aceitação exigidos, mantenha-o fora de serviço e escale o problema em vez de alterar os critérios para fazer o reparo passar.</w:t>
      </w:r>
    </w:p>
    <w:bookmarkEnd w:id="25"/>
    <w:bookmarkStart w:id="26" w:name="documentação-e-rastreabilidade"/>
    <w:p>
      <w:pPr>
        <w:pStyle w:val="Heading2"/>
      </w:pPr>
      <w:r>
        <w:t xml:space="preserve">Documentação e rastreabilidade</w:t>
      </w:r>
    </w:p>
    <w:p>
      <w:pPr>
        <w:pStyle w:val="FirstParagraph"/>
      </w:pPr>
      <w:r>
        <w:t xml:space="preserve">Registros de serviço de alta qualidade ajudam a proteger pacientes, trabalhadores, empregadores, fabricantes e futuros técnicos.</w:t>
      </w:r>
    </w:p>
    <w:p>
      <w:pPr>
        <w:pStyle w:val="BodyText"/>
      </w:pPr>
      <w:r>
        <w:t xml:space="preserve">Documente as informações exigidas pelo empregador e pelo procedimento, que podem incluir:</w:t>
      </w:r>
    </w:p>
    <w:p>
      <w:pPr>
        <w:numPr>
          <w:ilvl w:val="0"/>
          <w:numId w:val="1005"/>
        </w:numPr>
        <w:pStyle w:val="Compact"/>
      </w:pPr>
      <w:r>
        <w:t xml:space="preserve">número patrimonial e número de série;</w:t>
      </w:r>
    </w:p>
    <w:p>
      <w:pPr>
        <w:numPr>
          <w:ilvl w:val="0"/>
          <w:numId w:val="1005"/>
        </w:numPr>
        <w:pStyle w:val="Compact"/>
      </w:pPr>
      <w:r>
        <w:t xml:space="preserve">modelo e fabricante;</w:t>
      </w:r>
    </w:p>
    <w:p>
      <w:pPr>
        <w:numPr>
          <w:ilvl w:val="0"/>
          <w:numId w:val="1005"/>
        </w:numPr>
        <w:pStyle w:val="Compact"/>
      </w:pPr>
      <w:r>
        <w:t xml:space="preserve">solicitação de serviço ou número da ordem de trabalho;</w:t>
      </w:r>
    </w:p>
    <w:p>
      <w:pPr>
        <w:numPr>
          <w:ilvl w:val="0"/>
          <w:numId w:val="1005"/>
        </w:numPr>
        <w:pStyle w:val="Compact"/>
      </w:pPr>
      <w:r>
        <w:t xml:space="preserve">problema relatado;</w:t>
      </w:r>
    </w:p>
    <w:p>
      <w:pPr>
        <w:numPr>
          <w:ilvl w:val="0"/>
          <w:numId w:val="1005"/>
        </w:numPr>
        <w:pStyle w:val="Compact"/>
      </w:pPr>
      <w:r>
        <w:t xml:space="preserve">achados de inspeção;</w:t>
      </w:r>
    </w:p>
    <w:p>
      <w:pPr>
        <w:numPr>
          <w:ilvl w:val="0"/>
          <w:numId w:val="1005"/>
        </w:numPr>
        <w:pStyle w:val="Compact"/>
      </w:pPr>
      <w:r>
        <w:t xml:space="preserve">peças substituídas;</w:t>
      </w:r>
    </w:p>
    <w:p>
      <w:pPr>
        <w:numPr>
          <w:ilvl w:val="0"/>
          <w:numId w:val="1005"/>
        </w:numPr>
        <w:pStyle w:val="Compact"/>
      </w:pPr>
      <w:r>
        <w:t xml:space="preserve">medições e equipamento de teste utilizado;</w:t>
      </w:r>
    </w:p>
    <w:p>
      <w:pPr>
        <w:numPr>
          <w:ilvl w:val="0"/>
          <w:numId w:val="1005"/>
        </w:numPr>
        <w:pStyle w:val="Compact"/>
      </w:pPr>
      <w:r>
        <w:t xml:space="preserve">resultados de calibração ou verificação;</w:t>
      </w:r>
    </w:p>
    <w:p>
      <w:pPr>
        <w:numPr>
          <w:ilvl w:val="0"/>
          <w:numId w:val="1005"/>
        </w:numPr>
        <w:pStyle w:val="Compact"/>
      </w:pPr>
      <w:r>
        <w:t xml:space="preserve">estado de firmware/software/configuração quando relevante;</w:t>
      </w:r>
    </w:p>
    <w:p>
      <w:pPr>
        <w:numPr>
          <w:ilvl w:val="0"/>
          <w:numId w:val="1005"/>
        </w:numPr>
        <w:pStyle w:val="Compact"/>
      </w:pPr>
      <w:r>
        <w:t xml:space="preserve">ação corretiva;</w:t>
      </w:r>
    </w:p>
    <w:p>
      <w:pPr>
        <w:numPr>
          <w:ilvl w:val="0"/>
          <w:numId w:val="1005"/>
        </w:numPr>
        <w:pStyle w:val="Compact"/>
      </w:pPr>
      <w:r>
        <w:t xml:space="preserve">preocupações não resolvidas;</w:t>
      </w:r>
    </w:p>
    <w:p>
      <w:pPr>
        <w:numPr>
          <w:ilvl w:val="0"/>
          <w:numId w:val="1005"/>
        </w:numPr>
        <w:pStyle w:val="Compact"/>
      </w:pPr>
      <w:r>
        <w:t xml:space="preserve">vínculo com incidente ou alerta; e</w:t>
      </w:r>
    </w:p>
    <w:p>
      <w:pPr>
        <w:numPr>
          <w:ilvl w:val="0"/>
          <w:numId w:val="1005"/>
        </w:numPr>
        <w:pStyle w:val="Compact"/>
      </w:pPr>
      <w:r>
        <w:t xml:space="preserve">condição de retorno ao serviço.</w:t>
      </w:r>
    </w:p>
    <w:p>
      <w:pPr>
        <w:pStyle w:val="FirstParagraph"/>
      </w:pPr>
      <w:r>
        <w:t xml:space="preserve">Nunca retrodate, invente, copie resultados anteriores ou altere resultados para fazer um registro parecer completo.</w:t>
      </w:r>
    </w:p>
    <w:bookmarkEnd w:id="26"/>
    <w:bookmarkStart w:id="27" w:name="cibersegurança-de-dispositivos-médicos"/>
    <w:p>
      <w:pPr>
        <w:pStyle w:val="Heading2"/>
      </w:pPr>
      <w:r>
        <w:t xml:space="preserve">Cibersegurança de dispositivos médicos</w:t>
      </w:r>
    </w:p>
    <w:p>
      <w:pPr>
        <w:pStyle w:val="FirstParagraph"/>
      </w:pPr>
      <w:r>
        <w:t xml:space="preserve">Dispositivos modernos podem ser computadores em rede além de equipamentos clínicos. Um reparador pode encontrar endereços de rede, configuração sem fio, contas de serviço, firmware, logs, mídia removível, sistemas de acesso remoto de fornecedores, certificados, material criptográfico ou recursos conectados à nuvem.</w:t>
      </w:r>
    </w:p>
    <w:p>
      <w:pPr>
        <w:pStyle w:val="BodyText"/>
      </w:pPr>
      <w:r>
        <w:t xml:space="preserve">Princípios de serviço seguro incluem:</w:t>
      </w:r>
    </w:p>
    <w:p>
      <w:pPr>
        <w:numPr>
          <w:ilvl w:val="0"/>
          <w:numId w:val="1006"/>
        </w:numPr>
        <w:pStyle w:val="Compact"/>
      </w:pPr>
      <w:r>
        <w:t xml:space="preserve">usar somente contas, ferramentas, notebooks, mídias e métodos de acesso remoto aprovados;</w:t>
      </w:r>
    </w:p>
    <w:p>
      <w:pPr>
        <w:numPr>
          <w:ilvl w:val="0"/>
          <w:numId w:val="1006"/>
        </w:numPr>
        <w:pStyle w:val="Compact"/>
      </w:pPr>
      <w:r>
        <w:t xml:space="preserve">nunca compartilhar senhas ou credenciais de serviço;</w:t>
      </w:r>
    </w:p>
    <w:p>
      <w:pPr>
        <w:numPr>
          <w:ilvl w:val="0"/>
          <w:numId w:val="1006"/>
        </w:numPr>
        <w:pStyle w:val="Compact"/>
      </w:pPr>
      <w:r>
        <w:t xml:space="preserve">não conectar dispositivos USB desconhecidos nem equipamentos pessoais a sistemas médicos;</w:t>
      </w:r>
    </w:p>
    <w:p>
      <w:pPr>
        <w:numPr>
          <w:ilvl w:val="0"/>
          <w:numId w:val="1006"/>
        </w:numPr>
        <w:pStyle w:val="Compact"/>
      </w:pPr>
      <w:r>
        <w:t xml:space="preserve">verificar pacotes de firmware/software e versões aprovadas antes da instalação;</w:t>
      </w:r>
    </w:p>
    <w:p>
      <w:pPr>
        <w:numPr>
          <w:ilvl w:val="0"/>
          <w:numId w:val="1006"/>
        </w:numPr>
        <w:pStyle w:val="Compact"/>
      </w:pPr>
      <w:r>
        <w:t xml:space="preserve">seguir requisitos de gestão de mudanças para alterações de rede ou configuração;</w:t>
      </w:r>
    </w:p>
    <w:p>
      <w:pPr>
        <w:numPr>
          <w:ilvl w:val="0"/>
          <w:numId w:val="1006"/>
        </w:numPr>
        <w:pStyle w:val="Compact"/>
      </w:pPr>
      <w:r>
        <w:t xml:space="preserve">preservar logs e evidências se houver suspeita de incidente de cibersegurança;</w:t>
      </w:r>
    </w:p>
    <w:p>
      <w:pPr>
        <w:numPr>
          <w:ilvl w:val="0"/>
          <w:numId w:val="1006"/>
        </w:numPr>
        <w:pStyle w:val="Compact"/>
      </w:pPr>
      <w:r>
        <w:t xml:space="preserve">escalar comportamento de rede inesperado, acesso não autorizado, indicadores de malware, reinicializações incomuns, alterações de configuração sem explicação ou alertas de segurança;</w:t>
      </w:r>
    </w:p>
    <w:p>
      <w:pPr>
        <w:numPr>
          <w:ilvl w:val="0"/>
          <w:numId w:val="1006"/>
        </w:numPr>
        <w:pStyle w:val="Compact"/>
      </w:pPr>
      <w:r>
        <w:t xml:space="preserve">seguir procedimentos de resposta a vulnerabilidades do fabricante e do empregador; e</w:t>
      </w:r>
    </w:p>
    <w:p>
      <w:pPr>
        <w:numPr>
          <w:ilvl w:val="0"/>
          <w:numId w:val="1006"/>
        </w:numPr>
        <w:pStyle w:val="Compact"/>
      </w:pPr>
      <w:r>
        <w:t xml:space="preserve">coordenar com cibersegurança/TI em vez de tratar uma suspeita de comprometimento como falha comum de hardware.</w:t>
      </w:r>
    </w:p>
    <w:p>
      <w:pPr>
        <w:pStyle w:val="FirstParagraph"/>
      </w:pPr>
      <w:r>
        <w:t xml:space="preserve">Responsabilidade de cibersegurança não significa que um reparador deva executar testes de penetração não autorizados em dispositivos clínicos.</w:t>
      </w:r>
    </w:p>
    <w:bookmarkEnd w:id="27"/>
    <w:bookmarkStart w:id="28" w:name="privacidade-e-informações-confidenciais"/>
    <w:p>
      <w:pPr>
        <w:pStyle w:val="Heading2"/>
      </w:pPr>
      <w:r>
        <w:t xml:space="preserve">Privacidade e informações confidenciais</w:t>
      </w:r>
    </w:p>
    <w:p>
      <w:pPr>
        <w:pStyle w:val="FirstParagraph"/>
      </w:pPr>
      <w:r>
        <w:t xml:space="preserve">Um técnico pode encontrar nomes de pacientes, identificadores, imagens, formas de onda, relatórios, agendas ou outras informações de saúde protegidas ao testar ou prestar serviço em equipamentos.</w:t>
      </w:r>
    </w:p>
    <w:p>
      <w:pPr>
        <w:pStyle w:val="BodyText"/>
      </w:pPr>
      <w:r>
        <w:t xml:space="preserve">Use o mínimo de informação necessário para o trabalho autorizado. Siga as regras de privacidade e segurança do empregador. Não fotografe telas, copie dados de pacientes, exporte logs nem mova dados para armazenamento pessoal, salvo quando explicitamente autorizado e exigido pelo procedimento.</w:t>
      </w:r>
    </w:p>
    <w:p>
      <w:pPr>
        <w:pStyle w:val="BodyText"/>
      </w:pPr>
      <w:r>
        <w:t xml:space="preserve">Nunca coloque informações de pacientes, credenciais, manuais de serviço proprietários, segredos de dispositivos, dados internos de rede ou material confidencial de configuração em um sistema público ou não aprovado de IA generativa.</w:t>
      </w:r>
    </w:p>
    <w:bookmarkEnd w:id="28"/>
    <w:bookmarkStart w:id="29" w:name="uso-responsável-de-ia"/>
    <w:p>
      <w:pPr>
        <w:pStyle w:val="Heading2"/>
      </w:pPr>
      <w:r>
        <w:t xml:space="preserve">Uso responsável de IA</w:t>
      </w:r>
    </w:p>
    <w:p>
      <w:pPr>
        <w:pStyle w:val="FirstParagraph"/>
      </w:pPr>
      <w:r>
        <w:t xml:space="preserve">A IA pode às vezes ajudar em aprendizado geral, terminologia, planejamento de estudos ou elaboração de listas de verificação não sensíveis. Ela não deve substituir:</w:t>
      </w:r>
    </w:p>
    <w:p>
      <w:pPr>
        <w:numPr>
          <w:ilvl w:val="0"/>
          <w:numId w:val="1007"/>
        </w:numPr>
        <w:pStyle w:val="Compact"/>
      </w:pPr>
      <w:r>
        <w:t xml:space="preserve">instruções de serviço do fabricante;</w:t>
      </w:r>
    </w:p>
    <w:p>
      <w:pPr>
        <w:numPr>
          <w:ilvl w:val="0"/>
          <w:numId w:val="1007"/>
        </w:numPr>
        <w:pStyle w:val="Compact"/>
      </w:pPr>
      <w:r>
        <w:t xml:space="preserve">procedimentos de teste aprovados;</w:t>
      </w:r>
    </w:p>
    <w:p>
      <w:pPr>
        <w:numPr>
          <w:ilvl w:val="0"/>
          <w:numId w:val="1007"/>
        </w:numPr>
        <w:pStyle w:val="Compact"/>
      </w:pPr>
      <w:r>
        <w:t xml:space="preserve">julgamento de engenharia para mudanças críticas de segurança;</w:t>
      </w:r>
    </w:p>
    <w:p>
      <w:pPr>
        <w:numPr>
          <w:ilvl w:val="0"/>
          <w:numId w:val="1007"/>
        </w:numPr>
        <w:pStyle w:val="Compact"/>
      </w:pPr>
      <w:r>
        <w:t xml:space="preserve">políticas do empregador;</w:t>
      </w:r>
    </w:p>
    <w:p>
      <w:pPr>
        <w:numPr>
          <w:ilvl w:val="0"/>
          <w:numId w:val="1007"/>
        </w:numPr>
        <w:pStyle w:val="Compact"/>
      </w:pPr>
      <w:r>
        <w:t xml:space="preserve">requisitos regulatórios;</w:t>
      </w:r>
    </w:p>
    <w:p>
      <w:pPr>
        <w:numPr>
          <w:ilvl w:val="0"/>
          <w:numId w:val="1007"/>
        </w:numPr>
        <w:pStyle w:val="Compact"/>
      </w:pPr>
      <w:r>
        <w:t xml:space="preserve">resposta a incidentes de cibersegurança;</w:t>
      </w:r>
    </w:p>
    <w:p>
      <w:pPr>
        <w:numPr>
          <w:ilvl w:val="0"/>
          <w:numId w:val="1007"/>
        </w:numPr>
        <w:pStyle w:val="Compact"/>
      </w:pPr>
      <w:r>
        <w:t xml:space="preserve">padrões de calibração;</w:t>
      </w:r>
    </w:p>
    <w:p>
      <w:pPr>
        <w:numPr>
          <w:ilvl w:val="0"/>
          <w:numId w:val="1007"/>
        </w:numPr>
        <w:pStyle w:val="Compact"/>
      </w:pPr>
      <w:r>
        <w:t xml:space="preserve">julgamento clínico; nem</w:t>
      </w:r>
    </w:p>
    <w:p>
      <w:pPr>
        <w:numPr>
          <w:ilvl w:val="0"/>
          <w:numId w:val="1007"/>
        </w:numPr>
        <w:pStyle w:val="Compact"/>
      </w:pPr>
      <w:r>
        <w:t xml:space="preserve">escalonamento de emergência.</w:t>
      </w:r>
    </w:p>
    <w:p>
      <w:pPr>
        <w:pStyle w:val="FirstParagraph"/>
      </w:pPr>
      <w:r>
        <w:t xml:space="preserve">Trate a saída de IA como não verificada até conferi-la com fontes aprovadas. Nunca permita que um sistema de IA o convença a contornar um intertravamento de segurança, alterar um parâmetro clínico, inventar um resultado de teste ou usar peça ou imagem de firmware não aprovada.</w:t>
      </w:r>
    </w:p>
    <w:bookmarkEnd w:id="29"/>
    <w:bookmarkStart w:id="30" w:name="Xd32db6b6921327d2cfa032c813adb6660784f7f"/>
    <w:p>
      <w:pPr>
        <w:pStyle w:val="Heading2"/>
      </w:pPr>
      <w:r>
        <w:t xml:space="preserve">Competências valorizadas pelos empregadores</w:t>
      </w:r>
    </w:p>
    <w:p>
      <w:pPr>
        <w:pStyle w:val="FirstParagraph"/>
      </w:pPr>
      <w:r>
        <w:t xml:space="preserve">Competências úteis incluem:</w:t>
      </w:r>
    </w:p>
    <w:p>
      <w:pPr>
        <w:numPr>
          <w:ilvl w:val="0"/>
          <w:numId w:val="1008"/>
        </w:numPr>
        <w:pStyle w:val="Compact"/>
      </w:pPr>
      <w:r>
        <w:t xml:space="preserve">fundamentos de eletrônica;</w:t>
      </w:r>
    </w:p>
    <w:p>
      <w:pPr>
        <w:numPr>
          <w:ilvl w:val="0"/>
          <w:numId w:val="1008"/>
        </w:numPr>
        <w:pStyle w:val="Compact"/>
      </w:pPr>
      <w:r>
        <w:t xml:space="preserve">segurança elétrica;</w:t>
      </w:r>
    </w:p>
    <w:p>
      <w:pPr>
        <w:numPr>
          <w:ilvl w:val="0"/>
          <w:numId w:val="1008"/>
        </w:numPr>
        <w:pStyle w:val="Compact"/>
      </w:pPr>
      <w:r>
        <w:t xml:space="preserve">mecânica básica;</w:t>
      </w:r>
    </w:p>
    <w:p>
      <w:pPr>
        <w:numPr>
          <w:ilvl w:val="0"/>
          <w:numId w:val="1008"/>
        </w:numPr>
        <w:pStyle w:val="Compact"/>
      </w:pPr>
      <w:r>
        <w:t xml:space="preserve">disciplina de medição e uso de equipamentos de teste;</w:t>
      </w:r>
    </w:p>
    <w:p>
      <w:pPr>
        <w:numPr>
          <w:ilvl w:val="0"/>
          <w:numId w:val="1008"/>
        </w:numPr>
        <w:pStyle w:val="Compact"/>
      </w:pPr>
      <w:r>
        <w:t xml:space="preserve">leitura de esquemas e manuais técnicos;</w:t>
      </w:r>
    </w:p>
    <w:p>
      <w:pPr>
        <w:numPr>
          <w:ilvl w:val="0"/>
          <w:numId w:val="1008"/>
        </w:numPr>
        <w:pStyle w:val="Compact"/>
      </w:pPr>
      <w:r>
        <w:t xml:space="preserve">lógica de diagnóstico de falhas;</w:t>
      </w:r>
    </w:p>
    <w:p>
      <w:pPr>
        <w:numPr>
          <w:ilvl w:val="0"/>
          <w:numId w:val="1008"/>
        </w:numPr>
        <w:pStyle w:val="Compact"/>
      </w:pPr>
      <w:r>
        <w:t xml:space="preserve">fundamentos de computação e redes;</w:t>
      </w:r>
    </w:p>
    <w:p>
      <w:pPr>
        <w:numPr>
          <w:ilvl w:val="0"/>
          <w:numId w:val="1008"/>
        </w:numPr>
        <w:pStyle w:val="Compact"/>
      </w:pPr>
      <w:r>
        <w:t xml:space="preserve">precisão na documentação e ordens de trabalho;</w:t>
      </w:r>
    </w:p>
    <w:p>
      <w:pPr>
        <w:numPr>
          <w:ilvl w:val="0"/>
          <w:numId w:val="1008"/>
        </w:numPr>
        <w:pStyle w:val="Compact"/>
      </w:pPr>
      <w:r>
        <w:t xml:space="preserve">disciplina de manutenção preventiva;</w:t>
      </w:r>
    </w:p>
    <w:p>
      <w:pPr>
        <w:numPr>
          <w:ilvl w:val="0"/>
          <w:numId w:val="1008"/>
        </w:numPr>
        <w:pStyle w:val="Compact"/>
      </w:pPr>
      <w:r>
        <w:t xml:space="preserve">conhecimento de calibração;</w:t>
      </w:r>
    </w:p>
    <w:p>
      <w:pPr>
        <w:numPr>
          <w:ilvl w:val="0"/>
          <w:numId w:val="1008"/>
        </w:numPr>
        <w:pStyle w:val="Compact"/>
      </w:pPr>
      <w:r>
        <w:t xml:space="preserve">hábitos de qualidade e controle de mudanças;</w:t>
      </w:r>
    </w:p>
    <w:p>
      <w:pPr>
        <w:numPr>
          <w:ilvl w:val="0"/>
          <w:numId w:val="1008"/>
        </w:numPr>
        <w:pStyle w:val="Compact"/>
      </w:pPr>
      <w:r>
        <w:t xml:space="preserve">conhecimento de prevenção de infecções;</w:t>
      </w:r>
    </w:p>
    <w:p>
      <w:pPr>
        <w:numPr>
          <w:ilvl w:val="0"/>
          <w:numId w:val="1008"/>
        </w:numPr>
        <w:pStyle w:val="Compact"/>
      </w:pPr>
      <w:r>
        <w:t xml:space="preserve">consciência de cibersegurança;</w:t>
      </w:r>
    </w:p>
    <w:p>
      <w:pPr>
        <w:numPr>
          <w:ilvl w:val="0"/>
          <w:numId w:val="1008"/>
        </w:numPr>
        <w:pStyle w:val="Compact"/>
      </w:pPr>
      <w:r>
        <w:t xml:space="preserve">comunicação com equipes clínicas e técnicas;</w:t>
      </w:r>
    </w:p>
    <w:p>
      <w:pPr>
        <w:numPr>
          <w:ilvl w:val="0"/>
          <w:numId w:val="1008"/>
        </w:numPr>
        <w:pStyle w:val="Compact"/>
      </w:pPr>
      <w:r>
        <w:t xml:space="preserve">atendimento ao cliente; e</w:t>
      </w:r>
    </w:p>
    <w:p>
      <w:pPr>
        <w:numPr>
          <w:ilvl w:val="0"/>
          <w:numId w:val="1008"/>
        </w:numPr>
        <w:pStyle w:val="Compact"/>
      </w:pPr>
      <w:r>
        <w:t xml:space="preserve">saber quando parar e escalar.</w:t>
      </w:r>
    </w:p>
    <w:p>
      <w:pPr>
        <w:pStyle w:val="FirstParagraph"/>
      </w:pPr>
      <w:r>
        <w:t xml:space="preserve">A capacidade de explicar com calma um problema técnico a enfermeiro, terapeuta, médico, gerente, fornecedor ou engenheiro de TI pode ser tão importante quanto as habilidades de bancada.</w:t>
      </w:r>
    </w:p>
    <w:bookmarkEnd w:id="30"/>
    <w:bookmarkStart w:id="31" w:name="X10a5bba82311e470f6eca7e343c16e559bfa39f"/>
    <w:p>
      <w:pPr>
        <w:pStyle w:val="Heading2"/>
      </w:pPr>
      <w:r>
        <w:t xml:space="preserve">Educação e caminho de entrada — Estados Unidos</w:t>
      </w:r>
    </w:p>
    <w:p>
      <w:pPr>
        <w:pStyle w:val="FirstParagraph"/>
      </w:pPr>
      <w:r>
        <w:t xml:space="preserve">O U.S. Bureau of Labor Statistics (BLS) informa que reparadores de equipamentos médicos normalmente precisam de um</w:t>
      </w:r>
      <w:r>
        <w:t xml:space="preserve"> </w:t>
      </w:r>
      <w:r>
        <w:rPr>
          <w:bCs/>
          <w:b/>
        </w:rPr>
        <w:t xml:space="preserve">associate's degree</w:t>
      </w:r>
      <w:r>
        <w:t xml:space="preserve">. Tecnologia biomédica, eletrônica, tecnologia de engenharia ou área relacionada podem oferecer preparação relevante. O BLS também observa que alguns profissionais entram com diploma de ensino médio mais treinamento e experiência de trabalho relacionados.</w:t>
      </w:r>
    </w:p>
    <w:p>
      <w:pPr>
        <w:pStyle w:val="BodyText"/>
      </w:pPr>
      <w:r>
        <w:t xml:space="preserve">Um caminho prático nos Estados Unidos é:</w:t>
      </w:r>
    </w:p>
    <w:p>
      <w:pPr>
        <w:numPr>
          <w:ilvl w:val="0"/>
          <w:numId w:val="1009"/>
        </w:numPr>
        <w:pStyle w:val="Compact"/>
      </w:pPr>
      <w:r>
        <w:t xml:space="preserve">Comparar programas de tecnologia biomédica/eletrônica de community colleges da sua região.</w:t>
      </w:r>
    </w:p>
    <w:p>
      <w:pPr>
        <w:numPr>
          <w:ilvl w:val="0"/>
          <w:numId w:val="1009"/>
        </w:numPr>
        <w:pStyle w:val="Compact"/>
      </w:pPr>
      <w:r>
        <w:t xml:space="preserve">Revisar vagas de empregadores para identificar equipamentos e competências mais solicitados localmente.</w:t>
      </w:r>
    </w:p>
    <w:p>
      <w:pPr>
        <w:numPr>
          <w:ilvl w:val="0"/>
          <w:numId w:val="1009"/>
        </w:numPr>
        <w:pStyle w:val="Compact"/>
      </w:pPr>
      <w:r>
        <w:t xml:space="preserve">Perguntar quanto trabalho prático de laboratório está incluído.</w:t>
      </w:r>
    </w:p>
    <w:p>
      <w:pPr>
        <w:numPr>
          <w:ilvl w:val="0"/>
          <w:numId w:val="1009"/>
        </w:numPr>
        <w:pStyle w:val="Compact"/>
      </w:pPr>
      <w:r>
        <w:t xml:space="preserve">Perguntar se o programa inclui eletrônica, redes, diagnóstico de falhas, calibração, documentação e segurança de dispositivos médicos.</w:t>
      </w:r>
    </w:p>
    <w:p>
      <w:pPr>
        <w:numPr>
          <w:ilvl w:val="0"/>
          <w:numId w:val="1009"/>
        </w:numPr>
        <w:pStyle w:val="Compact"/>
      </w:pPr>
      <w:r>
        <w:t xml:space="preserve">Perguntar a hospitais, organizações independentes de serviço, fabricantes e fornecedores de equipamentos se contratam trainees ou oferecem treinamento estruturado no trabalho.</w:t>
      </w:r>
    </w:p>
    <w:p>
      <w:pPr>
        <w:numPr>
          <w:ilvl w:val="0"/>
          <w:numId w:val="1009"/>
        </w:numPr>
        <w:pStyle w:val="Compact"/>
      </w:pPr>
      <w:r>
        <w:t xml:space="preserve">Desenvolver experiência prática segura com equipamentos de treinamento e laboratórios aprovados, em vez de experimentar em dispositivos clínicos ativos.</w:t>
      </w:r>
    </w:p>
    <w:p>
      <w:pPr>
        <w:numPr>
          <w:ilvl w:val="0"/>
          <w:numId w:val="1009"/>
        </w:numPr>
        <w:pStyle w:val="Compact"/>
      </w:pPr>
      <w:r>
        <w:t xml:space="preserve">Manter um portfólio de exercícios não confidenciais de diagnóstico, medições, diagramas e documentação de manutenção.</w:t>
      </w:r>
    </w:p>
    <w:p>
      <w:pPr>
        <w:pStyle w:val="FirstParagraph"/>
      </w:pPr>
      <w:r>
        <w:t xml:space="preserve">Não pague por uma credencial privada apenas porque um anúncio diz que ela é "obrigatória em todos os lugares". Verifique primeiro os requisitos reais dos empregadores.</w:t>
      </w:r>
    </w:p>
    <w:bookmarkEnd w:id="31"/>
    <w:bookmarkStart w:id="32" w:name="X457d5a41f21424f22033f7a6ece3cbbb7c14731"/>
    <w:p>
      <w:pPr>
        <w:pStyle w:val="Heading2"/>
      </w:pPr>
      <w:r>
        <w:t xml:space="preserve">Estados Unidos — renda e perspectivas oficiais</w:t>
      </w:r>
    </w:p>
    <w:p>
      <w:pPr>
        <w:pStyle w:val="FirstParagraph"/>
      </w:pPr>
      <w:r>
        <w:t xml:space="preserve">O BLS informa:</w:t>
      </w:r>
    </w:p>
    <w:p>
      <w:pPr>
        <w:numPr>
          <w:ilvl w:val="0"/>
          <w:numId w:val="1010"/>
        </w:numPr>
        <w:pStyle w:val="Compact"/>
      </w:pPr>
      <w:r>
        <w:t xml:space="preserve">salário anual mediano em maio de 2024:</w:t>
      </w:r>
      <w:r>
        <w:t xml:space="preserve"> </w:t>
      </w:r>
      <w:r>
        <w:rPr>
          <w:bCs/>
          <w:b/>
        </w:rPr>
        <w:t xml:space="preserve">USD $62,630</w:t>
      </w:r>
      <w:r>
        <w:t xml:space="preserve">;</w:t>
      </w:r>
    </w:p>
    <w:p>
      <w:pPr>
        <w:numPr>
          <w:ilvl w:val="0"/>
          <w:numId w:val="1010"/>
        </w:numPr>
        <w:pStyle w:val="Compact"/>
      </w:pPr>
      <w:r>
        <w:t xml:space="preserve">salário mediano por hora:</w:t>
      </w:r>
      <w:r>
        <w:t xml:space="preserve"> </w:t>
      </w:r>
      <w:r>
        <w:rPr>
          <w:bCs/>
          <w:b/>
        </w:rPr>
        <w:t xml:space="preserve">USD $30.11</w:t>
      </w:r>
      <w:r>
        <w:t xml:space="preserve">;</w:t>
      </w:r>
    </w:p>
    <w:p>
      <w:pPr>
        <w:numPr>
          <w:ilvl w:val="0"/>
          <w:numId w:val="1010"/>
        </w:numPr>
        <w:pStyle w:val="Compact"/>
      </w:pPr>
      <w:r>
        <w:t xml:space="preserve">emprego em 2024: aproximadamente</w:t>
      </w:r>
      <w:r>
        <w:t xml:space="preserve"> </w:t>
      </w:r>
      <w:r>
        <w:rPr>
          <w:bCs/>
          <w:b/>
        </w:rPr>
        <w:t xml:space="preserve">68,000</w:t>
      </w:r>
      <w:r>
        <w:t xml:space="preserve">;</w:t>
      </w:r>
    </w:p>
    <w:p>
      <w:pPr>
        <w:numPr>
          <w:ilvl w:val="0"/>
          <w:numId w:val="1010"/>
        </w:numPr>
        <w:pStyle w:val="Compact"/>
      </w:pPr>
      <w:r>
        <w:t xml:space="preserve">emprego projetado para 2034: aproximadamente</w:t>
      </w:r>
      <w:r>
        <w:t xml:space="preserve"> </w:t>
      </w:r>
      <w:r>
        <w:rPr>
          <w:bCs/>
          <w:b/>
        </w:rPr>
        <w:t xml:space="preserve">76,800</w:t>
      </w:r>
      <w:r>
        <w:t xml:space="preserve">;</w:t>
      </w:r>
    </w:p>
    <w:p>
      <w:pPr>
        <w:numPr>
          <w:ilvl w:val="0"/>
          <w:numId w:val="1010"/>
        </w:numPr>
        <w:pStyle w:val="Compact"/>
      </w:pPr>
      <w:r>
        <w:t xml:space="preserve">crescimento projetado 2024–2034:</w:t>
      </w:r>
      <w:r>
        <w:t xml:space="preserve"> </w:t>
      </w:r>
      <w:r>
        <w:rPr>
          <w:bCs/>
          <w:b/>
        </w:rPr>
        <w:t xml:space="preserve">13%</w:t>
      </w:r>
      <w:r>
        <w:t xml:space="preserve">;</w:t>
      </w:r>
    </w:p>
    <w:p>
      <w:pPr>
        <w:numPr>
          <w:ilvl w:val="0"/>
          <w:numId w:val="1010"/>
        </w:numPr>
        <w:pStyle w:val="Compact"/>
      </w:pPr>
      <w:r>
        <w:t xml:space="preserve">aumento projetado: aproximadamente</w:t>
      </w:r>
      <w:r>
        <w:t xml:space="preserve"> </w:t>
      </w:r>
      <w:r>
        <w:rPr>
          <w:bCs/>
          <w:b/>
        </w:rPr>
        <w:t xml:space="preserve">8,800 empregos</w:t>
      </w:r>
      <w:r>
        <w:t xml:space="preserve">; e</w:t>
      </w:r>
    </w:p>
    <w:p>
      <w:pPr>
        <w:numPr>
          <w:ilvl w:val="0"/>
          <w:numId w:val="1010"/>
        </w:numPr>
        <w:pStyle w:val="Compact"/>
      </w:pPr>
      <w:r>
        <w:t xml:space="preserve">aproximadamente</w:t>
      </w:r>
      <w:r>
        <w:t xml:space="preserve"> </w:t>
      </w:r>
      <w:r>
        <w:rPr>
          <w:bCs/>
          <w:b/>
        </w:rPr>
        <w:t xml:space="preserve">7,300 vagas por ano</w:t>
      </w:r>
      <w:r>
        <w:t xml:space="preserve"> </w:t>
      </w:r>
      <w:r>
        <w:t xml:space="preserve">em média ao longo da década.</w:t>
      </w:r>
    </w:p>
    <w:p>
      <w:pPr>
        <w:pStyle w:val="FirstParagraph"/>
      </w:pPr>
      <w:r>
        <w:t xml:space="preserve">O BLS também informa que em maio de 2024 os 10% com menor remuneração ganharam menos de</w:t>
      </w:r>
      <w:r>
        <w:t xml:space="preserve"> </w:t>
      </w:r>
      <w:r>
        <w:rPr>
          <w:bCs/>
          <w:b/>
        </w:rPr>
        <w:t xml:space="preserve">USD $39,060</w:t>
      </w:r>
      <w:r>
        <w:t xml:space="preserve">, enquanto os 10% com maior remuneração ganharam mais de</w:t>
      </w:r>
      <w:r>
        <w:t xml:space="preserve"> </w:t>
      </w:r>
      <w:r>
        <w:rPr>
          <w:bCs/>
          <w:b/>
        </w:rPr>
        <w:t xml:space="preserve">USD $99,290</w:t>
      </w:r>
      <w:r>
        <w:t xml:space="preserve">.</w:t>
      </w:r>
    </w:p>
    <w:p>
      <w:pPr>
        <w:pStyle w:val="BodyText"/>
      </w:pPr>
      <w:r>
        <w:t xml:space="preserve">Medianas salariais anuais de setores selecionados informadas pelo BLS para maio de 2024 incluem:</w:t>
      </w:r>
    </w:p>
    <w:p>
      <w:pPr>
        <w:numPr>
          <w:ilvl w:val="0"/>
          <w:numId w:val="1011"/>
        </w:numPr>
        <w:pStyle w:val="Compact"/>
      </w:pPr>
      <w:r>
        <w:t xml:space="preserve">hospitais:</w:t>
      </w:r>
      <w:r>
        <w:t xml:space="preserve"> </w:t>
      </w:r>
      <w:r>
        <w:rPr>
          <w:bCs/>
          <w:b/>
        </w:rPr>
        <w:t xml:space="preserve">USD $74,560</w:t>
      </w:r>
      <w:r>
        <w:t xml:space="preserve">;</w:t>
      </w:r>
    </w:p>
    <w:p>
      <w:pPr>
        <w:numPr>
          <w:ilvl w:val="0"/>
          <w:numId w:val="1011"/>
        </w:numPr>
        <w:pStyle w:val="Compact"/>
      </w:pPr>
      <w:r>
        <w:t xml:space="preserve">atacadistas de equipamentos/suprimentos profissionais e comerciais:</w:t>
      </w:r>
      <w:r>
        <w:t xml:space="preserve"> </w:t>
      </w:r>
      <w:r>
        <w:rPr>
          <w:bCs/>
          <w:b/>
        </w:rPr>
        <w:t xml:space="preserve">USD $66,640</w:t>
      </w:r>
      <w:r>
        <w:t xml:space="preserve">;</w:t>
      </w:r>
    </w:p>
    <w:p>
      <w:pPr>
        <w:numPr>
          <w:ilvl w:val="0"/>
          <w:numId w:val="1011"/>
        </w:numPr>
        <w:pStyle w:val="Compact"/>
      </w:pPr>
      <w:r>
        <w:t xml:space="preserve">reparo e manutenção de equipamentos eletrônicos e de precisão:</w:t>
      </w:r>
      <w:r>
        <w:t xml:space="preserve"> </w:t>
      </w:r>
      <w:r>
        <w:rPr>
          <w:bCs/>
          <w:b/>
        </w:rPr>
        <w:t xml:space="preserve">USD $62,000</w:t>
      </w:r>
      <w:r>
        <w:t xml:space="preserve">;</w:t>
      </w:r>
    </w:p>
    <w:p>
      <w:pPr>
        <w:numPr>
          <w:ilvl w:val="0"/>
          <w:numId w:val="1011"/>
        </w:numPr>
        <w:pStyle w:val="Compact"/>
      </w:pPr>
      <w:r>
        <w:t xml:space="preserve">serviços de saúde ambulatoriais:</w:t>
      </w:r>
      <w:r>
        <w:t xml:space="preserve"> </w:t>
      </w:r>
      <w:r>
        <w:rPr>
          <w:bCs/>
          <w:b/>
        </w:rPr>
        <w:t xml:space="preserve">USD $61,030</w:t>
      </w:r>
      <w:r>
        <w:t xml:space="preserve">; e</w:t>
      </w:r>
    </w:p>
    <w:p>
      <w:pPr>
        <w:numPr>
          <w:ilvl w:val="0"/>
          <w:numId w:val="1011"/>
        </w:numPr>
        <w:pStyle w:val="Compact"/>
      </w:pPr>
      <w:r>
        <w:t xml:space="preserve">aluguel/arrendamento de máquinas e equipamentos comerciais/industriais:</w:t>
      </w:r>
      <w:r>
        <w:t xml:space="preserve"> </w:t>
      </w:r>
      <w:r>
        <w:rPr>
          <w:bCs/>
          <w:b/>
        </w:rPr>
        <w:t xml:space="preserve">USD $42,650</w:t>
      </w:r>
      <w:r>
        <w:t xml:space="preserve">.</w:t>
      </w:r>
    </w:p>
    <w:p>
      <w:pPr>
        <w:pStyle w:val="FirstParagraph"/>
      </w:pPr>
      <w:r>
        <w:t xml:space="preserve">Essas são estatísticas ocupacionais nacionais, não salários iniciais garantidos. A remuneração local depende de geografia, empregador, experiência, turno, viagens, especialidade, treinamento e outros fatores.</w:t>
      </w:r>
    </w:p>
    <w:bookmarkEnd w:id="32"/>
    <w:bookmarkStart w:id="35" w:name="X4052ee0d3ccbf8f37fd399f2dbb5e733d5147a4"/>
    <w:p>
      <w:pPr>
        <w:pStyle w:val="Heading2"/>
      </w:pPr>
      <w:r>
        <w:t xml:space="preserve">Apoio gratuito ou de menor custo para capacitação — Estados Unidos</w:t>
      </w:r>
    </w:p>
    <w:p>
      <w:pPr>
        <w:pStyle w:val="FirstParagraph"/>
      </w:pPr>
      <w:r>
        <w:t xml:space="preserve">Antes de assumir dívida com escola privada, investigue opções públicas e apoiadas por empregadores.</w:t>
      </w:r>
    </w:p>
    <w:p>
      <w:pPr>
        <w:pStyle w:val="BodyText"/>
      </w:pPr>
      <w:r>
        <w:t xml:space="preserve">O</w:t>
      </w:r>
      <w:r>
        <w:t xml:space="preserve"> </w:t>
      </w:r>
      <w:r>
        <w:rPr>
          <w:bCs/>
          <w:b/>
        </w:rPr>
        <w:t xml:space="preserve">American Job Center Finder</w:t>
      </w:r>
      <w:r>
        <w:t xml:space="preserve"> </w:t>
      </w:r>
      <w:r>
        <w:t xml:space="preserve">da CareerOneStop pode ajudar a localizar serviços de força de trabalho:</w:t>
      </w:r>
    </w:p>
    <w:p>
      <w:pPr>
        <w:pStyle w:val="BodyText"/>
      </w:pPr>
      <w:hyperlink r:id="rId33">
        <w:hyperlink r:id="rId33">
          <w:r>
            <w:rPr>
              <w:rStyle w:val="Hyperlink"/>
            </w:rPr>
            <w:t xml:space="preserve">Source link</w:t>
          </w:r>
        </w:hyperlink>
      </w:hyperlink>
    </w:p>
    <w:p>
      <w:pPr>
        <w:pStyle w:val="BodyText"/>
      </w:pPr>
      <w:r>
        <w:t xml:space="preserve">A CareerOneStop também oferece um</w:t>
      </w:r>
      <w:r>
        <w:t xml:space="preserve"> </w:t>
      </w:r>
      <w:r>
        <w:rPr>
          <w:bCs/>
          <w:b/>
        </w:rPr>
        <w:t xml:space="preserve">WIOA-Eligible Training Program Finder</w:t>
      </w:r>
      <w:r>
        <w:t xml:space="preserve">:</w:t>
      </w:r>
    </w:p>
    <w:p>
      <w:pPr>
        <w:pStyle w:val="BodyText"/>
      </w:pPr>
      <w:hyperlink r:id="rId34">
        <w:hyperlink r:id="rId34">
          <w:r>
            <w:rPr>
              <w:rStyle w:val="Hyperlink"/>
            </w:rPr>
            <w:t xml:space="preserve">Source link</w:t>
          </w:r>
        </w:hyperlink>
      </w:hyperlink>
    </w:p>
    <w:p>
      <w:pPr>
        <w:pStyle w:val="BodyText"/>
      </w:pPr>
      <w:r>
        <w:t xml:space="preserve">O financiamento WIOA não é automático. A elegibilidade depende da pessoa, das regras locais de força de trabalho, do programa, do provedor e dos recursos disponíveis.</w:t>
      </w:r>
    </w:p>
    <w:p>
      <w:pPr>
        <w:pStyle w:val="BodyText"/>
      </w:pPr>
      <w:r>
        <w:t xml:space="preserve">Pergunte também aos empregadores sobre programas pagos de trainee, auxílio-educação, apoio para ferramentas, treinamento de fornecedores, reembolso de certificações ou benefícios de desenvolvimento profissional. Obtenha por escrito quaisquer termos de reembolso ou compromisso de permanência antes de aceitar educação financiada pelo empregador.</w:t>
      </w:r>
    </w:p>
    <w:bookmarkEnd w:id="35"/>
    <w:bookmarkStart w:id="36" w:name="Xe621c4e762170be12e6df74317b03fa74675372"/>
    <w:p>
      <w:pPr>
        <w:pStyle w:val="Heading2"/>
      </w:pPr>
      <w:r>
        <w:t xml:space="preserve">Aprendizagem e formação baseada no trabalho</w:t>
      </w:r>
    </w:p>
    <w:p>
      <w:pPr>
        <w:pStyle w:val="FirstParagraph"/>
      </w:pPr>
      <w:r>
        <w:t xml:space="preserve">Os caminhos de serviço em equipamentos médicos variam bastante. Alguns empregadores desenvolvem técnicos por meio de funções estruturadas de trainee, mentoria em serviço de campo, estágios, educação cooperativa ou aprendizagem profissional; outros esperam formação prévia em eletrônica ou tecnologia biomédica.</w:t>
      </w:r>
    </w:p>
    <w:p>
      <w:pPr>
        <w:pStyle w:val="BodyText"/>
      </w:pPr>
      <w:r>
        <w:t xml:space="preserve">Ao avaliar formação baseada no trabalho, pergunte:</w:t>
      </w:r>
    </w:p>
    <w:p>
      <w:pPr>
        <w:numPr>
          <w:ilvl w:val="0"/>
          <w:numId w:val="1012"/>
        </w:numPr>
        <w:pStyle w:val="Compact"/>
      </w:pPr>
      <w:r>
        <w:t xml:space="preserve">O treinamento é pago?</w:t>
      </w:r>
    </w:p>
    <w:p>
      <w:pPr>
        <w:numPr>
          <w:ilvl w:val="0"/>
          <w:numId w:val="1012"/>
        </w:numPr>
        <w:pStyle w:val="Compact"/>
      </w:pPr>
      <w:r>
        <w:t xml:space="preserve">Quem supervisiona o trabalho crítico de segurança?</w:t>
      </w:r>
    </w:p>
    <w:p>
      <w:pPr>
        <w:numPr>
          <w:ilvl w:val="0"/>
          <w:numId w:val="1012"/>
        </w:numPr>
        <w:pStyle w:val="Compact"/>
      </w:pPr>
      <w:r>
        <w:t xml:space="preserve">Quais equipamentos um trainee pode atender?</w:t>
      </w:r>
    </w:p>
    <w:p>
      <w:pPr>
        <w:numPr>
          <w:ilvl w:val="0"/>
          <w:numId w:val="1012"/>
        </w:numPr>
        <w:pStyle w:val="Compact"/>
      </w:pPr>
      <w:r>
        <w:t xml:space="preserve">Cursos do fabricante estão incluídos?</w:t>
      </w:r>
    </w:p>
    <w:p>
      <w:pPr>
        <w:numPr>
          <w:ilvl w:val="0"/>
          <w:numId w:val="1012"/>
        </w:numPr>
        <w:pStyle w:val="Compact"/>
      </w:pPr>
      <w:r>
        <w:t xml:space="preserve">Ferramentas e equipamentos de teste são fornecidos?</w:t>
      </w:r>
    </w:p>
    <w:p>
      <w:pPr>
        <w:numPr>
          <w:ilvl w:val="0"/>
          <w:numId w:val="1012"/>
        </w:numPr>
        <w:pStyle w:val="Compact"/>
      </w:pPr>
      <w:r>
        <w:t xml:space="preserve">Como a competência é documentada?</w:t>
      </w:r>
    </w:p>
    <w:p>
      <w:pPr>
        <w:numPr>
          <w:ilvl w:val="0"/>
          <w:numId w:val="1012"/>
        </w:numPr>
        <w:pStyle w:val="Compact"/>
      </w:pPr>
      <w:r>
        <w:t xml:space="preserve">Existem expectativas de viagem ou plantão?</w:t>
      </w:r>
    </w:p>
    <w:p>
      <w:pPr>
        <w:numPr>
          <w:ilvl w:val="0"/>
          <w:numId w:val="1012"/>
        </w:numPr>
        <w:pStyle w:val="Compact"/>
      </w:pPr>
      <w:r>
        <w:t xml:space="preserve">Há acordo de reembolso?</w:t>
      </w:r>
    </w:p>
    <w:p>
      <w:pPr>
        <w:numPr>
          <w:ilvl w:val="0"/>
          <w:numId w:val="1012"/>
        </w:numPr>
        <w:pStyle w:val="Compact"/>
      </w:pPr>
      <w:r>
        <w:t xml:space="preserve">Qual função estará disponível depois do treinamento?</w:t>
      </w:r>
    </w:p>
    <w:p>
      <w:pPr>
        <w:pStyle w:val="FirstParagraph"/>
      </w:pPr>
      <w:r>
        <w:t xml:space="preserve">Não confunda observação não remunerada com aprendizagem reconhecida.</w:t>
      </w:r>
    </w:p>
    <w:bookmarkEnd w:id="36"/>
    <w:bookmarkStart w:id="37" w:name="canadá--família-ocupacional-relacionada"/>
    <w:p>
      <w:pPr>
        <w:pStyle w:val="Heading2"/>
      </w:pPr>
      <w:r>
        <w:t xml:space="preserve">Canadá — família ocupacional relacionada</w:t>
      </w:r>
    </w:p>
    <w:p>
      <w:pPr>
        <w:pStyle w:val="FirstParagraph"/>
      </w:pPr>
      <w:r>
        <w:t xml:space="preserve">O Job Bank do Governo do Canadá lista</w:t>
      </w:r>
      <w:r>
        <w:t xml:space="preserve"> </w:t>
      </w:r>
      <w:r>
        <w:rPr>
          <w:bCs/>
          <w:b/>
        </w:rPr>
        <w:t xml:space="preserve">Biomedical and Laboratory Equipment Repairer</w:t>
      </w:r>
      <w:r>
        <w:t xml:space="preserve"> </w:t>
      </w:r>
      <w:r>
        <w:t xml:space="preserve">dentro de uma família ocupacional mais ampla de tecnólogos e técnicos de engenharia elétrica/eletrônica.</w:t>
      </w:r>
    </w:p>
    <w:p>
      <w:pPr>
        <w:pStyle w:val="BodyText"/>
      </w:pPr>
      <w:r>
        <w:t xml:space="preserve">O Job Bank informa que a preparação nessa família mais ampla costuma envolver educação de nível college, aprendizagem/treinamento ou experiência relevante, dependendo da função exata e da jurisdição. As competências incluem diagnóstico de falhas, seleção de equipamentos/ferramentas, testes de controle de qualidade e manutenção preventiva.</w:t>
      </w:r>
    </w:p>
    <w:p>
      <w:pPr>
        <w:pStyle w:val="BodyText"/>
      </w:pPr>
      <w:r>
        <w:t xml:space="preserve">Como esse é um mapeamento ocupacional mais amplo, não presuma que um único título canadense, credencial ou requisito provincial se aplique a todas as funções de equipamentos biomédicos.</w:t>
      </w:r>
    </w:p>
    <w:bookmarkEnd w:id="37"/>
    <w:bookmarkStart w:id="38" w:name="canadá--evidência-salarial-atual"/>
    <w:p>
      <w:pPr>
        <w:pStyle w:val="Heading2"/>
      </w:pPr>
      <w:r>
        <w:t xml:space="preserve">Canadá — evidência salarial atual</w:t>
      </w:r>
    </w:p>
    <w:p>
      <w:pPr>
        <w:pStyle w:val="FirstParagraph"/>
      </w:pPr>
      <w:r>
        <w:t xml:space="preserve">Os dados salariais nacionais do Job Bank para a família ocupacional mapeada indicam:</w:t>
      </w:r>
    </w:p>
    <w:p>
      <w:pPr>
        <w:numPr>
          <w:ilvl w:val="0"/>
          <w:numId w:val="1013"/>
        </w:numPr>
        <w:pStyle w:val="Compact"/>
      </w:pPr>
      <w:r>
        <w:t xml:space="preserve">baixo:</w:t>
      </w:r>
      <w:r>
        <w:t xml:space="preserve"> </w:t>
      </w:r>
      <w:r>
        <w:rPr>
          <w:bCs/>
          <w:b/>
        </w:rPr>
        <w:t xml:space="preserve">CAD $24.04/hora</w:t>
      </w:r>
      <w:r>
        <w:t xml:space="preserve">;</w:t>
      </w:r>
    </w:p>
    <w:p>
      <w:pPr>
        <w:numPr>
          <w:ilvl w:val="0"/>
          <w:numId w:val="1013"/>
        </w:numPr>
        <w:pStyle w:val="Compact"/>
      </w:pPr>
      <w:r>
        <w:t xml:space="preserve">mediano:</w:t>
      </w:r>
      <w:r>
        <w:t xml:space="preserve"> </w:t>
      </w:r>
      <w:r>
        <w:rPr>
          <w:bCs/>
          <w:b/>
        </w:rPr>
        <w:t xml:space="preserve">CAD $35.58/hora</w:t>
      </w:r>
      <w:r>
        <w:t xml:space="preserve">; e</w:t>
      </w:r>
    </w:p>
    <w:p>
      <w:pPr>
        <w:numPr>
          <w:ilvl w:val="0"/>
          <w:numId w:val="1013"/>
        </w:numPr>
        <w:pStyle w:val="Compact"/>
      </w:pPr>
      <w:r>
        <w:t xml:space="preserve">alto:</w:t>
      </w:r>
      <w:r>
        <w:t xml:space="preserve"> </w:t>
      </w:r>
      <w:r>
        <w:rPr>
          <w:bCs/>
          <w:b/>
        </w:rPr>
        <w:t xml:space="preserve">CAD $55.34/hora</w:t>
      </w:r>
      <w:r>
        <w:t xml:space="preserve">.</w:t>
      </w:r>
    </w:p>
    <w:p>
      <w:pPr>
        <w:pStyle w:val="FirstParagraph"/>
      </w:pPr>
      <w:r>
        <w:t xml:space="preserve">A tabela salarial foi atualizada em 19 de novembro de 2025 usando dados de referência de 2023–2024. O resumo ocupacional nacional observado em 2026 também informa a mediana nacional de</w:t>
      </w:r>
      <w:r>
        <w:t xml:space="preserve"> </w:t>
      </w:r>
      <w:r>
        <w:rPr>
          <w:bCs/>
          <w:b/>
        </w:rPr>
        <w:t xml:space="preserve">CAD $35.58/hora</w:t>
      </w:r>
      <w:r>
        <w:t xml:space="preserve">.</w:t>
      </w:r>
    </w:p>
    <w:p>
      <w:pPr>
        <w:pStyle w:val="BodyText"/>
      </w:pPr>
      <w:r>
        <w:t xml:space="preserve">Use filtros provinciais e locais do Job Bank antes de avaliar uma oferta específica.</w:t>
      </w:r>
    </w:p>
    <w:bookmarkEnd w:id="38"/>
    <w:bookmarkStart w:id="39" w:name="X839011c0a834fe5a89b4588deb8b9d2a19a862c"/>
    <w:p>
      <w:pPr>
        <w:pStyle w:val="Heading2"/>
      </w:pPr>
      <w:r>
        <w:t xml:space="preserve">Canadá — alerta sobre credenciais e transferência</w:t>
      </w:r>
    </w:p>
    <w:p>
      <w:pPr>
        <w:pStyle w:val="FirstParagraph"/>
      </w:pPr>
      <w:r>
        <w:t xml:space="preserve">Um diploma, título de cargo, certificado de treinamento ou certificação dos Estados Unidos não cria automaticamente equivalência canadense. Antes de se mudar ou pagar por avaliação de credenciais, verifique:</w:t>
      </w:r>
    </w:p>
    <w:p>
      <w:pPr>
        <w:numPr>
          <w:ilvl w:val="0"/>
          <w:numId w:val="1014"/>
        </w:numPr>
        <w:pStyle w:val="Compact"/>
      </w:pPr>
      <w:r>
        <w:t xml:space="preserve">o NOC e o título exatos usados pelo empregador;</w:t>
      </w:r>
    </w:p>
    <w:p>
      <w:pPr>
        <w:numPr>
          <w:ilvl w:val="0"/>
          <w:numId w:val="1014"/>
        </w:numPr>
        <w:pStyle w:val="Compact"/>
      </w:pPr>
      <w:r>
        <w:t xml:space="preserve">requisitos provinciais ou territoriais;</w:t>
      </w:r>
    </w:p>
    <w:p>
      <w:pPr>
        <w:numPr>
          <w:ilvl w:val="0"/>
          <w:numId w:val="1014"/>
        </w:numPr>
        <w:pStyle w:val="Compact"/>
      </w:pPr>
      <w:r>
        <w:t xml:space="preserve">requisitos educacionais específicos do empregador;</w:t>
      </w:r>
    </w:p>
    <w:p>
      <w:pPr>
        <w:numPr>
          <w:ilvl w:val="0"/>
          <w:numId w:val="1014"/>
        </w:numPr>
        <w:pStyle w:val="Compact"/>
      </w:pPr>
      <w:r>
        <w:t xml:space="preserve">caminhos reconhecidos de college ou aprendizagem;</w:t>
      </w:r>
    </w:p>
    <w:p>
      <w:pPr>
        <w:numPr>
          <w:ilvl w:val="0"/>
          <w:numId w:val="1014"/>
        </w:numPr>
        <w:pStyle w:val="Compact"/>
      </w:pPr>
      <w:r>
        <w:t xml:space="preserve">requisitos de idioma; e</w:t>
      </w:r>
    </w:p>
    <w:p>
      <w:pPr>
        <w:numPr>
          <w:ilvl w:val="0"/>
          <w:numId w:val="1014"/>
        </w:numPr>
        <w:pStyle w:val="Compact"/>
      </w:pPr>
      <w:r>
        <w:t xml:space="preserve">autorização de imigração/trabalho separadamente da qualificação ocupacional.</w:t>
      </w:r>
    </w:p>
    <w:bookmarkEnd w:id="39"/>
    <w:bookmarkStart w:id="42" w:name="X8ec6daa73fdee1f6aa8511d262e819795d825b7"/>
    <w:p>
      <w:pPr>
        <w:pStyle w:val="Heading2"/>
      </w:pPr>
      <w:r>
        <w:t xml:space="preserve">Colômbia — caminho SENA para equipamentos biomédicos</w:t>
      </w:r>
    </w:p>
    <w:p>
      <w:pPr>
        <w:pStyle w:val="FirstParagraph"/>
      </w:pPr>
      <w:r>
        <w:t xml:space="preserve">Materiais oficiais do SENA listam</w:t>
      </w:r>
      <w:r>
        <w:t xml:space="preserve"> </w:t>
      </w:r>
      <w:r>
        <w:rPr>
          <w:bCs/>
          <w:b/>
        </w:rPr>
        <w:t xml:space="preserve">Mantenimiento de Equipo Biomédico</w:t>
      </w:r>
      <w:r>
        <w:t xml:space="preserve"> </w:t>
      </w:r>
      <w:r>
        <w:t xml:space="preserve">como programa de</w:t>
      </w:r>
      <w:r>
        <w:t xml:space="preserve"> </w:t>
      </w:r>
      <w:r>
        <w:rPr>
          <w:bCs/>
          <w:b/>
        </w:rPr>
        <w:t xml:space="preserve">Tecnólogo</w:t>
      </w:r>
      <w:r>
        <w:t xml:space="preserve"> </w:t>
      </w:r>
      <w:r>
        <w:t xml:space="preserve">com duração de</w:t>
      </w:r>
      <w:r>
        <w:t xml:space="preserve"> </w:t>
      </w:r>
      <w:r>
        <w:rPr>
          <w:bCs/>
          <w:b/>
        </w:rPr>
        <w:t xml:space="preserve">24 meses</w:t>
      </w:r>
      <w:r>
        <w:t xml:space="preserve">.</w:t>
      </w:r>
    </w:p>
    <w:p>
      <w:pPr>
        <w:pStyle w:val="BodyText"/>
      </w:pPr>
      <w:r>
        <w:t xml:space="preserve">Uma circular do SENA de 2024 lista</w:t>
      </w:r>
      <w:r>
        <w:t xml:space="preserve"> </w:t>
      </w:r>
      <w:r>
        <w:rPr>
          <w:bCs/>
          <w:b/>
        </w:rPr>
        <w:t xml:space="preserve">MANTENIMIENTO DE EQUIPO BIOMÉDICO</w:t>
      </w:r>
      <w:r>
        <w:t xml:space="preserve">, Tecnólogo, presencial, no Centro de Automatización Industrial em Caldas.</w:t>
      </w:r>
    </w:p>
    <w:p>
      <w:pPr>
        <w:pStyle w:val="BodyText"/>
      </w:pPr>
      <w:r>
        <w:t xml:space="preserve">Esse é um forte localizador de formação pública, mas uma lista normativa ou histórica não garante que haja turma aberta hoje. Verifique a oferta vigente, centro, horário, requisitos de admissão, modalidade e disponibilidade no SENA/Betowa antes de tomar decisões de viagem ou gastos.</w:t>
      </w:r>
    </w:p>
    <w:p>
      <w:pPr>
        <w:pStyle w:val="BodyText"/>
      </w:pPr>
      <w:r>
        <w:t xml:space="preserve">Referências oficiais:</w:t>
      </w:r>
    </w:p>
    <w:p>
      <w:pPr>
        <w:pStyle w:val="BodyText"/>
      </w:pPr>
      <w:hyperlink r:id="rId40">
        <w:hyperlink r:id="rId40">
          <w:r>
            <w:rPr>
              <w:rStyle w:val="Hyperlink"/>
            </w:rPr>
            <w:t xml:space="preserve">Source link</w:t>
          </w:r>
        </w:hyperlink>
      </w:hyperlink>
    </w:p>
    <w:p>
      <w:pPr>
        <w:pStyle w:val="BodyText"/>
      </w:pPr>
      <w:hyperlink r:id="rId41">
        <w:hyperlink r:id="rId41">
          <w:r>
            <w:rPr>
              <w:rStyle w:val="Hyperlink"/>
            </w:rPr>
            <w:t xml:space="preserve">Source link</w:t>
          </w:r>
        </w:hyperlink>
      </w:hyperlink>
    </w:p>
    <w:bookmarkEnd w:id="42"/>
    <w:bookmarkStart w:id="44" w:name="X3638fa91251161553b5c2f0ed51e0e154e8f319"/>
    <w:p>
      <w:pPr>
        <w:pStyle w:val="Heading2"/>
      </w:pPr>
      <w:r>
        <w:t xml:space="preserve">Colômbia — tecnovigilância e reporte de segurança</w:t>
      </w:r>
    </w:p>
    <w:p>
      <w:pPr>
        <w:pStyle w:val="FirstParagraph"/>
      </w:pPr>
      <w:r>
        <w:t xml:space="preserve">O</w:t>
      </w:r>
      <w:r>
        <w:t xml:space="preserve"> </w:t>
      </w:r>
      <w:r>
        <w:rPr>
          <w:bCs/>
          <w:b/>
        </w:rPr>
        <w:t xml:space="preserve">Programa Nacional de Tecnovigilancia</w:t>
      </w:r>
      <w:r>
        <w:t xml:space="preserve"> </w:t>
      </w:r>
      <w:r>
        <w:t xml:space="preserve">do INVIMA é o sistema colombiano de vigilância pós-mercado para identificar, avaliar, gerenciar e prevenir eventos e incidentes adversos associados a dispositivos médicos.</w:t>
      </w:r>
    </w:p>
    <w:p>
      <w:pPr>
        <w:pStyle w:val="BodyText"/>
      </w:pPr>
      <w:r>
        <w:t xml:space="preserve">Fonte oficial:</w:t>
      </w:r>
    </w:p>
    <w:p>
      <w:pPr>
        <w:pStyle w:val="BodyText"/>
      </w:pPr>
      <w:hyperlink r:id="rId43">
        <w:hyperlink r:id="rId43">
          <w:r>
            <w:rPr>
              <w:rStyle w:val="Hyperlink"/>
            </w:rPr>
            <w:t xml:space="preserve">Source link</w:t>
          </w:r>
        </w:hyperlink>
      </w:hyperlink>
    </w:p>
    <w:p>
      <w:pPr>
        <w:pStyle w:val="BodyText"/>
      </w:pPr>
      <w:r>
        <w:t xml:space="preserve">O INVIMA reconhece especificamente relatórios de manutenção corretiva de equipamentos biomédicos como possível fonte de identificação de problemas quando a saúde do paciente ou operador estiver envolvida.</w:t>
      </w:r>
    </w:p>
    <w:p>
      <w:pPr>
        <w:pStyle w:val="BodyText"/>
      </w:pPr>
      <w:r>
        <w:t xml:space="preserve">Portanto, um técnico deve seguir o processo institucional de tecnovigilância, evento de segurança, qualidade, fabricante e reporte regulatório quando uma falha puder ter causado dano ou colocado em risco paciente ou operador. Não apague a evidência, repare silenciosamente o dispositivo e o devolva ao serviço sem o reporte e a investigação exigidos.</w:t>
      </w:r>
    </w:p>
    <w:bookmarkEnd w:id="44"/>
    <w:bookmarkStart w:id="45" w:name="X5bfa11f7306b91cb5f037a48314caabd0688b58"/>
    <w:p>
      <w:pPr>
        <w:pStyle w:val="Heading2"/>
      </w:pPr>
      <w:r>
        <w:t xml:space="preserve">Colômbia — limites profissionais e do empregador</w:t>
      </w:r>
    </w:p>
    <w:p>
      <w:pPr>
        <w:pStyle w:val="FirstParagraph"/>
      </w:pPr>
      <w:r>
        <w:t xml:space="preserve">Concluir um programa tecnológico não autoriza o trabalhador a ignorar:</w:t>
      </w:r>
    </w:p>
    <w:p>
      <w:pPr>
        <w:numPr>
          <w:ilvl w:val="0"/>
          <w:numId w:val="1015"/>
        </w:numPr>
        <w:pStyle w:val="Compact"/>
      </w:pPr>
      <w:r>
        <w:t xml:space="preserve">requisitos de competência do empregador;</w:t>
      </w:r>
    </w:p>
    <w:p>
      <w:pPr>
        <w:numPr>
          <w:ilvl w:val="0"/>
          <w:numId w:val="1015"/>
        </w:numPr>
        <w:pStyle w:val="Compact"/>
      </w:pPr>
      <w:r>
        <w:t xml:space="preserve">restrições de serviço do fabricante;</w:t>
      </w:r>
    </w:p>
    <w:p>
      <w:pPr>
        <w:numPr>
          <w:ilvl w:val="0"/>
          <w:numId w:val="1015"/>
        </w:numPr>
        <w:pStyle w:val="Compact"/>
      </w:pPr>
      <w:r>
        <w:t xml:space="preserve">regras de segurança elétrica ou ocupacional;</w:t>
      </w:r>
    </w:p>
    <w:p>
      <w:pPr>
        <w:numPr>
          <w:ilvl w:val="0"/>
          <w:numId w:val="1015"/>
        </w:numPr>
        <w:pStyle w:val="Compact"/>
      </w:pPr>
      <w:r>
        <w:t xml:space="preserve">regulamentação de dispositivos médicos;</w:t>
      </w:r>
    </w:p>
    <w:p>
      <w:pPr>
        <w:numPr>
          <w:ilvl w:val="0"/>
          <w:numId w:val="1015"/>
        </w:numPr>
        <w:pStyle w:val="Compact"/>
      </w:pPr>
      <w:r>
        <w:t xml:space="preserve">requisitos de tecnovigilância;</w:t>
      </w:r>
    </w:p>
    <w:p>
      <w:pPr>
        <w:numPr>
          <w:ilvl w:val="0"/>
          <w:numId w:val="1015"/>
        </w:numPr>
        <w:pStyle w:val="Compact"/>
      </w:pPr>
      <w:r>
        <w:t xml:space="preserve">controles de metrologia/calibração;</w:t>
      </w:r>
    </w:p>
    <w:p>
      <w:pPr>
        <w:numPr>
          <w:ilvl w:val="0"/>
          <w:numId w:val="1015"/>
        </w:numPr>
        <w:pStyle w:val="Compact"/>
      </w:pPr>
      <w:r>
        <w:t xml:space="preserve">autorização de radiação ou outra especialidade quando aplicável; nem</w:t>
      </w:r>
    </w:p>
    <w:p>
      <w:pPr>
        <w:numPr>
          <w:ilvl w:val="0"/>
          <w:numId w:val="1015"/>
        </w:numPr>
        <w:pStyle w:val="Compact"/>
      </w:pPr>
      <w:r>
        <w:t xml:space="preserve">políticas institucionais de qualidade e cibersegurança.</w:t>
      </w:r>
    </w:p>
    <w:p>
      <w:pPr>
        <w:pStyle w:val="FirstParagraph"/>
      </w:pPr>
      <w:r>
        <w:t xml:space="preserve">Verifique os requisitos da função e da classe de equipamento exatas antes de aceitar responsabilidade.</w:t>
      </w:r>
    </w:p>
    <w:bookmarkEnd w:id="45"/>
    <w:bookmarkStart w:id="46" w:name="exploração-na-américa-latina-e-no-caribe"/>
    <w:p>
      <w:pPr>
        <w:pStyle w:val="Heading2"/>
      </w:pPr>
      <w:r>
        <w:t xml:space="preserve">Exploração na América Latina e no Caribe</w:t>
      </w:r>
    </w:p>
    <w:p>
      <w:pPr>
        <w:pStyle w:val="FirstParagraph"/>
      </w:pPr>
      <w:r>
        <w:t xml:space="preserve">Regulamentação de dispositivos médicos, sistemas de educação técnica, títulos ocupacionais e requisitos de estabelecimentos de saúde variam por país.</w:t>
      </w:r>
    </w:p>
    <w:p>
      <w:pPr>
        <w:pStyle w:val="BodyText"/>
      </w:pPr>
      <w:r>
        <w:t xml:space="preserve">Uma sequência segura de exploração é:</w:t>
      </w:r>
    </w:p>
    <w:p>
      <w:pPr>
        <w:numPr>
          <w:ilvl w:val="0"/>
          <w:numId w:val="1016"/>
        </w:numPr>
        <w:pStyle w:val="Compact"/>
      </w:pPr>
      <w:r>
        <w:t xml:space="preserve">Localizar o regulador nacional de dispositivos médicos ou autoridade de saúde.</w:t>
      </w:r>
    </w:p>
    <w:p>
      <w:pPr>
        <w:numPr>
          <w:ilvl w:val="0"/>
          <w:numId w:val="1016"/>
        </w:numPr>
        <w:pStyle w:val="Compact"/>
      </w:pPr>
      <w:r>
        <w:t xml:space="preserve">Identificar instituições públicas de formação técnica/profissional.</w:t>
      </w:r>
    </w:p>
    <w:p>
      <w:pPr>
        <w:numPr>
          <w:ilvl w:val="0"/>
          <w:numId w:val="1016"/>
        </w:numPr>
        <w:pStyle w:val="Compact"/>
      </w:pPr>
      <w:r>
        <w:t xml:space="preserve">Pesquisar requisitos do regulador sobre manutenção de dispositivos, vigilância pós-mercado, reporte de incidentes e segurança.</w:t>
      </w:r>
    </w:p>
    <w:p>
      <w:pPr>
        <w:numPr>
          <w:ilvl w:val="0"/>
          <w:numId w:val="1016"/>
        </w:numPr>
        <w:pStyle w:val="Compact"/>
      </w:pPr>
      <w:r>
        <w:t xml:space="preserve">Comparar vagas de empregadores para identificar qualificações comuns.</w:t>
      </w:r>
    </w:p>
    <w:p>
      <w:pPr>
        <w:numPr>
          <w:ilvl w:val="0"/>
          <w:numId w:val="1016"/>
        </w:numPr>
        <w:pStyle w:val="Compact"/>
      </w:pPr>
      <w:r>
        <w:t xml:space="preserve">Verificar se a ocupação ou a classe específica de equipamento exige registro, autorização, credencial de radiação, licença elétrica, competência metrológica ou treinamento do fabricante.</w:t>
      </w:r>
    </w:p>
    <w:p>
      <w:pPr>
        <w:numPr>
          <w:ilvl w:val="0"/>
          <w:numId w:val="1016"/>
        </w:numPr>
        <w:pStyle w:val="Compact"/>
      </w:pPr>
      <w:r>
        <w:t xml:space="preserve">Confirmar mensalidade e financiamento antes de pagar um provedor privado.</w:t>
      </w:r>
    </w:p>
    <w:p>
      <w:pPr>
        <w:pStyle w:val="FirstParagraph"/>
      </w:pPr>
      <w:r>
        <w:t xml:space="preserve">Não traduza "BMET" ou "medical equipment repairer" para um título regulamentado em outro país sem verificação.</w:t>
      </w:r>
    </w:p>
    <w:bookmarkEnd w:id="46"/>
    <w:bookmarkStart w:id="47" w:name="como-escolher-um-programa-de-capacitação"/>
    <w:p>
      <w:pPr>
        <w:pStyle w:val="Heading2"/>
      </w:pPr>
      <w:r>
        <w:t xml:space="preserve">Como escolher um programa de capacitação</w:t>
      </w:r>
    </w:p>
    <w:p>
      <w:pPr>
        <w:pStyle w:val="FirstParagraph"/>
      </w:pPr>
      <w:r>
        <w:t xml:space="preserve">Antes de se matricular, pergunte:</w:t>
      </w:r>
    </w:p>
    <w:p>
      <w:pPr>
        <w:numPr>
          <w:ilvl w:val="0"/>
          <w:numId w:val="1017"/>
        </w:numPr>
        <w:pStyle w:val="Compact"/>
      </w:pPr>
      <w:r>
        <w:t xml:space="preserve">A instituição é reconhecida pela autoridade educacional relevante?</w:t>
      </w:r>
    </w:p>
    <w:p>
      <w:pPr>
        <w:numPr>
          <w:ilvl w:val="0"/>
          <w:numId w:val="1017"/>
        </w:numPr>
        <w:pStyle w:val="Compact"/>
      </w:pPr>
      <w:r>
        <w:t xml:space="preserve">Qual proporção do programa é prática?</w:t>
      </w:r>
    </w:p>
    <w:p>
      <w:pPr>
        <w:numPr>
          <w:ilvl w:val="0"/>
          <w:numId w:val="1017"/>
        </w:numPr>
        <w:pStyle w:val="Compact"/>
      </w:pPr>
      <w:r>
        <w:t xml:space="preserve">Quais equipamentos de teste são usados?</w:t>
      </w:r>
    </w:p>
    <w:p>
      <w:pPr>
        <w:numPr>
          <w:ilvl w:val="0"/>
          <w:numId w:val="1017"/>
        </w:numPr>
        <w:pStyle w:val="Compact"/>
      </w:pPr>
      <w:r>
        <w:t xml:space="preserve">Segurança elétrica e calibração estão incluídas?</w:t>
      </w:r>
    </w:p>
    <w:p>
      <w:pPr>
        <w:numPr>
          <w:ilvl w:val="0"/>
          <w:numId w:val="1017"/>
        </w:numPr>
        <w:pStyle w:val="Compact"/>
      </w:pPr>
      <w:r>
        <w:t xml:space="preserve">Redes e cibersegurança estão incluídas?</w:t>
      </w:r>
    </w:p>
    <w:p>
      <w:pPr>
        <w:numPr>
          <w:ilvl w:val="0"/>
          <w:numId w:val="1017"/>
        </w:numPr>
        <w:pStyle w:val="Compact"/>
      </w:pPr>
      <w:r>
        <w:t xml:space="preserve">O currículo cobre documentação de serviço e sistemas de qualidade?</w:t>
      </w:r>
    </w:p>
    <w:p>
      <w:pPr>
        <w:numPr>
          <w:ilvl w:val="0"/>
          <w:numId w:val="1017"/>
        </w:numPr>
        <w:pStyle w:val="Compact"/>
      </w:pPr>
      <w:r>
        <w:t xml:space="preserve">Explica a diferença entre servicing, modificação e remanufacturing?</w:t>
      </w:r>
    </w:p>
    <w:p>
      <w:pPr>
        <w:numPr>
          <w:ilvl w:val="0"/>
          <w:numId w:val="1017"/>
        </w:numPr>
        <w:pStyle w:val="Compact"/>
      </w:pPr>
      <w:r>
        <w:t xml:space="preserve">Há prática em ambiente clínico e ela é supervisionada?</w:t>
      </w:r>
    </w:p>
    <w:p>
      <w:pPr>
        <w:numPr>
          <w:ilvl w:val="0"/>
          <w:numId w:val="1017"/>
        </w:numPr>
        <w:pStyle w:val="Compact"/>
      </w:pPr>
      <w:r>
        <w:t xml:space="preserve">Ferramentas, uniformes, software, viagens, taxas de exames e outros custos estão incluídos?</w:t>
      </w:r>
    </w:p>
    <w:p>
      <w:pPr>
        <w:numPr>
          <w:ilvl w:val="0"/>
          <w:numId w:val="1017"/>
        </w:numPr>
        <w:pStyle w:val="Compact"/>
      </w:pPr>
      <w:r>
        <w:t xml:space="preserve">Quais empregadores contrataram formados recentemente?</w:t>
      </w:r>
    </w:p>
    <w:p>
      <w:pPr>
        <w:numPr>
          <w:ilvl w:val="0"/>
          <w:numId w:val="1017"/>
        </w:numPr>
        <w:pStyle w:val="Compact"/>
      </w:pPr>
      <w:r>
        <w:t xml:space="preserve">A escola consegue documentar esses resultados?</w:t>
      </w:r>
    </w:p>
    <w:p>
      <w:pPr>
        <w:numPr>
          <w:ilvl w:val="0"/>
          <w:numId w:val="1017"/>
        </w:numPr>
        <w:pStyle w:val="Compact"/>
      </w:pPr>
      <w:r>
        <w:t xml:space="preserve">Existe política de reembolso?</w:t>
      </w:r>
    </w:p>
    <w:p>
      <w:pPr>
        <w:pStyle w:val="FirstParagraph"/>
      </w:pPr>
      <w:r>
        <w:t xml:space="preserve">Evite escolas que prometam emprego garantido, imigração garantida, certificação universal ou salários iniciais excepcionalmente altos sem evidência verificável.</w:t>
      </w:r>
    </w:p>
    <w:bookmarkEnd w:id="47"/>
    <w:bookmarkStart w:id="54" w:name="X724a059ee038523662a01ae0019c9b97ddddd6f"/>
    <w:p>
      <w:pPr>
        <w:pStyle w:val="Heading2"/>
      </w:pPr>
      <w:r>
        <w:t xml:space="preserve">Plano prático de exploração de 12 semanas</w:t>
      </w:r>
    </w:p>
    <w:bookmarkStart w:id="48" w:name="semanas-12--entender-o-trabalho"/>
    <w:p>
      <w:pPr>
        <w:pStyle w:val="Heading3"/>
      </w:pPr>
      <w:r>
        <w:t xml:space="preserve">Semanas 1–2 — entender o trabalho</w:t>
      </w:r>
    </w:p>
    <w:p>
      <w:pPr>
        <w:numPr>
          <w:ilvl w:val="0"/>
          <w:numId w:val="1018"/>
        </w:numPr>
        <w:pStyle w:val="Compact"/>
      </w:pPr>
      <w:r>
        <w:t xml:space="preserve">Leia o perfil ocupacional do BLS.</w:t>
      </w:r>
    </w:p>
    <w:p>
      <w:pPr>
        <w:numPr>
          <w:ilvl w:val="0"/>
          <w:numId w:val="1018"/>
        </w:numPr>
        <w:pStyle w:val="Compact"/>
      </w:pPr>
      <w:r>
        <w:t xml:space="preserve">Revise dez vagas locais de equipamentos médicos/BMET.</w:t>
      </w:r>
    </w:p>
    <w:p>
      <w:pPr>
        <w:numPr>
          <w:ilvl w:val="0"/>
          <w:numId w:val="1018"/>
        </w:numPr>
        <w:pStyle w:val="Compact"/>
      </w:pPr>
      <w:r>
        <w:t xml:space="preserve">Liste requisitos comuns de educação, eletrônica, redes, viagens e plantão.</w:t>
      </w:r>
    </w:p>
    <w:p>
      <w:pPr>
        <w:numPr>
          <w:ilvl w:val="0"/>
          <w:numId w:val="1018"/>
        </w:numPr>
        <w:pStyle w:val="Compact"/>
      </w:pPr>
      <w:r>
        <w:t xml:space="preserve">Identifique quais tarefas são críticas de segurança.</w:t>
      </w:r>
    </w:p>
    <w:bookmarkEnd w:id="48"/>
    <w:bookmarkStart w:id="49" w:name="semanas-34--construir-fundamentos"/>
    <w:p>
      <w:pPr>
        <w:pStyle w:val="Heading3"/>
      </w:pPr>
      <w:r>
        <w:t xml:space="preserve">Semanas 3–4 — construir fundamentos</w:t>
      </w:r>
    </w:p>
    <w:p>
      <w:pPr>
        <w:pStyle w:val="FirstParagraph"/>
      </w:pPr>
      <w:r>
        <w:t xml:space="preserve">Estude eletricidade básica CC/CA, lei de Ohm, componentes, medição, segurança elétrica, aterramento, baterias e uso seguro de multímetro. Use circuitos de treinamento, não dispositivos médicos ativos.</w:t>
      </w:r>
    </w:p>
    <w:bookmarkEnd w:id="49"/>
    <w:bookmarkStart w:id="50" w:name="semanas-56--disciplina-de-diagnóstico"/>
    <w:p>
      <w:pPr>
        <w:pStyle w:val="Heading3"/>
      </w:pPr>
      <w:r>
        <w:t xml:space="preserve">Semanas 5–6 — disciplina de diagnóstico</w:t>
      </w:r>
    </w:p>
    <w:p>
      <w:pPr>
        <w:pStyle w:val="FirstParagraph"/>
      </w:pPr>
      <w:r>
        <w:t xml:space="preserve">Pratique isolamento de falhas em equipamentos de treinamento de baixo risco. Crie um método repetível:</w:t>
      </w:r>
    </w:p>
    <w:p>
      <w:pPr>
        <w:numPr>
          <w:ilvl w:val="0"/>
          <w:numId w:val="1019"/>
        </w:numPr>
        <w:pStyle w:val="Compact"/>
      </w:pPr>
      <w:r>
        <w:t xml:space="preserve">verificar a reclamação;</w:t>
      </w:r>
    </w:p>
    <w:p>
      <w:pPr>
        <w:numPr>
          <w:ilvl w:val="0"/>
          <w:numId w:val="1019"/>
        </w:numPr>
        <w:pStyle w:val="Compact"/>
      </w:pPr>
      <w:r>
        <w:t xml:space="preserve">inspecionar com segurança;</w:t>
      </w:r>
    </w:p>
    <w:p>
      <w:pPr>
        <w:numPr>
          <w:ilvl w:val="0"/>
          <w:numId w:val="1019"/>
        </w:numPr>
        <w:pStyle w:val="Compact"/>
      </w:pPr>
      <w:r>
        <w:t xml:space="preserve">verificar alimentação e falhas óbvias;</w:t>
      </w:r>
    </w:p>
    <w:p>
      <w:pPr>
        <w:numPr>
          <w:ilvl w:val="0"/>
          <w:numId w:val="1019"/>
        </w:numPr>
        <w:pStyle w:val="Compact"/>
      </w:pPr>
      <w:r>
        <w:t xml:space="preserve">consultar documentação aprovada;</w:t>
      </w:r>
    </w:p>
    <w:p>
      <w:pPr>
        <w:numPr>
          <w:ilvl w:val="0"/>
          <w:numId w:val="1019"/>
        </w:numPr>
        <w:pStyle w:val="Compact"/>
      </w:pPr>
      <w:r>
        <w:t xml:space="preserve">medir sistematicamente;</w:t>
      </w:r>
    </w:p>
    <w:p>
      <w:pPr>
        <w:numPr>
          <w:ilvl w:val="0"/>
          <w:numId w:val="1019"/>
        </w:numPr>
        <w:pStyle w:val="Compact"/>
      </w:pPr>
      <w:r>
        <w:t xml:space="preserve">registrar evidências;</w:t>
      </w:r>
    </w:p>
    <w:p>
      <w:pPr>
        <w:numPr>
          <w:ilvl w:val="0"/>
          <w:numId w:val="1019"/>
        </w:numPr>
        <w:pStyle w:val="Compact"/>
      </w:pPr>
      <w:r>
        <w:t xml:space="preserve">reparar somente dentro do escopo; e</w:t>
      </w:r>
    </w:p>
    <w:p>
      <w:pPr>
        <w:numPr>
          <w:ilvl w:val="0"/>
          <w:numId w:val="1019"/>
        </w:numPr>
        <w:pStyle w:val="Compact"/>
      </w:pPr>
      <w:r>
        <w:t xml:space="preserve">verificar após o reparo.</w:t>
      </w:r>
    </w:p>
    <w:bookmarkEnd w:id="50"/>
    <w:bookmarkStart w:id="51" w:name="X818b6e132bcb26c3b9b933e828db6d7b07de24e"/>
    <w:p>
      <w:pPr>
        <w:pStyle w:val="Heading3"/>
      </w:pPr>
      <w:r>
        <w:t xml:space="preserve">Semanas 7–8 — fundamentos digitais e de redes</w:t>
      </w:r>
    </w:p>
    <w:p>
      <w:pPr>
        <w:pStyle w:val="FirstParagraph"/>
      </w:pPr>
      <w:r>
        <w:t xml:space="preserve">Aprenda endereçamento IP, Ethernet, fundamentos de Wi-Fi, contas seguras, conceitos de patching, logs, backups e controle de mudanças. Foque em suporte defensivo, não em testes não autorizados.</w:t>
      </w:r>
    </w:p>
    <w:bookmarkEnd w:id="51"/>
    <w:bookmarkStart w:id="52" w:name="X6efa41e1dd03582139007dd60966cb9eb8bde48"/>
    <w:p>
      <w:pPr>
        <w:pStyle w:val="Heading3"/>
      </w:pPr>
      <w:r>
        <w:t xml:space="preserve">Semanas 9–10 — qualidade e segurança em saúde</w:t>
      </w:r>
    </w:p>
    <w:p>
      <w:pPr>
        <w:pStyle w:val="FirstParagraph"/>
      </w:pPr>
      <w:r>
        <w:t xml:space="preserve">Estude manutenção preventiva, conceitos de calibração, prevenção de infecções, reporte de incidentes, tratamento de recalls/alertas, registros de serviço e a distinção da FDA entre servicing e remanufacturing.</w:t>
      </w:r>
    </w:p>
    <w:bookmarkEnd w:id="52"/>
    <w:bookmarkStart w:id="53" w:name="semanas-1112--decisão-de-carreira"/>
    <w:p>
      <w:pPr>
        <w:pStyle w:val="Heading3"/>
      </w:pPr>
      <w:r>
        <w:t xml:space="preserve">Semanas 11–12 — decisão de carreira</w:t>
      </w:r>
    </w:p>
    <w:p>
      <w:pPr>
        <w:numPr>
          <w:ilvl w:val="0"/>
          <w:numId w:val="1020"/>
        </w:numPr>
        <w:pStyle w:val="Compact"/>
      </w:pPr>
      <w:r>
        <w:t xml:space="preserve">Compare duas ou três opções confiáveis de formação.</w:t>
      </w:r>
    </w:p>
    <w:p>
      <w:pPr>
        <w:numPr>
          <w:ilvl w:val="0"/>
          <w:numId w:val="1020"/>
        </w:numPr>
        <w:pStyle w:val="Compact"/>
      </w:pPr>
      <w:r>
        <w:t xml:space="preserve">Verifique primeiro financiamento público e patrocínio do empregador.</w:t>
      </w:r>
    </w:p>
    <w:p>
      <w:pPr>
        <w:numPr>
          <w:ilvl w:val="0"/>
          <w:numId w:val="1020"/>
        </w:numPr>
        <w:pStyle w:val="Compact"/>
      </w:pPr>
      <w:r>
        <w:t xml:space="preserve">Converse com técnicos ou departamentos de engenharia clínica quando possível.</w:t>
      </w:r>
    </w:p>
    <w:p>
      <w:pPr>
        <w:numPr>
          <w:ilvl w:val="0"/>
          <w:numId w:val="1020"/>
        </w:numPr>
        <w:pStyle w:val="Compact"/>
      </w:pPr>
      <w:r>
        <w:t xml:space="preserve">Monte um portfólio não confidencial.</w:t>
      </w:r>
    </w:p>
    <w:p>
      <w:pPr>
        <w:numPr>
          <w:ilvl w:val="0"/>
          <w:numId w:val="1020"/>
        </w:numPr>
        <w:pStyle w:val="Compact"/>
      </w:pPr>
      <w:r>
        <w:t xml:space="preserve">Candidate-se a vagas realistas de trainee, eletrônica, serviço de campo ou equipamentos biomédicos.</w:t>
      </w:r>
    </w:p>
    <w:bookmarkEnd w:id="53"/>
    <w:bookmarkEnd w:id="54"/>
    <w:bookmarkStart w:id="55" w:name="X1ed1b760b13b4dfdda04aa8668924137c0bcb15"/>
    <w:p>
      <w:pPr>
        <w:pStyle w:val="Heading2"/>
      </w:pPr>
      <w:r>
        <w:t xml:space="preserve">Como desenvolver experiência antes da primeira função biomédica</w:t>
      </w:r>
    </w:p>
    <w:p>
      <w:pPr>
        <w:pStyle w:val="FirstParagraph"/>
      </w:pPr>
      <w:r>
        <w:t xml:space="preserve">Experiência transferível pode vir de:</w:t>
      </w:r>
    </w:p>
    <w:p>
      <w:pPr>
        <w:numPr>
          <w:ilvl w:val="0"/>
          <w:numId w:val="1021"/>
        </w:numPr>
        <w:pStyle w:val="Compact"/>
      </w:pPr>
      <w:r>
        <w:t xml:space="preserve">reparo eletrônico;</w:t>
      </w:r>
    </w:p>
    <w:p>
      <w:pPr>
        <w:numPr>
          <w:ilvl w:val="0"/>
          <w:numId w:val="1021"/>
        </w:numPr>
        <w:pStyle w:val="Compact"/>
      </w:pPr>
      <w:r>
        <w:t xml:space="preserve">manutenção industrial;</w:t>
      </w:r>
    </w:p>
    <w:p>
      <w:pPr>
        <w:numPr>
          <w:ilvl w:val="0"/>
          <w:numId w:val="1021"/>
        </w:numPr>
        <w:pStyle w:val="Compact"/>
      </w:pPr>
      <w:r>
        <w:t xml:space="preserve">instrumentação;</w:t>
      </w:r>
    </w:p>
    <w:p>
      <w:pPr>
        <w:numPr>
          <w:ilvl w:val="0"/>
          <w:numId w:val="1021"/>
        </w:numPr>
        <w:pStyle w:val="Compact"/>
      </w:pPr>
      <w:r>
        <w:t xml:space="preserve">laboratórios de calibração;</w:t>
      </w:r>
    </w:p>
    <w:p>
      <w:pPr>
        <w:numPr>
          <w:ilvl w:val="0"/>
          <w:numId w:val="1021"/>
        </w:numPr>
        <w:pStyle w:val="Compact"/>
      </w:pPr>
      <w:r>
        <w:t xml:space="preserve">serviço de campo;</w:t>
      </w:r>
    </w:p>
    <w:p>
      <w:pPr>
        <w:numPr>
          <w:ilvl w:val="0"/>
          <w:numId w:val="1021"/>
        </w:numPr>
        <w:pStyle w:val="Compact"/>
      </w:pPr>
      <w:r>
        <w:t xml:space="preserve">suporte de TI/redes;</w:t>
      </w:r>
    </w:p>
    <w:p>
      <w:pPr>
        <w:numPr>
          <w:ilvl w:val="0"/>
          <w:numId w:val="1021"/>
        </w:numPr>
        <w:pStyle w:val="Compact"/>
      </w:pPr>
      <w:r>
        <w:t xml:space="preserve">especialidades militares de eletrônica/equipamentos médicos;</w:t>
      </w:r>
    </w:p>
    <w:p>
      <w:pPr>
        <w:numPr>
          <w:ilvl w:val="0"/>
          <w:numId w:val="1021"/>
        </w:numPr>
        <w:pStyle w:val="Compact"/>
      </w:pPr>
      <w:r>
        <w:t xml:space="preserve">suporte a equipamentos laboratoriais;</w:t>
      </w:r>
    </w:p>
    <w:p>
      <w:pPr>
        <w:numPr>
          <w:ilvl w:val="0"/>
          <w:numId w:val="1021"/>
        </w:numPr>
        <w:pStyle w:val="Compact"/>
      </w:pPr>
      <w:r>
        <w:t xml:space="preserve">testes de fabricação; ou</w:t>
      </w:r>
    </w:p>
    <w:p>
      <w:pPr>
        <w:numPr>
          <w:ilvl w:val="0"/>
          <w:numId w:val="1021"/>
        </w:numPr>
        <w:pStyle w:val="Compact"/>
      </w:pPr>
      <w:r>
        <w:t xml:space="preserve">suporte técnico ao cliente.</w:t>
      </w:r>
    </w:p>
    <w:p>
      <w:pPr>
        <w:pStyle w:val="FirstParagraph"/>
      </w:pPr>
      <w:r>
        <w:t xml:space="preserve">Descreva habilidades transferíveis com precisão. Não alegue experiência em serviço de dispositivos médicos se o seu trabalho foi apenas eletrônica de consumo ou TI geral.</w:t>
      </w:r>
    </w:p>
    <w:bookmarkEnd w:id="55"/>
    <w:bookmarkStart w:id="56" w:name="ideias-para-portfólio"/>
    <w:p>
      <w:pPr>
        <w:pStyle w:val="Heading2"/>
      </w:pPr>
      <w:r>
        <w:t xml:space="preserve">Ideias para portfólio</w:t>
      </w:r>
    </w:p>
    <w:p>
      <w:pPr>
        <w:pStyle w:val="FirstParagraph"/>
      </w:pPr>
      <w:r>
        <w:t xml:space="preserve">Um portfólio seguro pode incluir:</w:t>
      </w:r>
    </w:p>
    <w:p>
      <w:pPr>
        <w:numPr>
          <w:ilvl w:val="0"/>
          <w:numId w:val="1022"/>
        </w:numPr>
        <w:pStyle w:val="Compact"/>
      </w:pPr>
      <w:r>
        <w:t xml:space="preserve">exercícios de diagnóstico em baixa tensão;</w:t>
      </w:r>
    </w:p>
    <w:p>
      <w:pPr>
        <w:numPr>
          <w:ilvl w:val="0"/>
          <w:numId w:val="1022"/>
        </w:numPr>
        <w:pStyle w:val="Compact"/>
      </w:pPr>
      <w:r>
        <w:t xml:space="preserve">diagramas de blocos;</w:t>
      </w:r>
    </w:p>
    <w:p>
      <w:pPr>
        <w:numPr>
          <w:ilvl w:val="0"/>
          <w:numId w:val="1022"/>
        </w:numPr>
        <w:pStyle w:val="Compact"/>
      </w:pPr>
      <w:r>
        <w:t xml:space="preserve">listas de manutenção preventiva para equipamentos fictícios de treinamento;</w:t>
      </w:r>
    </w:p>
    <w:p>
      <w:pPr>
        <w:numPr>
          <w:ilvl w:val="0"/>
          <w:numId w:val="1022"/>
        </w:numPr>
        <w:pStyle w:val="Compact"/>
      </w:pPr>
      <w:r>
        <w:t xml:space="preserve">notas sobre conceitos de calibração;</w:t>
      </w:r>
    </w:p>
    <w:p>
      <w:pPr>
        <w:numPr>
          <w:ilvl w:val="0"/>
          <w:numId w:val="1022"/>
        </w:numPr>
        <w:pStyle w:val="Compact"/>
      </w:pPr>
      <w:r>
        <w:t xml:space="preserve">exemplos anonimizados de ordens de trabalho;</w:t>
      </w:r>
    </w:p>
    <w:p>
      <w:pPr>
        <w:numPr>
          <w:ilvl w:val="0"/>
          <w:numId w:val="1022"/>
        </w:numPr>
        <w:pStyle w:val="Compact"/>
      </w:pPr>
      <w:r>
        <w:t xml:space="preserve">laboratórios de diagnóstico de rede;</w:t>
      </w:r>
    </w:p>
    <w:p>
      <w:pPr>
        <w:numPr>
          <w:ilvl w:val="0"/>
          <w:numId w:val="1022"/>
        </w:numPr>
        <w:pStyle w:val="Compact"/>
      </w:pPr>
      <w:r>
        <w:t xml:space="preserve">exemplos de controle de mudanças de cibersegurança;</w:t>
      </w:r>
    </w:p>
    <w:p>
      <w:pPr>
        <w:numPr>
          <w:ilvl w:val="0"/>
          <w:numId w:val="1022"/>
        </w:numPr>
        <w:pStyle w:val="Compact"/>
      </w:pPr>
      <w:r>
        <w:t xml:space="preserve">exercícios de avaliação de risco; e</w:t>
      </w:r>
    </w:p>
    <w:p>
      <w:pPr>
        <w:numPr>
          <w:ilvl w:val="0"/>
          <w:numId w:val="1022"/>
        </w:numPr>
        <w:pStyle w:val="Compact"/>
      </w:pPr>
      <w:r>
        <w:t xml:space="preserve">explicações curtas sobre quando escalar em vez de reparar.</w:t>
      </w:r>
    </w:p>
    <w:p>
      <w:pPr>
        <w:pStyle w:val="FirstParagraph"/>
      </w:pPr>
      <w:r>
        <w:t xml:space="preserve">Nunca coloque dados reais de pacientes, material confidencial do empregador, manuais proprietários, chaves de dispositivos ou informações de serviço não autorizadas em um portfólio público.</w:t>
      </w:r>
    </w:p>
    <w:bookmarkEnd w:id="56"/>
    <w:bookmarkStart w:id="57" w:name="Xf59277b2b9549083ea059396324c51331c2c121"/>
    <w:p>
      <w:pPr>
        <w:pStyle w:val="Heading2"/>
      </w:pPr>
      <w:r>
        <w:t xml:space="preserve">Linguagem de currículo que permanece precisa</w:t>
      </w:r>
    </w:p>
    <w:p>
      <w:pPr>
        <w:pStyle w:val="FirstParagraph"/>
      </w:pPr>
      <w:r>
        <w:t xml:space="preserve">Exemplos de linguagem defensável quando verdadeira:</w:t>
      </w:r>
    </w:p>
    <w:p>
      <w:pPr>
        <w:numPr>
          <w:ilvl w:val="0"/>
          <w:numId w:val="1023"/>
        </w:numPr>
        <w:pStyle w:val="Compact"/>
      </w:pPr>
      <w:r>
        <w:t xml:space="preserve">"Realizei diagnóstico sistemático de falhas usando documentação técnica aprovada e equipamentos de teste."</w:t>
      </w:r>
    </w:p>
    <w:p>
      <w:pPr>
        <w:numPr>
          <w:ilvl w:val="0"/>
          <w:numId w:val="1023"/>
        </w:numPr>
        <w:pStyle w:val="Compact"/>
      </w:pPr>
      <w:r>
        <w:t xml:space="preserve">"Documentei manutenção preventiva e corretiva com medições rastreáveis e registros de peças."</w:t>
      </w:r>
    </w:p>
    <w:p>
      <w:pPr>
        <w:numPr>
          <w:ilvl w:val="0"/>
          <w:numId w:val="1023"/>
        </w:numPr>
        <w:pStyle w:val="Compact"/>
      </w:pPr>
      <w:r>
        <w:t xml:space="preserve">"Apliquei procedimentos de segurança elétrica, controle de mudanças e escalonamento para equipamentos sensíveis à segurança."</w:t>
      </w:r>
    </w:p>
    <w:p>
      <w:pPr>
        <w:numPr>
          <w:ilvl w:val="0"/>
          <w:numId w:val="1023"/>
        </w:numPr>
        <w:pStyle w:val="Compact"/>
      </w:pPr>
      <w:r>
        <w:t xml:space="preserve">"Apoiei equipamentos conectados em rede seguindo controles de credenciais e cibersegurança."</w:t>
      </w:r>
    </w:p>
    <w:p>
      <w:pPr>
        <w:numPr>
          <w:ilvl w:val="0"/>
          <w:numId w:val="1023"/>
        </w:numPr>
        <w:pStyle w:val="Compact"/>
      </w:pPr>
      <w:r>
        <w:t xml:space="preserve">"Coordenei problemas técnicos com usuários, fornecedores, engenharia, TI e equipes de qualidade."</w:t>
      </w:r>
    </w:p>
    <w:p>
      <w:pPr>
        <w:pStyle w:val="FirstParagraph"/>
      </w:pPr>
      <w:r>
        <w:t xml:space="preserve">Não use "certificado", "licenciado", "autorizado pelo fabricante" ou "engenheiro clínico" salvo se a afirmação for factualmente correta para você e para a jurisdição.</w:t>
      </w:r>
    </w:p>
    <w:bookmarkEnd w:id="57"/>
    <w:bookmarkStart w:id="58" w:name="perguntas-para-um-empregador"/>
    <w:p>
      <w:pPr>
        <w:pStyle w:val="Heading2"/>
      </w:pPr>
      <w:r>
        <w:t xml:space="preserve">Perguntas para um empregador</w:t>
      </w:r>
    </w:p>
    <w:p>
      <w:pPr>
        <w:pStyle w:val="FirstParagraph"/>
      </w:pPr>
      <w:r>
        <w:t xml:space="preserve">Pergunte:</w:t>
      </w:r>
    </w:p>
    <w:p>
      <w:pPr>
        <w:numPr>
          <w:ilvl w:val="0"/>
          <w:numId w:val="1024"/>
        </w:numPr>
        <w:pStyle w:val="Compact"/>
      </w:pPr>
      <w:r>
        <w:t xml:space="preserve">Quais equipamentos vou atender?</w:t>
      </w:r>
    </w:p>
    <w:p>
      <w:pPr>
        <w:numPr>
          <w:ilvl w:val="0"/>
          <w:numId w:val="1024"/>
        </w:numPr>
        <w:pStyle w:val="Compact"/>
      </w:pPr>
      <w:r>
        <w:t xml:space="preserve">Quais tarefas exigem treinamento do fabricante?</w:t>
      </w:r>
    </w:p>
    <w:p>
      <w:pPr>
        <w:numPr>
          <w:ilvl w:val="0"/>
          <w:numId w:val="1024"/>
        </w:numPr>
        <w:pStyle w:val="Compact"/>
      </w:pPr>
      <w:r>
        <w:t xml:space="preserve">Qual é o caminho de escalonamento para modificações ou reparos incomuns?</w:t>
      </w:r>
    </w:p>
    <w:p>
      <w:pPr>
        <w:numPr>
          <w:ilvl w:val="0"/>
          <w:numId w:val="1024"/>
        </w:numPr>
        <w:pStyle w:val="Compact"/>
      </w:pPr>
      <w:r>
        <w:t xml:space="preserve">Como são definidos os intervalos de manutenção preventiva?</w:t>
      </w:r>
    </w:p>
    <w:p>
      <w:pPr>
        <w:numPr>
          <w:ilvl w:val="0"/>
          <w:numId w:val="1024"/>
        </w:numPr>
        <w:pStyle w:val="Compact"/>
      </w:pPr>
      <w:r>
        <w:t xml:space="preserve">Quais equipamentos de teste e controles de calibração são usados?</w:t>
      </w:r>
    </w:p>
    <w:p>
      <w:pPr>
        <w:numPr>
          <w:ilvl w:val="0"/>
          <w:numId w:val="1024"/>
        </w:numPr>
        <w:pStyle w:val="Compact"/>
      </w:pPr>
      <w:r>
        <w:t xml:space="preserve">Quais responsabilidades de cibersegurança pertencem a esta função?</w:t>
      </w:r>
    </w:p>
    <w:p>
      <w:pPr>
        <w:numPr>
          <w:ilvl w:val="0"/>
          <w:numId w:val="1024"/>
        </w:numPr>
        <w:pStyle w:val="Compact"/>
      </w:pPr>
      <w:r>
        <w:t xml:space="preserve">Como são tratados recalls, alertas de segurança e tecnovigilância/eventos adversos?</w:t>
      </w:r>
    </w:p>
    <w:p>
      <w:pPr>
        <w:numPr>
          <w:ilvl w:val="0"/>
          <w:numId w:val="1024"/>
        </w:numPr>
        <w:pStyle w:val="Compact"/>
      </w:pPr>
      <w:r>
        <w:t xml:space="preserve">Quanto de viagem ou plantão é esperado?</w:t>
      </w:r>
    </w:p>
    <w:p>
      <w:pPr>
        <w:numPr>
          <w:ilvl w:val="0"/>
          <w:numId w:val="1024"/>
        </w:numPr>
        <w:pStyle w:val="Compact"/>
      </w:pPr>
      <w:r>
        <w:t xml:space="preserve">Que treinamento é oferecido nos primeiros seis meses?</w:t>
      </w:r>
    </w:p>
    <w:p>
      <w:pPr>
        <w:numPr>
          <w:ilvl w:val="0"/>
          <w:numId w:val="1024"/>
        </w:numPr>
        <w:pStyle w:val="Compact"/>
      </w:pPr>
      <w:r>
        <w:t xml:space="preserve">Ferramentas, viagens, telefone e custos de certificação/treinamento são reembolsados?</w:t>
      </w:r>
    </w:p>
    <w:bookmarkEnd w:id="58"/>
    <w:bookmarkStart w:id="59" w:name="acessibilidade-e-apoio-à-deficiência"/>
    <w:p>
      <w:pPr>
        <w:pStyle w:val="Heading2"/>
      </w:pPr>
      <w:r>
        <w:t xml:space="preserve">Acessibilidade e apoio à deficiência</w:t>
      </w:r>
    </w:p>
    <w:p>
      <w:pPr>
        <w:pStyle w:val="FirstParagraph"/>
      </w:pPr>
      <w:r>
        <w:t xml:space="preserve">Pessoas com deficiência podem trabalhar com sucesso em serviço técnico quando tarefas e adaptações são compatíveis.</w:t>
      </w:r>
    </w:p>
    <w:p>
      <w:pPr>
        <w:pStyle w:val="BodyText"/>
      </w:pPr>
      <w:r>
        <w:t xml:space="preserve">Possíveis apoios incluem:</w:t>
      </w:r>
    </w:p>
    <w:p>
      <w:pPr>
        <w:numPr>
          <w:ilvl w:val="0"/>
          <w:numId w:val="1025"/>
        </w:numPr>
        <w:pStyle w:val="Compact"/>
      </w:pPr>
      <w:r>
        <w:t xml:space="preserve">bancadas ergonômicas e superfícies ajustáveis;</w:t>
      </w:r>
    </w:p>
    <w:p>
      <w:pPr>
        <w:numPr>
          <w:ilvl w:val="0"/>
          <w:numId w:val="1025"/>
        </w:numPr>
        <w:pStyle w:val="Compact"/>
      </w:pPr>
      <w:r>
        <w:t xml:space="preserve">ampliação ou iluminação melhorada;</w:t>
      </w:r>
    </w:p>
    <w:p>
      <w:pPr>
        <w:numPr>
          <w:ilvl w:val="0"/>
          <w:numId w:val="1025"/>
        </w:numPr>
        <w:pStyle w:val="Compact"/>
      </w:pPr>
      <w:r>
        <w:t xml:space="preserve">leitores de tela ou fala-para-texto para documentação;</w:t>
      </w:r>
    </w:p>
    <w:p>
      <w:pPr>
        <w:numPr>
          <w:ilvl w:val="0"/>
          <w:numId w:val="1025"/>
        </w:numPr>
        <w:pStyle w:val="Compact"/>
      </w:pPr>
      <w:r>
        <w:t xml:space="preserve">recursos de acessibilidade auditiva;</w:t>
      </w:r>
    </w:p>
    <w:p>
      <w:pPr>
        <w:numPr>
          <w:ilvl w:val="0"/>
          <w:numId w:val="1025"/>
        </w:numPr>
        <w:pStyle w:val="Compact"/>
      </w:pPr>
      <w:r>
        <w:t xml:space="preserve">procedimentos escritos e listas de verificação;</w:t>
      </w:r>
    </w:p>
    <w:p>
      <w:pPr>
        <w:numPr>
          <w:ilvl w:val="0"/>
          <w:numId w:val="1025"/>
        </w:numPr>
        <w:pStyle w:val="Compact"/>
      </w:pPr>
      <w:r>
        <w:t xml:space="preserve">auxílios para sequenciamento de tarefas;</w:t>
      </w:r>
    </w:p>
    <w:p>
      <w:pPr>
        <w:numPr>
          <w:ilvl w:val="0"/>
          <w:numId w:val="1025"/>
        </w:numPr>
        <w:pStyle w:val="Compact"/>
      </w:pPr>
      <w:r>
        <w:t xml:space="preserve">equipamentos de teste ou interfaces de software acessíveis;</w:t>
      </w:r>
    </w:p>
    <w:p>
      <w:pPr>
        <w:numPr>
          <w:ilvl w:val="0"/>
          <w:numId w:val="1025"/>
        </w:numPr>
        <w:pStyle w:val="Compact"/>
      </w:pPr>
      <w:r>
        <w:t xml:space="preserve">ajustes de horário quando legal e operacionalmente viáveis; e</w:t>
      </w:r>
    </w:p>
    <w:p>
      <w:pPr>
        <w:numPr>
          <w:ilvl w:val="0"/>
          <w:numId w:val="1025"/>
        </w:numPr>
        <w:pStyle w:val="Compact"/>
      </w:pPr>
      <w:r>
        <w:t xml:space="preserve">métodos alternativos para tarefas físicas não essenciais.</w:t>
      </w:r>
    </w:p>
    <w:p>
      <w:pPr>
        <w:pStyle w:val="FirstParagraph"/>
      </w:pPr>
      <w:r>
        <w:t xml:space="preserve">Uma adaptação não exige contornar um controle essencial de segurança. Discuta funções essenciais e opções de adaptação pelo processo apropriado do empregador ou instituição educacional.</w:t>
      </w:r>
    </w:p>
    <w:bookmarkEnd w:id="59"/>
    <w:bookmarkStart w:id="60" w:name="Xaf62f114948ed4e89bc265b83f409cea172ece1"/>
    <w:p>
      <w:pPr>
        <w:pStyle w:val="Heading2"/>
      </w:pPr>
      <w:r>
        <w:t xml:space="preserve">Detecção de golpes e pausa antes de gastar</w:t>
      </w:r>
    </w:p>
    <w:p>
      <w:pPr>
        <w:pStyle w:val="FirstParagraph"/>
      </w:pPr>
      <w:r>
        <w:t xml:space="preserve">Pare antes de pagar se uma escola, recrutador ou fornecedor de credenciais:</w:t>
      </w:r>
    </w:p>
    <w:p>
      <w:pPr>
        <w:numPr>
          <w:ilvl w:val="0"/>
          <w:numId w:val="1026"/>
        </w:numPr>
        <w:pStyle w:val="Compact"/>
      </w:pPr>
      <w:r>
        <w:t xml:space="preserve">promete emprego garantido;</w:t>
      </w:r>
    </w:p>
    <w:p>
      <w:pPr>
        <w:numPr>
          <w:ilvl w:val="0"/>
          <w:numId w:val="1026"/>
        </w:numPr>
        <w:pStyle w:val="Compact"/>
      </w:pPr>
      <w:r>
        <w:t xml:space="preserve">promete visto de trabalho garantido nos Estados Unidos, Canadá ou Colômbia;</w:t>
      </w:r>
    </w:p>
    <w:p>
      <w:pPr>
        <w:numPr>
          <w:ilvl w:val="0"/>
          <w:numId w:val="1026"/>
        </w:numPr>
        <w:pStyle w:val="Compact"/>
      </w:pPr>
      <w:r>
        <w:t xml:space="preserve">afirma que um certificado é legalmente exigido em todos os lugares;</w:t>
      </w:r>
    </w:p>
    <w:p>
      <w:pPr>
        <w:numPr>
          <w:ilvl w:val="0"/>
          <w:numId w:val="1026"/>
        </w:numPr>
        <w:pStyle w:val="Compact"/>
      </w:pPr>
      <w:r>
        <w:t xml:space="preserve">pressiona para pagamento imediato;</w:t>
      </w:r>
    </w:p>
    <w:p>
      <w:pPr>
        <w:numPr>
          <w:ilvl w:val="0"/>
          <w:numId w:val="1026"/>
        </w:numPr>
        <w:pStyle w:val="Compact"/>
      </w:pPr>
      <w:r>
        <w:t xml:space="preserve">se recusa a identificar a autoridade de acreditação/reconhecimento;</w:t>
      </w:r>
    </w:p>
    <w:p>
      <w:pPr>
        <w:numPr>
          <w:ilvl w:val="0"/>
          <w:numId w:val="1026"/>
        </w:numPr>
        <w:pStyle w:val="Compact"/>
      </w:pPr>
      <w:r>
        <w:t xml:space="preserve">não consegue mostrar currículo ou custo total;</w:t>
      </w:r>
    </w:p>
    <w:p>
      <w:pPr>
        <w:numPr>
          <w:ilvl w:val="0"/>
          <w:numId w:val="1026"/>
        </w:numPr>
        <w:pStyle w:val="Compact"/>
      </w:pPr>
      <w:r>
        <w:t xml:space="preserve">anuncia salários iniciais implausíveis sem evidência local;</w:t>
      </w:r>
    </w:p>
    <w:p>
      <w:pPr>
        <w:numPr>
          <w:ilvl w:val="0"/>
          <w:numId w:val="1026"/>
        </w:numPr>
        <w:pStyle w:val="Compact"/>
      </w:pPr>
      <w:r>
        <w:t xml:space="preserve">pede pagamento por gift card, criptomoeda ou transferência incomum; ou</w:t>
      </w:r>
    </w:p>
    <w:p>
      <w:pPr>
        <w:numPr>
          <w:ilvl w:val="0"/>
          <w:numId w:val="1026"/>
        </w:numPr>
        <w:pStyle w:val="Compact"/>
      </w:pPr>
      <w:r>
        <w:t xml:space="preserve">orienta você a não verificar as alegações com empregadores ou órgãos públicos.</w:t>
      </w:r>
    </w:p>
    <w:p>
      <w:pPr>
        <w:pStyle w:val="FirstParagraph"/>
      </w:pPr>
      <w:r>
        <w:t xml:space="preserve">Verifique primeiro. Instituições públicas e empregadores costumam ser fontes melhores de requisitos do que páginas de marketing.</w:t>
      </w:r>
    </w:p>
    <w:bookmarkEnd w:id="60"/>
    <w:bookmarkStart w:id="61" w:name="progressão-de-carreira"/>
    <w:p>
      <w:pPr>
        <w:pStyle w:val="Heading2"/>
      </w:pPr>
      <w:r>
        <w:t xml:space="preserve">Progressão de carreira</w:t>
      </w:r>
    </w:p>
    <w:p>
      <w:pPr>
        <w:pStyle w:val="FirstParagraph"/>
      </w:pPr>
      <w:r>
        <w:t xml:space="preserve">A progressão depende de educação, desempenho, estrutura do empregador e jurisdição. Os caminhos podem incluir:</w:t>
      </w:r>
    </w:p>
    <w:p>
      <w:pPr>
        <w:numPr>
          <w:ilvl w:val="0"/>
          <w:numId w:val="1027"/>
        </w:numPr>
        <w:pStyle w:val="Compact"/>
      </w:pPr>
      <w:r>
        <w:t xml:space="preserve">técnico sênior de equipamentos biomédicos;</w:t>
      </w:r>
    </w:p>
    <w:p>
      <w:pPr>
        <w:numPr>
          <w:ilvl w:val="0"/>
          <w:numId w:val="1027"/>
        </w:numPr>
        <w:pStyle w:val="Compact"/>
      </w:pPr>
      <w:r>
        <w:t xml:space="preserve">especialista em imagem ou equipamentos laboratoriais;</w:t>
      </w:r>
    </w:p>
    <w:p>
      <w:pPr>
        <w:numPr>
          <w:ilvl w:val="0"/>
          <w:numId w:val="1027"/>
        </w:numPr>
        <w:pStyle w:val="Compact"/>
      </w:pPr>
      <w:r>
        <w:t xml:space="preserve">engenheiro/técnico de serviço de campo;</w:t>
      </w:r>
    </w:p>
    <w:p>
      <w:pPr>
        <w:numPr>
          <w:ilvl w:val="0"/>
          <w:numId w:val="1027"/>
        </w:numPr>
        <w:pStyle w:val="Compact"/>
      </w:pPr>
      <w:r>
        <w:t xml:space="preserve">suporte de engenharia clínica;</w:t>
      </w:r>
    </w:p>
    <w:p>
      <w:pPr>
        <w:numPr>
          <w:ilvl w:val="0"/>
          <w:numId w:val="1027"/>
        </w:numPr>
        <w:pStyle w:val="Compact"/>
      </w:pPr>
      <w:r>
        <w:t xml:space="preserve">instrutor técnico;</w:t>
      </w:r>
    </w:p>
    <w:p>
      <w:pPr>
        <w:numPr>
          <w:ilvl w:val="0"/>
          <w:numId w:val="1027"/>
        </w:numPr>
        <w:pStyle w:val="Compact"/>
      </w:pPr>
      <w:r>
        <w:t xml:space="preserve">coordenador de serviço;</w:t>
      </w:r>
    </w:p>
    <w:p>
      <w:pPr>
        <w:numPr>
          <w:ilvl w:val="0"/>
          <w:numId w:val="1027"/>
        </w:numPr>
        <w:pStyle w:val="Compact"/>
      </w:pPr>
      <w:r>
        <w:t xml:space="preserve">suporte de qualidade ou regulatório;</w:t>
      </w:r>
    </w:p>
    <w:p>
      <w:pPr>
        <w:numPr>
          <w:ilvl w:val="0"/>
          <w:numId w:val="1027"/>
        </w:numPr>
        <w:pStyle w:val="Compact"/>
      </w:pPr>
      <w:r>
        <w:t xml:space="preserve">suporte de dispositivos médicos com foco em cibersegurança;</w:t>
      </w:r>
    </w:p>
    <w:p>
      <w:pPr>
        <w:numPr>
          <w:ilvl w:val="0"/>
          <w:numId w:val="1027"/>
        </w:numPr>
        <w:pStyle w:val="Compact"/>
      </w:pPr>
      <w:r>
        <w:t xml:space="preserve">supervisor ou gerente; ou</w:t>
      </w:r>
    </w:p>
    <w:p>
      <w:pPr>
        <w:numPr>
          <w:ilvl w:val="0"/>
          <w:numId w:val="1027"/>
        </w:numPr>
        <w:pStyle w:val="Compact"/>
      </w:pPr>
      <w:r>
        <w:t xml:space="preserve">formação adicional em engenharia/tecnologia.</w:t>
      </w:r>
    </w:p>
    <w:p>
      <w:pPr>
        <w:pStyle w:val="FirstParagraph"/>
      </w:pPr>
      <w:r>
        <w:t xml:space="preserve">Um título como "engenheiro" pode ser regulamentado em algumas jurisdições. Não alegue um título profissional protegido sem verificar as regras locais.</w:t>
      </w:r>
    </w:p>
    <w:bookmarkEnd w:id="61"/>
    <w:bookmarkStart w:id="72" w:name="X0504120bb77d896c8fa663651cc448fb9f55dee"/>
    <w:p>
      <w:pPr>
        <w:pStyle w:val="Heading2"/>
      </w:pPr>
      <w:r>
        <w:t xml:space="preserve">Lista de fontes — verifique antes de decisões importantes</w:t>
      </w:r>
    </w:p>
    <w:bookmarkStart w:id="67" w:name="estados-unidos"/>
    <w:p>
      <w:pPr>
        <w:pStyle w:val="Heading3"/>
      </w:pPr>
      <w:r>
        <w:t xml:space="preserve">Estados Unidos</w:t>
      </w:r>
    </w:p>
    <w:p>
      <w:pPr>
        <w:pStyle w:val="FirstParagraph"/>
      </w:pPr>
      <w:r>
        <w:t xml:space="preserve">U.S. Bureau of Labor Statistics — Medical Equipment Repairers</w:t>
      </w:r>
      <w:r>
        <w:br/>
      </w:r>
      <w:hyperlink r:id="rId62">
        <w:hyperlink r:id="rId62">
          <w:r>
            <w:rPr>
              <w:rStyle w:val="Hyperlink"/>
            </w:rPr>
            <w:t xml:space="preserve">Source link</w:t>
          </w:r>
        </w:hyperlink>
      </w:hyperlink>
    </w:p>
    <w:p>
      <w:pPr>
        <w:pStyle w:val="BodyText"/>
      </w:pPr>
      <w:r>
        <w:t xml:space="preserve">U.S. Food and Drug Administration — Remanufacturing and Servicing Medical Devices</w:t>
      </w:r>
      <w:r>
        <w:br/>
      </w:r>
      <w:hyperlink r:id="rId63">
        <w:hyperlink r:id="rId63">
          <w:r>
            <w:rPr>
              <w:rStyle w:val="Hyperlink"/>
            </w:rPr>
            <w:t xml:space="preserve">Source link</w:t>
          </w:r>
        </w:hyperlink>
      </w:hyperlink>
    </w:p>
    <w:p>
      <w:pPr>
        <w:pStyle w:val="BodyText"/>
      </w:pPr>
      <w:r>
        <w:t xml:space="preserve">U.S. Food and Drug Administration — Remanufacturing of Medical Devices, final guidance</w:t>
      </w:r>
      <w:r>
        <w:br/>
      </w:r>
      <w:hyperlink r:id="rId64">
        <w:hyperlink r:id="rId64">
          <w:r>
            <w:rPr>
              <w:rStyle w:val="Hyperlink"/>
            </w:rPr>
            <w:t xml:space="preserve">Source link</w:t>
          </w:r>
        </w:hyperlink>
      </w:hyperlink>
    </w:p>
    <w:p>
      <w:pPr>
        <w:pStyle w:val="BodyText"/>
      </w:pPr>
      <w:r>
        <w:t xml:space="preserve">FDA — Cybersecurity</w:t>
      </w:r>
      <w:r>
        <w:br/>
      </w:r>
      <w:hyperlink r:id="rId65">
        <w:hyperlink r:id="rId65">
          <w:r>
            <w:rPr>
              <w:rStyle w:val="Hyperlink"/>
            </w:rPr>
            <w:t xml:space="preserve">Source link</w:t>
          </w:r>
        </w:hyperlink>
      </w:hyperlink>
    </w:p>
    <w:p>
      <w:pPr>
        <w:pStyle w:val="BodyText"/>
      </w:pPr>
      <w:r>
        <w:t xml:space="preserve">FDA — Postmarket Management of Cybersecurity in Medical Devices</w:t>
      </w:r>
      <w:r>
        <w:br/>
      </w:r>
      <w:hyperlink r:id="rId66">
        <w:hyperlink r:id="rId66">
          <w:r>
            <w:rPr>
              <w:rStyle w:val="Hyperlink"/>
            </w:rPr>
            <w:t xml:space="preserve">Source link</w:t>
          </w:r>
        </w:hyperlink>
      </w:hyperlink>
    </w:p>
    <w:p>
      <w:pPr>
        <w:pStyle w:val="BodyText"/>
      </w:pPr>
      <w:r>
        <w:t xml:space="preserve">CareerOneStop — American Job Center Finder</w:t>
      </w:r>
      <w:r>
        <w:br/>
      </w:r>
      <w:hyperlink r:id="rId33">
        <w:hyperlink r:id="rId33">
          <w:r>
            <w:rPr>
              <w:rStyle w:val="Hyperlink"/>
            </w:rPr>
            <w:t xml:space="preserve">Source link</w:t>
          </w:r>
        </w:hyperlink>
      </w:hyperlink>
    </w:p>
    <w:p>
      <w:pPr>
        <w:pStyle w:val="BodyText"/>
      </w:pPr>
      <w:r>
        <w:t xml:space="preserve">CareerOneStop — WIOA-Eligible Training Program Finder</w:t>
      </w:r>
      <w:r>
        <w:br/>
      </w:r>
      <w:hyperlink r:id="rId34">
        <w:hyperlink r:id="rId34">
          <w:r>
            <w:rPr>
              <w:rStyle w:val="Hyperlink"/>
            </w:rPr>
            <w:t xml:space="preserve">Source link</w:t>
          </w:r>
        </w:hyperlink>
      </w:hyperlink>
    </w:p>
    <w:bookmarkEnd w:id="67"/>
    <w:bookmarkStart w:id="70" w:name="canadá"/>
    <w:p>
      <w:pPr>
        <w:pStyle w:val="Heading3"/>
      </w:pPr>
      <w:r>
        <w:t xml:space="preserve">Canadá</w:t>
      </w:r>
    </w:p>
    <w:p>
      <w:pPr>
        <w:pStyle w:val="FirstParagraph"/>
      </w:pPr>
      <w:r>
        <w:t xml:space="preserve">Government of Canada Job Bank — Biomedical And Laboratory Equipment Repairer</w:t>
      </w:r>
      <w:r>
        <w:br/>
      </w:r>
      <w:hyperlink r:id="rId68">
        <w:hyperlink r:id="rId68">
          <w:r>
            <w:rPr>
              <w:rStyle w:val="Hyperlink"/>
            </w:rPr>
            <w:t xml:space="preserve">Source link</w:t>
          </w:r>
        </w:hyperlink>
      </w:hyperlink>
    </w:p>
    <w:p>
      <w:pPr>
        <w:pStyle w:val="BodyText"/>
      </w:pPr>
      <w:r>
        <w:t xml:space="preserve">Government of Canada Job Bank — wages</w:t>
      </w:r>
      <w:r>
        <w:br/>
      </w:r>
      <w:hyperlink r:id="rId69">
        <w:hyperlink r:id="rId69">
          <w:r>
            <w:rPr>
              <w:rStyle w:val="Hyperlink"/>
            </w:rPr>
            <w:t xml:space="preserve">Source link</w:t>
          </w:r>
        </w:hyperlink>
      </w:hyperlink>
    </w:p>
    <w:bookmarkEnd w:id="70"/>
    <w:bookmarkStart w:id="71" w:name="colômbia"/>
    <w:p>
      <w:pPr>
        <w:pStyle w:val="Heading3"/>
      </w:pPr>
      <w:r>
        <w:t xml:space="preserve">Colômbia</w:t>
      </w:r>
    </w:p>
    <w:p>
      <w:pPr>
        <w:pStyle w:val="FirstParagraph"/>
      </w:pPr>
      <w:r>
        <w:t xml:space="preserve">SENA — Resolución 472 de 2014, listagem do programa</w:t>
      </w:r>
      <w:r>
        <w:br/>
      </w:r>
      <w:hyperlink r:id="rId40">
        <w:hyperlink r:id="rId40">
          <w:r>
            <w:rPr>
              <w:rStyle w:val="Hyperlink"/>
            </w:rPr>
            <w:t xml:space="preserve">Source link</w:t>
          </w:r>
        </w:hyperlink>
      </w:hyperlink>
    </w:p>
    <w:p>
      <w:pPr>
        <w:pStyle w:val="BodyText"/>
      </w:pPr>
      <w:r>
        <w:t xml:space="preserve">SENA — Circular 22 de 2024, listagem de centro/programa</w:t>
      </w:r>
      <w:r>
        <w:br/>
      </w:r>
      <w:hyperlink r:id="rId41">
        <w:hyperlink r:id="rId41">
          <w:r>
            <w:rPr>
              <w:rStyle w:val="Hyperlink"/>
            </w:rPr>
            <w:t xml:space="preserve">Source link</w:t>
          </w:r>
        </w:hyperlink>
      </w:hyperlink>
    </w:p>
    <w:p>
      <w:pPr>
        <w:pStyle w:val="BodyText"/>
      </w:pPr>
      <w:r>
        <w:t xml:space="preserve">INVIMA — Programa Nacional de Tecnovigilancia</w:t>
      </w:r>
      <w:r>
        <w:br/>
      </w:r>
      <w:hyperlink r:id="rId43">
        <w:hyperlink r:id="rId43">
          <w:r>
            <w:rPr>
              <w:rStyle w:val="Hyperlink"/>
            </w:rPr>
            <w:t xml:space="preserve">Source link</w:t>
          </w:r>
        </w:hyperlink>
      </w:hyperlink>
    </w:p>
    <w:bookmarkEnd w:id="71"/>
    <w:bookmarkEnd w:id="72"/>
    <w:bookmarkStart w:id="73" w:name="verificação-final-de-realidade"/>
    <w:p>
      <w:pPr>
        <w:pStyle w:val="Heading2"/>
      </w:pPr>
      <w:r>
        <w:t xml:space="preserve">Verificação final de realidade</w:t>
      </w:r>
    </w:p>
    <w:p>
      <w:pPr>
        <w:pStyle w:val="FirstParagraph"/>
      </w:pPr>
      <w:r>
        <w:t xml:space="preserve">O reparo de equipamentos médicos pode ser uma excelente carreira técnica em saúde para pessoas que gostam de diagnóstico de falhas, precisão, documentação, eletrônica e serviço. Também é um trabalho crítico de segurança. Um reparo apressado, uma alteração não documentada, uma atualização de firmware não autorizada, um problema de calibração ignorado, um incidente ocultado ou um erro de cibersegurança podem ter consequências muito maiores que uma falha eletrônica comum.</w:t>
      </w:r>
    </w:p>
    <w:p>
      <w:pPr>
        <w:pStyle w:val="BodyText"/>
      </w:pPr>
      <w:r>
        <w:t xml:space="preserve">Os técnicos mais fortes não são aqueles que sempre dizem "eu conserto". São os que sabem verificar, documentar, testar, proteger o paciente e parar quando o trabalho ultrapassa seu limite autorizado.</w:t>
      </w:r>
    </w:p>
    <w:p>
      <w:pPr>
        <w:pStyle w:val="BodyText"/>
      </w:pPr>
      <w:r>
        <w:t xml:space="preserve">Este guia é educacional. Ele não fornece autorização do fabricante, aprovação jurídica ou regulatória, licença profissional, certificação humana independente, certificação profissional de tradução, acreditação, aprovação clínica, garantia de emprego, garantia de renda nem aconselhamento financeiro. Verifique os requisitos atuais com o empregador, fabricante, regulador, autoridade educacional e órgão público de financiamento relevantes antes de decisões importantes.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_rels/footnotes.xml.rels><?xml version="1.0" encoding="UTF-8"?><Relationships xmlns="http://schemas.openxmlformats.org/package/2006/relationships"><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2026-08-20T06:03:11Z</dcterms:created>
  <dcterms:modified xsi:type="dcterms:W3CDTF">2026-08-20T06:03:11Z</dcterms:modified>
</cp:coreProperties>
</file>

<file path=docProps/custom.xml><?xml version="1.0" encoding="utf-8"?>
<Properties xmlns="http://schemas.openxmlformats.org/officeDocument/2006/custom-properties" xmlns:vt="http://schemas.openxmlformats.org/officeDocument/2006/docPropsVTypes"/>
</file>