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9f639a663756638d1202b68eb80e6cebf5033d4"/>
    <w:p>
      <w:pPr>
        <w:pStyle w:val="Heading1"/>
      </w:pPr>
      <w:r>
        <w:t xml:space="preserve">Guia de Oportunidades ao Longo da Vida 77 — Designer gráfico e artista de produção</w:t>
      </w:r>
    </w:p>
    <w:p>
      <w:pPr>
        <w:pStyle w:val="FirstParagraph"/>
      </w:pPr>
      <w:r>
        <w:rPr>
          <w:bCs/>
          <w:b/>
        </w:rPr>
        <w:t xml:space="preserve">Versão:</w:t>
      </w:r>
      <w:r>
        <w:t xml:space="preserve"> </w:t>
      </w:r>
      <w:r>
        <w:t xml:space="preserve">2.0 mestre de trabalho controlado</w:t>
      </w:r>
      <w:r>
        <w:br/>
      </w:r>
      <w:r>
        <w:rPr>
          <w:bCs/>
          <w:b/>
        </w:rPr>
        <w:t xml:space="preserve">Idioma:</w:t>
      </w:r>
      <w:r>
        <w:t xml:space="preserve"> </w:t>
      </w:r>
      <w:r>
        <w:t xml:space="preserve">Português do Brasil (</w:t>
      </w:r>
      <w:r>
        <w:rPr>
          <w:rStyle w:val="VerbatimChar"/>
        </w:rPr>
        <w:t xml:space="preserve">pt-BR</w:t>
      </w:r>
      <w:r>
        <w:t xml:space="preserve">)</w:t>
      </w:r>
      <w:r>
        <w:br/>
      </w:r>
      <w:r>
        <w:rPr>
          <w:bCs/>
          <w:b/>
        </w:rPr>
        <w:t xml:space="preserve">Referência dos EUA:</w:t>
      </w:r>
      <w:r>
        <w:t xml:space="preserve"> </w:t>
      </w:r>
      <w:r>
        <w:t xml:space="preserve">O*NET-SOC 27-1024.00 — Graphic Designers</w:t>
      </w:r>
      <w:r>
        <w:br/>
      </w:r>
      <w:r>
        <w:rPr>
          <w:bCs/>
          <w:b/>
        </w:rPr>
        <w:t xml:space="preserve">Comparação do Canadá:</w:t>
      </w:r>
      <w:r>
        <w:t xml:space="preserve"> </w:t>
      </w:r>
      <w:r>
        <w:t xml:space="preserve">NOC 52120 — Graphic designers and illustrators</w:t>
      </w:r>
      <w:r>
        <w:br/>
      </w:r>
      <w:r>
        <w:rPr>
          <w:bCs/>
          <w:b/>
        </w:rPr>
        <w:t xml:space="preserve">Comparação da Colômbia:</w:t>
      </w:r>
      <w:r>
        <w:t xml:space="preserve"> </w:t>
      </w:r>
      <w:r>
        <w:t xml:space="preserve">perfis OCUPACOL de design gráfico e apoio à produção alinhados à CIUO 2166 / mapeamentos CNO relacionados</w:t>
      </w:r>
      <w:r>
        <w:br/>
      </w:r>
      <w:r>
        <w:rPr>
          <w:bCs/>
          <w:b/>
        </w:rPr>
        <w:t xml:space="preserve">Data de revisão:</w:t>
      </w:r>
      <w:r>
        <w:t xml:space="preserve"> </w:t>
      </w:r>
      <w:r>
        <w:t xml:space="preserve">2026-08-21</w:t>
      </w:r>
    </w:p>
    <w:bookmarkStart w:id="20" w:name="o-que-é-esta-carreira"/>
    <w:p>
      <w:pPr>
        <w:pStyle w:val="Heading2"/>
      </w:pPr>
      <w:r>
        <w:t xml:space="preserve">O que é esta carreira</w:t>
      </w:r>
    </w:p>
    <w:p>
      <w:pPr>
        <w:pStyle w:val="FirstParagraph"/>
      </w:pPr>
      <w:r>
        <w:t xml:space="preserve">Designers gráficos e artistas de produção transformam objetivos de comunicação em materiais visuais que podem ser produzidos com precisão para impressão, meios digitais, embalagens, publicidade, apresentações, redes sociais, sinalização, publicações, sites, campanhas e outros canais.</w:t>
      </w:r>
    </w:p>
    <w:p>
      <w:pPr>
        <w:pStyle w:val="BodyText"/>
      </w:pPr>
      <w:r>
        <w:t xml:space="preserve">Os títulos se sobrepõem, mas não são idênticos. Um</w:t>
      </w:r>
      <w:r>
        <w:t xml:space="preserve"> </w:t>
      </w:r>
      <w:r>
        <w:rPr>
          <w:bCs/>
          <w:b/>
        </w:rPr>
        <w:t xml:space="preserve">designer gráfico</w:t>
      </w:r>
      <w:r>
        <w:t xml:space="preserve"> </w:t>
      </w:r>
      <w:r>
        <w:t xml:space="preserve">pode dedicar mais tempo ao desenvolvimento de conceitos, layout, tipografia, sistemas visuais, expressão de marca e comunicação com clientes. Um</w:t>
      </w:r>
      <w:r>
        <w:t xml:space="preserve"> </w:t>
      </w:r>
      <w:r>
        <w:rPr>
          <w:bCs/>
          <w:b/>
        </w:rPr>
        <w:t xml:space="preserve">artista de produção</w:t>
      </w:r>
      <w:r>
        <w:t xml:space="preserve"> </w:t>
      </w:r>
      <w:r>
        <w:t xml:space="preserve">costuma concentrar-se mais em preparar conceitos aprovados para produção confiável: redimensionar, adaptar, conferir especificações, corrigir arquivos, criar variações, aplicar modelos, empacotar ativos, gerar exportações prontas para impressão ou plataforma e controlar versões. Alguns empregadores combinam as duas responsabilidades.</w:t>
      </w:r>
    </w:p>
    <w:p>
      <w:pPr>
        <w:pStyle w:val="BodyText"/>
      </w:pPr>
      <w:r>
        <w:t xml:space="preserve">Títulos relacionados podem incluir designer gráfico júnior, designer visual, designer de marketing, artista de pré-impressão, designer de produção, artista de produção digital, diagramador, arte-finalista, designer multimídia, assistente de design e especialista em produção gráfica. Leia sempre a descrição real da vaga, pois autoridade, software, mídia e requisitos de produção variam.</w:t>
      </w:r>
    </w:p>
    <w:bookmarkEnd w:id="20"/>
    <w:bookmarkStart w:id="21" w:name="X2c05fbae5babdb3d1dd0f664c780b0c474b0096"/>
    <w:p>
      <w:pPr>
        <w:pStyle w:val="Heading2"/>
      </w:pPr>
      <w:r>
        <w:t xml:space="preserve">Por que esta função pode ser uma oportunidade</w:t>
      </w:r>
    </w:p>
    <w:p>
      <w:pPr>
        <w:pStyle w:val="FirstParagraph"/>
      </w:pPr>
      <w:r>
        <w:t xml:space="preserve">O trabalho combina criatividade com execução prática. Empregadores valorizam pessoas capazes de tornar a informação compreensível, seguir especificações, receber feedback, proteger arquivos e informações do cliente e entregar ativos finais corretos dentro do prazo.</w:t>
      </w:r>
    </w:p>
    <w:p>
      <w:pPr>
        <w:pStyle w:val="BodyText"/>
      </w:pPr>
      <w:r>
        <w:t xml:space="preserve">Experiências transferíveis podem vir de marketing, impressão, fotografia, sinalização de varejo, comunicações de escritório, apoio em redes sociais, editoração, conteúdo web, atendimento ao cliente, educação, hotelaria, organizações comunitárias ou trabalho administrativo.</w:t>
      </w:r>
    </w:p>
    <w:p>
      <w:pPr>
        <w:pStyle w:val="BodyText"/>
      </w:pPr>
      <w:r>
        <w:t xml:space="preserve">Uma entrada realista não exige comprar primeiro todos os pacotes de software nem cursos caros. É possível começar com fundamentos de design, ferramentas gratuitas ou de baixo custo, briefs de prática controlados, projetos supervisionados e um portfólio que demonstre processo e qualidade de produção.</w:t>
      </w:r>
    </w:p>
    <w:bookmarkEnd w:id="21"/>
    <w:bookmarkStart w:id="22" w:name="responsabilidades-principais"/>
    <w:p>
      <w:pPr>
        <w:pStyle w:val="Heading2"/>
      </w:pPr>
      <w:r>
        <w:t xml:space="preserve">Responsabilidades principais</w:t>
      </w:r>
    </w:p>
    <w:p>
      <w:pPr>
        <w:pStyle w:val="FirstParagraph"/>
      </w:pPr>
      <w:r>
        <w:t xml:space="preserve">Dependendo do empregador, um designer gráfico ou artista de produção pode:</w:t>
      </w:r>
    </w:p>
    <w:p>
      <w:pPr>
        <w:numPr>
          <w:ilvl w:val="0"/>
          <w:numId w:val="1001"/>
        </w:numPr>
        <w:pStyle w:val="Compact"/>
      </w:pPr>
      <w:r>
        <w:t xml:space="preserve">interpretar um brief, guia de marca, requisito de campanha ou especificação de produção;</w:t>
      </w:r>
    </w:p>
    <w:p>
      <w:pPr>
        <w:numPr>
          <w:ilvl w:val="0"/>
          <w:numId w:val="1001"/>
        </w:numPr>
        <w:pStyle w:val="Compact"/>
      </w:pPr>
      <w:r>
        <w:t xml:space="preserve">criar ou adaptar layouts para formatos impressos e digitais;</w:t>
      </w:r>
    </w:p>
    <w:p>
      <w:pPr>
        <w:numPr>
          <w:ilvl w:val="0"/>
          <w:numId w:val="1001"/>
        </w:numPr>
        <w:pStyle w:val="Compact"/>
      </w:pPr>
      <w:r>
        <w:t xml:space="preserve">selecionar ou aplicar tipografia, cores, imagens, ícones e hierarquia visual aprovados;</w:t>
      </w:r>
    </w:p>
    <w:p>
      <w:pPr>
        <w:numPr>
          <w:ilvl w:val="0"/>
          <w:numId w:val="1001"/>
        </w:numPr>
        <w:pStyle w:val="Compact"/>
      </w:pPr>
      <w:r>
        <w:t xml:space="preserve">redimensionar e reformatar designs aprovados para vários canais;</w:t>
      </w:r>
    </w:p>
    <w:p>
      <w:pPr>
        <w:numPr>
          <w:ilvl w:val="0"/>
          <w:numId w:val="1001"/>
        </w:numPr>
        <w:pStyle w:val="Compact"/>
      </w:pPr>
      <w:r>
        <w:t xml:space="preserve">preparar ativos vetoriais e raster nas dimensões e resolução adequadas;</w:t>
      </w:r>
    </w:p>
    <w:p>
      <w:pPr>
        <w:numPr>
          <w:ilvl w:val="0"/>
          <w:numId w:val="1001"/>
        </w:numPr>
        <w:pStyle w:val="Compact"/>
      </w:pPr>
      <w:r>
        <w:t xml:space="preserve">recortar, retocar, mascarar, otimizar ou corrigir cores dentro do escopo atribuído;</w:t>
      </w:r>
    </w:p>
    <w:p>
      <w:pPr>
        <w:numPr>
          <w:ilvl w:val="0"/>
          <w:numId w:val="1001"/>
        </w:numPr>
        <w:pStyle w:val="Compact"/>
      </w:pPr>
      <w:r>
        <w:t xml:space="preserve">criar arquivos prontos para impressão com sangria, margens, configurações de cor e requisitos de empacotamento apropriados;</w:t>
      </w:r>
    </w:p>
    <w:p>
      <w:pPr>
        <w:numPr>
          <w:ilvl w:val="0"/>
          <w:numId w:val="1001"/>
        </w:numPr>
        <w:pStyle w:val="Compact"/>
      </w:pPr>
      <w:r>
        <w:t xml:space="preserve">criar exportações digitais que atendam às dimensões, tamanho de arquivo e formato da plataforma;</w:t>
      </w:r>
    </w:p>
    <w:p>
      <w:pPr>
        <w:numPr>
          <w:ilvl w:val="0"/>
          <w:numId w:val="1001"/>
        </w:numPr>
        <w:pStyle w:val="Compact"/>
      </w:pPr>
      <w:r>
        <w:t xml:space="preserve">revisar ortografia, alinhamento, espaçamento, consistência, qualidade de imagem e artefatos visíveis;</w:t>
      </w:r>
    </w:p>
    <w:p>
      <w:pPr>
        <w:numPr>
          <w:ilvl w:val="0"/>
          <w:numId w:val="1001"/>
        </w:numPr>
        <w:pStyle w:val="Compact"/>
      </w:pPr>
      <w:r>
        <w:t xml:space="preserve">manter modelos, bibliotecas, convenções de nomes e histórico de versões;</w:t>
      </w:r>
    </w:p>
    <w:p>
      <w:pPr>
        <w:numPr>
          <w:ilvl w:val="0"/>
          <w:numId w:val="1001"/>
        </w:numPr>
        <w:pStyle w:val="Compact"/>
      </w:pPr>
      <w:r>
        <w:t xml:space="preserve">administrar rodadas de feedback e documentar aprovações;</w:t>
      </w:r>
    </w:p>
    <w:p>
      <w:pPr>
        <w:numPr>
          <w:ilvl w:val="0"/>
          <w:numId w:val="1001"/>
        </w:numPr>
        <w:pStyle w:val="Compact"/>
      </w:pPr>
      <w:r>
        <w:t xml:space="preserve">verificar se ativos vinculados, fontes, imagens e licenças estão disponíveis para uso autorizado;</w:t>
      </w:r>
    </w:p>
    <w:p>
      <w:pPr>
        <w:numPr>
          <w:ilvl w:val="0"/>
          <w:numId w:val="1001"/>
        </w:numPr>
        <w:pStyle w:val="Compact"/>
      </w:pPr>
      <w:r>
        <w:t xml:space="preserve">preparar provas e compará-las com o material-fonte aprovado;</w:t>
      </w:r>
    </w:p>
    <w:p>
      <w:pPr>
        <w:numPr>
          <w:ilvl w:val="0"/>
          <w:numId w:val="1001"/>
        </w:numPr>
        <w:pStyle w:val="Compact"/>
      </w:pPr>
      <w:r>
        <w:t xml:space="preserve">apoiar design acessível e uma entrega consciente de acessibilidade;</w:t>
      </w:r>
    </w:p>
    <w:p>
      <w:pPr>
        <w:numPr>
          <w:ilvl w:val="0"/>
          <w:numId w:val="1001"/>
        </w:numPr>
        <w:pStyle w:val="Compact"/>
      </w:pPr>
      <w:r>
        <w:t xml:space="preserve">coordenar com marketing, comunicações, gráficas, equipes web, fornecedores, clientes ou gerentes de projeto;</w:t>
      </w:r>
    </w:p>
    <w:p>
      <w:pPr>
        <w:numPr>
          <w:ilvl w:val="0"/>
          <w:numId w:val="1001"/>
        </w:numPr>
        <w:pStyle w:val="Compact"/>
      </w:pPr>
      <w:r>
        <w:t xml:space="preserve">arquivar arquivos-fonte aprovados e finais conforme a política da organização.</w:t>
      </w:r>
    </w:p>
    <w:bookmarkEnd w:id="22"/>
    <w:bookmarkStart w:id="26" w:name="X1390b154b6b89026fcc3fc5ab54352eeebea64c"/>
    <w:p>
      <w:pPr>
        <w:pStyle w:val="Heading2"/>
      </w:pPr>
      <w:r>
        <w:t xml:space="preserve">Design gráfico, arte de produção e pré-impressão têm escopos diferentes</w:t>
      </w:r>
    </w:p>
    <w:bookmarkStart w:id="23" w:name="design-gráfico"/>
    <w:p>
      <w:pPr>
        <w:pStyle w:val="Heading3"/>
      </w:pPr>
      <w:r>
        <w:t xml:space="preserve">Design gráfico</w:t>
      </w:r>
    </w:p>
    <w:p>
      <w:pPr>
        <w:pStyle w:val="FirstParagraph"/>
      </w:pPr>
      <w:r>
        <w:t xml:space="preserve">Ênfase comum:</w:t>
      </w:r>
    </w:p>
    <w:p>
      <w:pPr>
        <w:numPr>
          <w:ilvl w:val="0"/>
          <w:numId w:val="1002"/>
        </w:numPr>
        <w:pStyle w:val="Compact"/>
      </w:pPr>
      <w:r>
        <w:t xml:space="preserve">desenvolvimento de conceitos;</w:t>
      </w:r>
    </w:p>
    <w:p>
      <w:pPr>
        <w:numPr>
          <w:ilvl w:val="0"/>
          <w:numId w:val="1002"/>
        </w:numPr>
        <w:pStyle w:val="Compact"/>
      </w:pPr>
      <w:r>
        <w:t xml:space="preserve">composição e layout;</w:t>
      </w:r>
    </w:p>
    <w:p>
      <w:pPr>
        <w:numPr>
          <w:ilvl w:val="0"/>
          <w:numId w:val="1002"/>
        </w:numPr>
        <w:pStyle w:val="Compact"/>
      </w:pPr>
      <w:r>
        <w:t xml:space="preserve">tipografia;</w:t>
      </w:r>
    </w:p>
    <w:p>
      <w:pPr>
        <w:numPr>
          <w:ilvl w:val="0"/>
          <w:numId w:val="1002"/>
        </w:numPr>
        <w:pStyle w:val="Compact"/>
      </w:pPr>
      <w:r>
        <w:t xml:space="preserve">expressão de marca;</w:t>
      </w:r>
    </w:p>
    <w:p>
      <w:pPr>
        <w:numPr>
          <w:ilvl w:val="0"/>
          <w:numId w:val="1002"/>
        </w:numPr>
        <w:pStyle w:val="Compact"/>
      </w:pPr>
      <w:r>
        <w:t xml:space="preserve">narrativa visual;</w:t>
      </w:r>
    </w:p>
    <w:p>
      <w:pPr>
        <w:numPr>
          <w:ilvl w:val="0"/>
          <w:numId w:val="1002"/>
        </w:numPr>
        <w:pStyle w:val="Compact"/>
      </w:pPr>
      <w:r>
        <w:t xml:space="preserve">sistemas de design;</w:t>
      </w:r>
    </w:p>
    <w:p>
      <w:pPr>
        <w:numPr>
          <w:ilvl w:val="0"/>
          <w:numId w:val="1002"/>
        </w:numPr>
        <w:pStyle w:val="Compact"/>
      </w:pPr>
      <w:r>
        <w:t xml:space="preserve">apresentações a clientes ou stakeholders;</w:t>
      </w:r>
    </w:p>
    <w:p>
      <w:pPr>
        <w:numPr>
          <w:ilvl w:val="0"/>
          <w:numId w:val="1002"/>
        </w:numPr>
        <w:pStyle w:val="Compact"/>
      </w:pPr>
      <w:r>
        <w:t xml:space="preserve">desenvolvimento criativo iterativo.</w:t>
      </w:r>
    </w:p>
    <w:bookmarkEnd w:id="23"/>
    <w:bookmarkStart w:id="24" w:name="arte-de-produção"/>
    <w:p>
      <w:pPr>
        <w:pStyle w:val="Heading3"/>
      </w:pPr>
      <w:r>
        <w:t xml:space="preserve">Arte de produção</w:t>
      </w:r>
    </w:p>
    <w:p>
      <w:pPr>
        <w:pStyle w:val="FirstParagraph"/>
      </w:pPr>
      <w:r>
        <w:t xml:space="preserve">Ênfase comum:</w:t>
      </w:r>
    </w:p>
    <w:p>
      <w:pPr>
        <w:numPr>
          <w:ilvl w:val="0"/>
          <w:numId w:val="1003"/>
        </w:numPr>
        <w:pStyle w:val="Compact"/>
      </w:pPr>
      <w:r>
        <w:t xml:space="preserve">adaptação de conceitos aprovados;</w:t>
      </w:r>
    </w:p>
    <w:p>
      <w:pPr>
        <w:numPr>
          <w:ilvl w:val="0"/>
          <w:numId w:val="1003"/>
        </w:numPr>
        <w:pStyle w:val="Compact"/>
      </w:pPr>
      <w:r>
        <w:t xml:space="preserve">criação de vários tamanhos ou versões em outros idiomas;</w:t>
      </w:r>
    </w:p>
    <w:p>
      <w:pPr>
        <w:numPr>
          <w:ilvl w:val="0"/>
          <w:numId w:val="1003"/>
        </w:numPr>
        <w:pStyle w:val="Compact"/>
      </w:pPr>
      <w:r>
        <w:t xml:space="preserve">produção baseada em modelos;</w:t>
      </w:r>
    </w:p>
    <w:p>
      <w:pPr>
        <w:numPr>
          <w:ilvl w:val="0"/>
          <w:numId w:val="1003"/>
        </w:numPr>
        <w:pStyle w:val="Compact"/>
      </w:pPr>
      <w:r>
        <w:t xml:space="preserve">conformidade exata com especificações;</w:t>
      </w:r>
    </w:p>
    <w:p>
      <w:pPr>
        <w:numPr>
          <w:ilvl w:val="0"/>
          <w:numId w:val="1003"/>
        </w:numPr>
        <w:pStyle w:val="Compact"/>
      </w:pPr>
      <w:r>
        <w:t xml:space="preserve">limpeza de arquivos;</w:t>
      </w:r>
    </w:p>
    <w:p>
      <w:pPr>
        <w:numPr>
          <w:ilvl w:val="0"/>
          <w:numId w:val="1003"/>
        </w:numPr>
        <w:pStyle w:val="Compact"/>
      </w:pPr>
      <w:r>
        <w:t xml:space="preserve">empacotamento de ativos;</w:t>
      </w:r>
    </w:p>
    <w:p>
      <w:pPr>
        <w:numPr>
          <w:ilvl w:val="0"/>
          <w:numId w:val="1003"/>
        </w:numPr>
        <w:pStyle w:val="Compact"/>
      </w:pPr>
      <w:r>
        <w:t xml:space="preserve">controle de versões;</w:t>
      </w:r>
    </w:p>
    <w:p>
      <w:pPr>
        <w:numPr>
          <w:ilvl w:val="0"/>
          <w:numId w:val="1003"/>
        </w:numPr>
        <w:pStyle w:val="Compact"/>
      </w:pPr>
      <w:r>
        <w:t xml:space="preserve">prova e verificação da saída final.</w:t>
      </w:r>
    </w:p>
    <w:bookmarkEnd w:id="24"/>
    <w:bookmarkStart w:id="25" w:name="X492afa04400ae10c301950a170952e4994ba4f9"/>
    <w:p>
      <w:pPr>
        <w:pStyle w:val="Heading3"/>
      </w:pPr>
      <w:r>
        <w:t xml:space="preserve">Pré-impressão ou apoio à produção impressa</w:t>
      </w:r>
    </w:p>
    <w:p>
      <w:pPr>
        <w:pStyle w:val="FirstParagraph"/>
      </w:pPr>
      <w:r>
        <w:t xml:space="preserve">Ênfase comum:</w:t>
      </w:r>
    </w:p>
    <w:p>
      <w:pPr>
        <w:numPr>
          <w:ilvl w:val="0"/>
          <w:numId w:val="1004"/>
        </w:numPr>
        <w:pStyle w:val="Compact"/>
      </w:pPr>
      <w:r>
        <w:t xml:space="preserve">especificações de impressão;</w:t>
      </w:r>
    </w:p>
    <w:p>
      <w:pPr>
        <w:numPr>
          <w:ilvl w:val="0"/>
          <w:numId w:val="1004"/>
        </w:numPr>
        <w:pStyle w:val="Compact"/>
      </w:pPr>
      <w:r>
        <w:t xml:space="preserve">sangria, corte, recorte e áreas seguras;</w:t>
      </w:r>
    </w:p>
    <w:p>
      <w:pPr>
        <w:numPr>
          <w:ilvl w:val="0"/>
          <w:numId w:val="1004"/>
        </w:numPr>
        <w:pStyle w:val="Compact"/>
      </w:pPr>
      <w:r>
        <w:t xml:space="preserve">requisitos de espaço de cor e separação;</w:t>
      </w:r>
    </w:p>
    <w:p>
      <w:pPr>
        <w:numPr>
          <w:ilvl w:val="0"/>
          <w:numId w:val="1004"/>
        </w:numPr>
        <w:pStyle w:val="Compact"/>
      </w:pPr>
      <w:r>
        <w:t xml:space="preserve">resolução de imagem;</w:t>
      </w:r>
    </w:p>
    <w:p>
      <w:pPr>
        <w:numPr>
          <w:ilvl w:val="0"/>
          <w:numId w:val="1004"/>
        </w:numPr>
        <w:pStyle w:val="Compact"/>
      </w:pPr>
      <w:r>
        <w:t xml:space="preserve">fontes e ativos vinculados;</w:t>
      </w:r>
    </w:p>
    <w:p>
      <w:pPr>
        <w:numPr>
          <w:ilvl w:val="0"/>
          <w:numId w:val="1004"/>
        </w:numPr>
        <w:pStyle w:val="Compact"/>
      </w:pPr>
      <w:r>
        <w:t xml:space="preserve">trapping ou requisitos específicos da gráfica quando aplicável;</w:t>
      </w:r>
    </w:p>
    <w:p>
      <w:pPr>
        <w:numPr>
          <w:ilvl w:val="0"/>
          <w:numId w:val="1004"/>
        </w:numPr>
        <w:pStyle w:val="Compact"/>
      </w:pPr>
      <w:r>
        <w:t xml:space="preserve">revisão de provas e entrega ao fornecedor.</w:t>
      </w:r>
    </w:p>
    <w:p>
      <w:pPr>
        <w:pStyle w:val="FirstParagraph"/>
      </w:pPr>
      <w:r>
        <w:t xml:space="preserve">Essas distinções são práticas, não universais. Empregadores podem combiná-las ou usar outros nomes.</w:t>
      </w:r>
    </w:p>
    <w:bookmarkEnd w:id="25"/>
    <w:bookmarkEnd w:id="26"/>
    <w:bookmarkStart w:id="30" w:name="Xec39930e61c04b9d0dfa2da01ff9d27d1f62e1a"/>
    <w:p>
      <w:pPr>
        <w:pStyle w:val="Heading2"/>
      </w:pPr>
      <w:r>
        <w:t xml:space="preserve">Habilidades valorizadas pelos empregadores</w:t>
      </w:r>
    </w:p>
    <w:bookmarkStart w:id="27" w:name="fundamentos-de-design"/>
    <w:p>
      <w:pPr>
        <w:pStyle w:val="Heading3"/>
      </w:pPr>
      <w:r>
        <w:t xml:space="preserve">Fundamentos de design</w:t>
      </w:r>
    </w:p>
    <w:p>
      <w:pPr>
        <w:numPr>
          <w:ilvl w:val="0"/>
          <w:numId w:val="1005"/>
        </w:numPr>
        <w:pStyle w:val="Compact"/>
      </w:pPr>
      <w:r>
        <w:t xml:space="preserve">hierarquia visual;</w:t>
      </w:r>
    </w:p>
    <w:p>
      <w:pPr>
        <w:numPr>
          <w:ilvl w:val="0"/>
          <w:numId w:val="1005"/>
        </w:numPr>
        <w:pStyle w:val="Compact"/>
      </w:pPr>
      <w:r>
        <w:t xml:space="preserve">alinhamento e espaçamento;</w:t>
      </w:r>
    </w:p>
    <w:p>
      <w:pPr>
        <w:numPr>
          <w:ilvl w:val="0"/>
          <w:numId w:val="1005"/>
        </w:numPr>
        <w:pStyle w:val="Compact"/>
      </w:pPr>
      <w:r>
        <w:t xml:space="preserve">composição;</w:t>
      </w:r>
    </w:p>
    <w:p>
      <w:pPr>
        <w:numPr>
          <w:ilvl w:val="0"/>
          <w:numId w:val="1005"/>
        </w:numPr>
        <w:pStyle w:val="Compact"/>
      </w:pPr>
      <w:r>
        <w:t xml:space="preserve">tipografia;</w:t>
      </w:r>
    </w:p>
    <w:p>
      <w:pPr>
        <w:numPr>
          <w:ilvl w:val="0"/>
          <w:numId w:val="1005"/>
        </w:numPr>
        <w:pStyle w:val="Compact"/>
      </w:pPr>
      <w:r>
        <w:t xml:space="preserve">teoria das cores;</w:t>
      </w:r>
    </w:p>
    <w:p>
      <w:pPr>
        <w:numPr>
          <w:ilvl w:val="0"/>
          <w:numId w:val="1005"/>
        </w:numPr>
        <w:pStyle w:val="Compact"/>
      </w:pPr>
      <w:r>
        <w:t xml:space="preserve">grades e sistemas de layout;</w:t>
      </w:r>
    </w:p>
    <w:p>
      <w:pPr>
        <w:numPr>
          <w:ilvl w:val="0"/>
          <w:numId w:val="1005"/>
        </w:numPr>
        <w:pStyle w:val="Compact"/>
      </w:pPr>
      <w:r>
        <w:t xml:space="preserve">seleção e recorte de imagens;</w:t>
      </w:r>
    </w:p>
    <w:p>
      <w:pPr>
        <w:numPr>
          <w:ilvl w:val="0"/>
          <w:numId w:val="1005"/>
        </w:numPr>
        <w:pStyle w:val="Compact"/>
      </w:pPr>
      <w:r>
        <w:t xml:space="preserve">consistência de marca;</w:t>
      </w:r>
    </w:p>
    <w:p>
      <w:pPr>
        <w:numPr>
          <w:ilvl w:val="0"/>
          <w:numId w:val="1005"/>
        </w:numPr>
        <w:pStyle w:val="Compact"/>
      </w:pPr>
      <w:r>
        <w:t xml:space="preserve">clareza da informação;</w:t>
      </w:r>
    </w:p>
    <w:p>
      <w:pPr>
        <w:numPr>
          <w:ilvl w:val="0"/>
          <w:numId w:val="1005"/>
        </w:numPr>
        <w:pStyle w:val="Compact"/>
      </w:pPr>
      <w:r>
        <w:t xml:space="preserve">noções básicas de acessibilidade.</w:t>
      </w:r>
    </w:p>
    <w:bookmarkEnd w:id="27"/>
    <w:bookmarkStart w:id="28" w:name="fundamentos-de-produção"/>
    <w:p>
      <w:pPr>
        <w:pStyle w:val="Heading3"/>
      </w:pPr>
      <w:r>
        <w:t xml:space="preserve">Fundamentos de produção</w:t>
      </w:r>
    </w:p>
    <w:p>
      <w:pPr>
        <w:numPr>
          <w:ilvl w:val="0"/>
          <w:numId w:val="1006"/>
        </w:numPr>
        <w:pStyle w:val="Compact"/>
      </w:pPr>
      <w:r>
        <w:t xml:space="preserve">conceitos de vetor versus raster;</w:t>
      </w:r>
    </w:p>
    <w:p>
      <w:pPr>
        <w:numPr>
          <w:ilvl w:val="0"/>
          <w:numId w:val="1006"/>
        </w:numPr>
        <w:pStyle w:val="Compact"/>
      </w:pPr>
      <w:r>
        <w:t xml:space="preserve">formatos comuns como PDF, SVG, PNG, JPEG, TIFF e arquivos nativos de trabalho;</w:t>
      </w:r>
    </w:p>
    <w:p>
      <w:pPr>
        <w:numPr>
          <w:ilvl w:val="0"/>
          <w:numId w:val="1006"/>
        </w:numPr>
        <w:pStyle w:val="Compact"/>
      </w:pPr>
      <w:r>
        <w:t xml:space="preserve">resolução e tamanho de saída;</w:t>
      </w:r>
    </w:p>
    <w:p>
      <w:pPr>
        <w:numPr>
          <w:ilvl w:val="0"/>
          <w:numId w:val="1006"/>
        </w:numPr>
        <w:pStyle w:val="Compact"/>
      </w:pPr>
      <w:r>
        <w:t xml:space="preserve">diferenças de cor entre impressão e tela;</w:t>
      </w:r>
    </w:p>
    <w:p>
      <w:pPr>
        <w:numPr>
          <w:ilvl w:val="0"/>
          <w:numId w:val="1006"/>
        </w:numPr>
        <w:pStyle w:val="Compact"/>
      </w:pPr>
      <w:r>
        <w:t xml:space="preserve">sangria, corte, margens e áreas seguras;</w:t>
      </w:r>
    </w:p>
    <w:p>
      <w:pPr>
        <w:numPr>
          <w:ilvl w:val="0"/>
          <w:numId w:val="1006"/>
        </w:numPr>
        <w:pStyle w:val="Compact"/>
      </w:pPr>
      <w:r>
        <w:t xml:space="preserve">compressão e otimização;</w:t>
      </w:r>
    </w:p>
    <w:p>
      <w:pPr>
        <w:numPr>
          <w:ilvl w:val="0"/>
          <w:numId w:val="1006"/>
        </w:numPr>
        <w:pStyle w:val="Compact"/>
      </w:pPr>
      <w:r>
        <w:t xml:space="preserve">ativos vinculados e fontes;</w:t>
      </w:r>
    </w:p>
    <w:p>
      <w:pPr>
        <w:numPr>
          <w:ilvl w:val="0"/>
          <w:numId w:val="1006"/>
        </w:numPr>
        <w:pStyle w:val="Compact"/>
      </w:pPr>
      <w:r>
        <w:t xml:space="preserve">convenções de nomes;</w:t>
      </w:r>
    </w:p>
    <w:p>
      <w:pPr>
        <w:numPr>
          <w:ilvl w:val="0"/>
          <w:numId w:val="1006"/>
        </w:numPr>
        <w:pStyle w:val="Compact"/>
      </w:pPr>
      <w:r>
        <w:t xml:space="preserve">controle de versões;</w:t>
      </w:r>
    </w:p>
    <w:p>
      <w:pPr>
        <w:numPr>
          <w:ilvl w:val="0"/>
          <w:numId w:val="1006"/>
        </w:numPr>
        <w:pStyle w:val="Compact"/>
      </w:pPr>
      <w:r>
        <w:t xml:space="preserve">registros de provas e aprovações.</w:t>
      </w:r>
    </w:p>
    <w:bookmarkEnd w:id="28"/>
    <w:bookmarkStart w:id="29" w:name="habilidades-profissionais"/>
    <w:p>
      <w:pPr>
        <w:pStyle w:val="Heading3"/>
      </w:pPr>
      <w:r>
        <w:t xml:space="preserve">Habilidades profissionais</w:t>
      </w:r>
    </w:p>
    <w:p>
      <w:pPr>
        <w:numPr>
          <w:ilvl w:val="0"/>
          <w:numId w:val="1007"/>
        </w:numPr>
        <w:pStyle w:val="Compact"/>
      </w:pPr>
      <w:r>
        <w:t xml:space="preserve">ouvir o brief;</w:t>
      </w:r>
    </w:p>
    <w:p>
      <w:pPr>
        <w:numPr>
          <w:ilvl w:val="0"/>
          <w:numId w:val="1007"/>
        </w:numPr>
        <w:pStyle w:val="Compact"/>
      </w:pPr>
      <w:r>
        <w:t xml:space="preserve">fazer perguntas precisas;</w:t>
      </w:r>
    </w:p>
    <w:p>
      <w:pPr>
        <w:numPr>
          <w:ilvl w:val="0"/>
          <w:numId w:val="1007"/>
        </w:numPr>
        <w:pStyle w:val="Compact"/>
      </w:pPr>
      <w:r>
        <w:t xml:space="preserve">lidar com feedback sem perder requisitos;</w:t>
      </w:r>
    </w:p>
    <w:p>
      <w:pPr>
        <w:numPr>
          <w:ilvl w:val="0"/>
          <w:numId w:val="1007"/>
        </w:numPr>
        <w:pStyle w:val="Compact"/>
      </w:pPr>
      <w:r>
        <w:t xml:space="preserve">gerenciar prazos;</w:t>
      </w:r>
    </w:p>
    <w:p>
      <w:pPr>
        <w:numPr>
          <w:ilvl w:val="0"/>
          <w:numId w:val="1007"/>
        </w:numPr>
        <w:pStyle w:val="Compact"/>
      </w:pPr>
      <w:r>
        <w:t xml:space="preserve">estimar esforço;</w:t>
      </w:r>
    </w:p>
    <w:p>
      <w:pPr>
        <w:numPr>
          <w:ilvl w:val="0"/>
          <w:numId w:val="1007"/>
        </w:numPr>
        <w:pStyle w:val="Compact"/>
      </w:pPr>
      <w:r>
        <w:t xml:space="preserve">documentar mudanças;</w:t>
      </w:r>
    </w:p>
    <w:p>
      <w:pPr>
        <w:numPr>
          <w:ilvl w:val="0"/>
          <w:numId w:val="1007"/>
        </w:numPr>
        <w:pStyle w:val="Compact"/>
      </w:pPr>
      <w:r>
        <w:t xml:space="preserve">colaborar com pessoas que não são designers;</w:t>
      </w:r>
    </w:p>
    <w:p>
      <w:pPr>
        <w:numPr>
          <w:ilvl w:val="0"/>
          <w:numId w:val="1007"/>
        </w:numPr>
        <w:pStyle w:val="Compact"/>
      </w:pPr>
      <w:r>
        <w:t xml:space="preserve">escalar dúvidas de direitos autorais, acessibilidade, questões jurídicas ou políticas de marca em vez de adivinhar.</w:t>
      </w:r>
    </w:p>
    <w:bookmarkEnd w:id="29"/>
    <w:bookmarkEnd w:id="30"/>
    <w:bookmarkStart w:id="31" w:name="tecnologia"/>
    <w:p>
      <w:pPr>
        <w:pStyle w:val="Heading2"/>
      </w:pPr>
      <w:r>
        <w:t xml:space="preserve">Tecnologia</w:t>
      </w:r>
    </w:p>
    <w:p>
      <w:pPr>
        <w:pStyle w:val="FirstParagraph"/>
      </w:pPr>
      <w:r>
        <w:t xml:space="preserve">Produtos específicos variam. Empregadores podem usar ferramentas comerciais ou de código aberto para:</w:t>
      </w:r>
    </w:p>
    <w:p>
      <w:pPr>
        <w:numPr>
          <w:ilvl w:val="0"/>
          <w:numId w:val="1008"/>
        </w:numPr>
        <w:pStyle w:val="Compact"/>
      </w:pPr>
      <w:r>
        <w:t xml:space="preserve">ilustração vetorial;</w:t>
      </w:r>
    </w:p>
    <w:p>
      <w:pPr>
        <w:numPr>
          <w:ilvl w:val="0"/>
          <w:numId w:val="1008"/>
        </w:numPr>
        <w:pStyle w:val="Compact"/>
      </w:pPr>
      <w:r>
        <w:t xml:space="preserve">edição de imagens;</w:t>
      </w:r>
    </w:p>
    <w:p>
      <w:pPr>
        <w:numPr>
          <w:ilvl w:val="0"/>
          <w:numId w:val="1008"/>
        </w:numPr>
        <w:pStyle w:val="Compact"/>
      </w:pPr>
      <w:r>
        <w:t xml:space="preserve">layout de páginas;</w:t>
      </w:r>
    </w:p>
    <w:p>
      <w:pPr>
        <w:numPr>
          <w:ilvl w:val="0"/>
          <w:numId w:val="1008"/>
        </w:numPr>
        <w:pStyle w:val="Compact"/>
      </w:pPr>
      <w:r>
        <w:t xml:space="preserve">apresentações;</w:t>
      </w:r>
    </w:p>
    <w:p>
      <w:pPr>
        <w:numPr>
          <w:ilvl w:val="0"/>
          <w:numId w:val="1008"/>
        </w:numPr>
        <w:pStyle w:val="Compact"/>
      </w:pPr>
      <w:r>
        <w:t xml:space="preserve">design web e de interface;</w:t>
      </w:r>
    </w:p>
    <w:p>
      <w:pPr>
        <w:numPr>
          <w:ilvl w:val="0"/>
          <w:numId w:val="1008"/>
        </w:numPr>
        <w:pStyle w:val="Compact"/>
      </w:pPr>
      <w:r>
        <w:t xml:space="preserve">gestão de ativos digitais;</w:t>
      </w:r>
    </w:p>
    <w:p>
      <w:pPr>
        <w:numPr>
          <w:ilvl w:val="0"/>
          <w:numId w:val="1008"/>
        </w:numPr>
        <w:pStyle w:val="Compact"/>
      </w:pPr>
      <w:r>
        <w:t xml:space="preserve">gestão de projetos;</w:t>
      </w:r>
    </w:p>
    <w:p>
      <w:pPr>
        <w:numPr>
          <w:ilvl w:val="0"/>
          <w:numId w:val="1008"/>
        </w:numPr>
        <w:pStyle w:val="Compact"/>
      </w:pPr>
      <w:r>
        <w:t xml:space="preserve">prova e anotação;</w:t>
      </w:r>
    </w:p>
    <w:p>
      <w:pPr>
        <w:numPr>
          <w:ilvl w:val="0"/>
          <w:numId w:val="1008"/>
        </w:numPr>
        <w:pStyle w:val="Compact"/>
      </w:pPr>
      <w:r>
        <w:t xml:space="preserve">compartilhamento de arquivos em nuvem;</w:t>
      </w:r>
    </w:p>
    <w:p>
      <w:pPr>
        <w:numPr>
          <w:ilvl w:val="0"/>
          <w:numId w:val="1008"/>
        </w:numPr>
        <w:pStyle w:val="Compact"/>
      </w:pPr>
      <w:r>
        <w:t xml:space="preserve">gerenciamento de fontes;</w:t>
      </w:r>
    </w:p>
    <w:p>
      <w:pPr>
        <w:numPr>
          <w:ilvl w:val="0"/>
          <w:numId w:val="1008"/>
        </w:numPr>
        <w:pStyle w:val="Compact"/>
      </w:pPr>
      <w:r>
        <w:t xml:space="preserve">quadros colaborativos;</w:t>
      </w:r>
    </w:p>
    <w:p>
      <w:pPr>
        <w:numPr>
          <w:ilvl w:val="0"/>
          <w:numId w:val="1008"/>
        </w:numPr>
        <w:pStyle w:val="Compact"/>
      </w:pPr>
      <w:r>
        <w:t xml:space="preserve">assistência aprovada de IA generativa.</w:t>
      </w:r>
    </w:p>
    <w:p>
      <w:pPr>
        <w:pStyle w:val="FirstParagraph"/>
      </w:pPr>
      <w:r>
        <w:t xml:space="preserve">Conceitos transferíveis importam mais do que memorizar um único produto. Aprenda como funcionam camadas, máscaras, pranchetas/páginas, tipografia, cor, ativos vinculados, configurações de exportação, empacotamento de arquivos, permissões e histórico de versões.</w:t>
      </w:r>
    </w:p>
    <w:bookmarkEnd w:id="31"/>
    <w:bookmarkStart w:id="32" w:name="design-com-atenção-à-acessibilidade"/>
    <w:p>
      <w:pPr>
        <w:pStyle w:val="Heading2"/>
      </w:pPr>
      <w:r>
        <w:t xml:space="preserve">Design com atenção à acessibilidade</w:t>
      </w:r>
    </w:p>
    <w:p>
      <w:pPr>
        <w:pStyle w:val="FirstParagraph"/>
      </w:pPr>
      <w:r>
        <w:t xml:space="preserve">A acessibilidade deve ser considerada durante o design, não apenas depois da produção.</w:t>
      </w:r>
    </w:p>
    <w:p>
      <w:pPr>
        <w:pStyle w:val="BodyText"/>
      </w:pPr>
      <w:r>
        <w:t xml:space="preserve">A WCAG 2.2 inclui requisitos de contraste relevantes para design digital. Em casos comuns, texto normal deve atingir pelo menos</w:t>
      </w:r>
      <w:r>
        <w:t xml:space="preserve"> </w:t>
      </w:r>
      <w:r>
        <w:rPr>
          <w:bCs/>
          <w:b/>
        </w:rPr>
        <w:t xml:space="preserve">4.5:1</w:t>
      </w:r>
      <w:r>
        <w:t xml:space="preserve"> </w:t>
      </w:r>
      <w:r>
        <w:t xml:space="preserve">de contraste e texto grande pelo menos</w:t>
      </w:r>
      <w:r>
        <w:t xml:space="preserve"> </w:t>
      </w:r>
      <w:r>
        <w:rPr>
          <w:bCs/>
          <w:b/>
        </w:rPr>
        <w:t xml:space="preserve">3:1</w:t>
      </w:r>
      <w:r>
        <w:t xml:space="preserve">, sujeito às exceções da WCAG. Objetos gráficos significativos e componentes de interface do usuário normalmente exigem</w:t>
      </w:r>
      <w:r>
        <w:t xml:space="preserve"> </w:t>
      </w:r>
      <w:r>
        <w:rPr>
          <w:bCs/>
          <w:b/>
        </w:rPr>
        <w:t xml:space="preserve">3:1</w:t>
      </w:r>
      <w:r>
        <w:t xml:space="preserve"> </w:t>
      </w:r>
      <w:r>
        <w:t xml:space="preserve">de contraste em relação às cores adjacentes sob o SC 1.4.11, sujeito a exceções.</w:t>
      </w:r>
    </w:p>
    <w:p>
      <w:pPr>
        <w:pStyle w:val="BodyText"/>
      </w:pPr>
      <w:r>
        <w:t xml:space="preserve">Boas práticas incluem:</w:t>
      </w:r>
    </w:p>
    <w:p>
      <w:pPr>
        <w:numPr>
          <w:ilvl w:val="0"/>
          <w:numId w:val="1009"/>
        </w:numPr>
        <w:pStyle w:val="Compact"/>
      </w:pPr>
      <w:r>
        <w:t xml:space="preserve">não depender apenas da cor para comunicar significado;</w:t>
      </w:r>
    </w:p>
    <w:p>
      <w:pPr>
        <w:numPr>
          <w:ilvl w:val="0"/>
          <w:numId w:val="1009"/>
        </w:numPr>
        <w:pStyle w:val="Compact"/>
      </w:pPr>
      <w:r>
        <w:t xml:space="preserve">usar tamanhos de fonte e espaçamento legíveis para o meio;</w:t>
      </w:r>
    </w:p>
    <w:p>
      <w:pPr>
        <w:numPr>
          <w:ilvl w:val="0"/>
          <w:numId w:val="1009"/>
        </w:numPr>
        <w:pStyle w:val="Compact"/>
      </w:pPr>
      <w:r>
        <w:t xml:space="preserve">manter contraste suficiente entre texto e fundo;</w:t>
      </w:r>
    </w:p>
    <w:p>
      <w:pPr>
        <w:numPr>
          <w:ilvl w:val="0"/>
          <w:numId w:val="1009"/>
        </w:numPr>
        <w:pStyle w:val="Compact"/>
      </w:pPr>
      <w:r>
        <w:t xml:space="preserve">evitar colocar texto essencial dentro de imagens quando texto real puder comunicar a mesma informação;</w:t>
      </w:r>
    </w:p>
    <w:p>
      <w:pPr>
        <w:numPr>
          <w:ilvl w:val="0"/>
          <w:numId w:val="1009"/>
        </w:numPr>
        <w:pStyle w:val="Compact"/>
      </w:pPr>
      <w:r>
        <w:t xml:space="preserve">preservar ordem de leitura e estrutura de títulos ao entregar documentos ou conteúdo web;</w:t>
      </w:r>
    </w:p>
    <w:p>
      <w:pPr>
        <w:numPr>
          <w:ilvl w:val="0"/>
          <w:numId w:val="1009"/>
        </w:numPr>
        <w:pStyle w:val="Compact"/>
      </w:pPr>
      <w:r>
        <w:t xml:space="preserve">fornecer orientação significativa para texto alternativo ou descrições de ativos à equipe responsável pela implementação;</w:t>
      </w:r>
    </w:p>
    <w:p>
      <w:pPr>
        <w:numPr>
          <w:ilvl w:val="0"/>
          <w:numId w:val="1009"/>
        </w:numPr>
        <w:pStyle w:val="Compact"/>
      </w:pPr>
      <w:r>
        <w:t xml:space="preserve">criar gráficos, diagramas e instruções que continuem compreensíveis com percepção reduzida de cores;</w:t>
      </w:r>
    </w:p>
    <w:p>
      <w:pPr>
        <w:numPr>
          <w:ilvl w:val="0"/>
          <w:numId w:val="1009"/>
        </w:numPr>
        <w:pStyle w:val="Compact"/>
      </w:pPr>
      <w:r>
        <w:t xml:space="preserve">verificar zoom, reflow e uso em telas pequenas quando relevante;</w:t>
      </w:r>
    </w:p>
    <w:p>
      <w:pPr>
        <w:numPr>
          <w:ilvl w:val="0"/>
          <w:numId w:val="1009"/>
        </w:numPr>
        <w:pStyle w:val="Compact"/>
      </w:pPr>
      <w:r>
        <w:t xml:space="preserve">coordenar requisitos de acessibilidade com o desenvolvedor, especialista em documentos, responsável por acessibilidade ou cliente apropriado.</w:t>
      </w:r>
    </w:p>
    <w:p>
      <w:pPr>
        <w:pStyle w:val="FirstParagraph"/>
      </w:pPr>
      <w:r>
        <w:t xml:space="preserve">Um designer não deve afirmar que um produto está em conformidade com WCAG ou é legalmente acessível apenas com base em uma inspeção visual. A acessibilidade depende de implementação, conteúdo, interação, comportamento com tecnologias assistivas, jurisdição e testes.</w:t>
      </w:r>
    </w:p>
    <w:bookmarkEnd w:id="32"/>
    <w:bookmarkStart w:id="33" w:name="X68ccb2b8355d527ebce6bf4f76f9edb7b5fbed1"/>
    <w:p>
      <w:pPr>
        <w:pStyle w:val="Heading2"/>
      </w:pPr>
      <w:r>
        <w:t xml:space="preserve">Direitos autorais, licenças, marcas e autorizações</w:t>
      </w:r>
    </w:p>
    <w:p>
      <w:pPr>
        <w:pStyle w:val="FirstParagraph"/>
      </w:pPr>
      <w:r>
        <w:t xml:space="preserve">O trabalho de design frequentemente combina materiais de várias fontes. Antes de usar um ativo, determine se ele é:</w:t>
      </w:r>
    </w:p>
    <w:p>
      <w:pPr>
        <w:numPr>
          <w:ilvl w:val="0"/>
          <w:numId w:val="1010"/>
        </w:numPr>
        <w:pStyle w:val="Compact"/>
      </w:pPr>
      <w:r>
        <w:t xml:space="preserve">criado por você dentro do escopo autorizado de trabalho;</w:t>
      </w:r>
    </w:p>
    <w:p>
      <w:pPr>
        <w:numPr>
          <w:ilvl w:val="0"/>
          <w:numId w:val="1010"/>
        </w:numPr>
        <w:pStyle w:val="Compact"/>
      </w:pPr>
      <w:r>
        <w:t xml:space="preserve">fornecido pelo cliente ou empregador;</w:t>
      </w:r>
    </w:p>
    <w:p>
      <w:pPr>
        <w:numPr>
          <w:ilvl w:val="0"/>
          <w:numId w:val="1010"/>
        </w:numPr>
        <w:pStyle w:val="Compact"/>
      </w:pPr>
      <w:r>
        <w:t xml:space="preserve">material de banco com licença;</w:t>
      </w:r>
    </w:p>
    <w:p>
      <w:pPr>
        <w:numPr>
          <w:ilvl w:val="0"/>
          <w:numId w:val="1010"/>
        </w:numPr>
        <w:pStyle w:val="Compact"/>
      </w:pPr>
      <w:r>
        <w:t xml:space="preserve">material em domínio público;</w:t>
      </w:r>
    </w:p>
    <w:p>
      <w:pPr>
        <w:numPr>
          <w:ilvl w:val="0"/>
          <w:numId w:val="1010"/>
        </w:numPr>
        <w:pStyle w:val="Compact"/>
      </w:pPr>
      <w:r>
        <w:t xml:space="preserve">coberto por licença aberta apropriada;</w:t>
      </w:r>
    </w:p>
    <w:p>
      <w:pPr>
        <w:numPr>
          <w:ilvl w:val="0"/>
          <w:numId w:val="1010"/>
        </w:numPr>
        <w:pStyle w:val="Compact"/>
      </w:pPr>
      <w:r>
        <w:t xml:space="preserve">uma fonte cuja licença permite o uso pretendido;</w:t>
      </w:r>
    </w:p>
    <w:p>
      <w:pPr>
        <w:numPr>
          <w:ilvl w:val="0"/>
          <w:numId w:val="1010"/>
        </w:numPr>
        <w:pStyle w:val="Compact"/>
      </w:pPr>
      <w:r>
        <w:t xml:space="preserve">uma marca ou ativo de marca sujeito a regras;</w:t>
      </w:r>
    </w:p>
    <w:p>
      <w:pPr>
        <w:numPr>
          <w:ilvl w:val="0"/>
          <w:numId w:val="1010"/>
        </w:numPr>
        <w:pStyle w:val="Compact"/>
      </w:pPr>
      <w:r>
        <w:t xml:space="preserve">uma fotografia ou imagem de pessoa que possa exigir permissão ou autorização de modelo/propriedade dependendo do contexto.</w:t>
      </w:r>
    </w:p>
    <w:p>
      <w:pPr>
        <w:pStyle w:val="FirstParagraph"/>
      </w:pPr>
      <w:r>
        <w:t xml:space="preserve">Mantenha registros de origem e licença quando a organização exigir. Não presuma que encontrar uma imagem na internet significa que ela é livre para uso. Não remova marcas d'água, não fabrique licenças nem represente autoria falsamente.</w:t>
      </w:r>
    </w:p>
    <w:p>
      <w:pPr>
        <w:pStyle w:val="BodyText"/>
      </w:pPr>
      <w:r>
        <w:t xml:space="preserve">Questões de direitos autorais e marcas podem ter consequências jurídicas. Quando os direitos não estiverem claros, escale ao cliente, empregador, processo de gestão de direitos, equipe de compras ou profissional jurídico qualificado.</w:t>
      </w:r>
    </w:p>
    <w:bookmarkEnd w:id="33"/>
    <w:bookmarkStart w:id="34" w:name="X4636b740db9b2d675a4a7c1e8c739054fa32ae1"/>
    <w:p>
      <w:pPr>
        <w:pStyle w:val="Heading2"/>
      </w:pPr>
      <w:r>
        <w:t xml:space="preserve">Privacidade, confidencialidade e cibersegurança</w:t>
      </w:r>
    </w:p>
    <w:p>
      <w:pPr>
        <w:pStyle w:val="FirstParagraph"/>
      </w:pPr>
      <w:r>
        <w:t xml:space="preserve">Arquivos de design podem conter informações confidenciais de produtos, campanhas ainda não lançadas, dados de clientes, informações de empregados, detalhes de executivos, cronogramas de eventos, fotografias, credenciais ou modelos proprietários.</w:t>
      </w:r>
    </w:p>
    <w:p>
      <w:pPr>
        <w:pStyle w:val="BodyText"/>
      </w:pPr>
      <w:r>
        <w:t xml:space="preserve">Controles práticos incluem:</w:t>
      </w:r>
    </w:p>
    <w:p>
      <w:pPr>
        <w:numPr>
          <w:ilvl w:val="0"/>
          <w:numId w:val="1011"/>
        </w:numPr>
        <w:pStyle w:val="Compact"/>
      </w:pPr>
      <w:r>
        <w:t xml:space="preserve">usar sistemas de armazenamento e transferência aprovados pelo empregador/cliente;</w:t>
      </w:r>
    </w:p>
    <w:p>
      <w:pPr>
        <w:numPr>
          <w:ilvl w:val="0"/>
          <w:numId w:val="1011"/>
        </w:numPr>
        <w:pStyle w:val="Compact"/>
      </w:pPr>
      <w:r>
        <w:t xml:space="preserve">habilitar MFA quando disponível;</w:t>
      </w:r>
    </w:p>
    <w:p>
      <w:pPr>
        <w:numPr>
          <w:ilvl w:val="0"/>
          <w:numId w:val="1011"/>
        </w:numPr>
        <w:pStyle w:val="Compact"/>
      </w:pPr>
      <w:r>
        <w:t xml:space="preserve">usar senhas exclusivas ou um gerenciador de senhas aprovado;</w:t>
      </w:r>
    </w:p>
    <w:p>
      <w:pPr>
        <w:numPr>
          <w:ilvl w:val="0"/>
          <w:numId w:val="1011"/>
        </w:numPr>
        <w:pStyle w:val="Compact"/>
      </w:pPr>
      <w:r>
        <w:t xml:space="preserve">verificar solicitações inesperadas de credenciais, transferências, faturas ou novos destinos de compartilhamento de arquivos;</w:t>
      </w:r>
    </w:p>
    <w:p>
      <w:pPr>
        <w:numPr>
          <w:ilvl w:val="0"/>
          <w:numId w:val="1011"/>
        </w:numPr>
        <w:pStyle w:val="Compact"/>
      </w:pPr>
      <w:r>
        <w:t xml:space="preserve">restringir links compartilhados ao público pretendido;</w:t>
      </w:r>
    </w:p>
    <w:p>
      <w:pPr>
        <w:numPr>
          <w:ilvl w:val="0"/>
          <w:numId w:val="1011"/>
        </w:numPr>
        <w:pStyle w:val="Compact"/>
      </w:pPr>
      <w:r>
        <w:t xml:space="preserve">não publicar trabalho do cliente antes de autorização;</w:t>
      </w:r>
    </w:p>
    <w:p>
      <w:pPr>
        <w:numPr>
          <w:ilvl w:val="0"/>
          <w:numId w:val="1011"/>
        </w:numPr>
        <w:pStyle w:val="Compact"/>
      </w:pPr>
      <w:r>
        <w:t xml:space="preserve">remover acesso ao fim do projeto quando isso fizer parte de sua função;</w:t>
      </w:r>
    </w:p>
    <w:p>
      <w:pPr>
        <w:numPr>
          <w:ilvl w:val="0"/>
          <w:numId w:val="1011"/>
        </w:numPr>
        <w:pStyle w:val="Compact"/>
      </w:pPr>
      <w:r>
        <w:t xml:space="preserve">evitar e-mail pessoal ou serviços de compartilhamento de arquivos de consumo para trabalho protegido, salvo aprovação explícita;</w:t>
      </w:r>
    </w:p>
    <w:p>
      <w:pPr>
        <w:numPr>
          <w:ilvl w:val="0"/>
          <w:numId w:val="1011"/>
        </w:numPr>
        <w:pStyle w:val="Compact"/>
      </w:pPr>
      <w:r>
        <w:t xml:space="preserve">relatar rapidamente suspeitas de phishing, malware, comprometimento de conta ou exposição acidental;</w:t>
      </w:r>
    </w:p>
    <w:p>
      <w:pPr>
        <w:numPr>
          <w:ilvl w:val="0"/>
          <w:numId w:val="1011"/>
        </w:numPr>
        <w:pStyle w:val="Compact"/>
      </w:pPr>
      <w:r>
        <w:t xml:space="preserve">manter software e plugins aprovados atualizados segundo a política da organização.</w:t>
      </w:r>
    </w:p>
    <w:p>
      <w:pPr>
        <w:pStyle w:val="FirstParagraph"/>
      </w:pPr>
      <w:r>
        <w:t xml:space="preserve">A orientação Secure Our World da CISA reforça consciência sobre phishing, senhas fortes/gerenciadores de senha, MFA e atualizações de software.</w:t>
      </w:r>
    </w:p>
    <w:bookmarkEnd w:id="34"/>
    <w:bookmarkStart w:id="35" w:name="uso-responsável-de-ia-generativa"/>
    <w:p>
      <w:pPr>
        <w:pStyle w:val="Heading2"/>
      </w:pPr>
      <w:r>
        <w:t xml:space="preserve">Uso responsável de IA generativa</w:t>
      </w:r>
    </w:p>
    <w:p>
      <w:pPr>
        <w:pStyle w:val="FirstParagraph"/>
      </w:pPr>
      <w:r>
        <w:t xml:space="preserve">A IA pode ajudar em ideação, conceitos preliminares, alternativas de layout, primeira versão de texto ou ativos de prática não sensíveis quando a política permitir. Ela não elimina a responsabilidade profissional.</w:t>
      </w:r>
    </w:p>
    <w:p>
      <w:pPr>
        <w:pStyle w:val="BodyText"/>
      </w:pPr>
      <w:r>
        <w:t xml:space="preserve">Antes de usar resultados assistidos por IA, verifique:</w:t>
      </w:r>
    </w:p>
    <w:p>
      <w:pPr>
        <w:numPr>
          <w:ilvl w:val="0"/>
          <w:numId w:val="1012"/>
        </w:numPr>
        <w:pStyle w:val="Compact"/>
      </w:pPr>
      <w:r>
        <w:t xml:space="preserve">afirmações factuais;</w:t>
      </w:r>
    </w:p>
    <w:p>
      <w:pPr>
        <w:numPr>
          <w:ilvl w:val="0"/>
          <w:numId w:val="1012"/>
        </w:numPr>
        <w:pStyle w:val="Compact"/>
      </w:pPr>
      <w:r>
        <w:t xml:space="preserve">conformidade com a marca;</w:t>
      </w:r>
    </w:p>
    <w:p>
      <w:pPr>
        <w:numPr>
          <w:ilvl w:val="0"/>
          <w:numId w:val="1012"/>
        </w:numPr>
        <w:pStyle w:val="Compact"/>
      </w:pPr>
      <w:r>
        <w:t xml:space="preserve">aprovação do cliente;</w:t>
      </w:r>
    </w:p>
    <w:p>
      <w:pPr>
        <w:numPr>
          <w:ilvl w:val="0"/>
          <w:numId w:val="1012"/>
        </w:numPr>
        <w:pStyle w:val="Compact"/>
      </w:pPr>
      <w:r>
        <w:t xml:space="preserve">implicações de direitos autorais e licenças;</w:t>
      </w:r>
    </w:p>
    <w:p>
      <w:pPr>
        <w:numPr>
          <w:ilvl w:val="0"/>
          <w:numId w:val="1012"/>
        </w:numPr>
        <w:pStyle w:val="Compact"/>
      </w:pPr>
      <w:r>
        <w:t xml:space="preserve">requisitos de procedência;</w:t>
      </w:r>
    </w:p>
    <w:p>
      <w:pPr>
        <w:numPr>
          <w:ilvl w:val="0"/>
          <w:numId w:val="1012"/>
        </w:numPr>
        <w:pStyle w:val="Compact"/>
      </w:pPr>
      <w:r>
        <w:t xml:space="preserve">questões de identidade ou semelhança;</w:t>
      </w:r>
    </w:p>
    <w:p>
      <w:pPr>
        <w:numPr>
          <w:ilvl w:val="0"/>
          <w:numId w:val="1012"/>
        </w:numPr>
        <w:pStyle w:val="Compact"/>
      </w:pPr>
      <w:r>
        <w:t xml:space="preserve">acessibilidade;</w:t>
      </w:r>
    </w:p>
    <w:p>
      <w:pPr>
        <w:numPr>
          <w:ilvl w:val="0"/>
          <w:numId w:val="1012"/>
        </w:numPr>
        <w:pStyle w:val="Compact"/>
      </w:pPr>
      <w:r>
        <w:t xml:space="preserve">ortografia e texto incorporado;</w:t>
      </w:r>
    </w:p>
    <w:p>
      <w:pPr>
        <w:numPr>
          <w:ilvl w:val="0"/>
          <w:numId w:val="1012"/>
        </w:numPr>
        <w:pStyle w:val="Compact"/>
      </w:pPr>
      <w:r>
        <w:t xml:space="preserve">artefatos visuais;</w:t>
      </w:r>
    </w:p>
    <w:p>
      <w:pPr>
        <w:numPr>
          <w:ilvl w:val="0"/>
          <w:numId w:val="1012"/>
        </w:numPr>
        <w:pStyle w:val="Compact"/>
      </w:pPr>
      <w:r>
        <w:t xml:space="preserve">especificações de produção;</w:t>
      </w:r>
    </w:p>
    <w:p>
      <w:pPr>
        <w:numPr>
          <w:ilvl w:val="0"/>
          <w:numId w:val="1012"/>
        </w:numPr>
        <w:pStyle w:val="Compact"/>
      </w:pPr>
      <w:r>
        <w:t xml:space="preserve">se o empregador, cliente, contrato ou plataforma exige divulgação.</w:t>
      </w:r>
    </w:p>
    <w:p>
      <w:pPr>
        <w:pStyle w:val="FirstParagraph"/>
      </w:pPr>
      <w:r>
        <w:t xml:space="preserve">Não carregue ativos confidenciais do cliente, contratos privados, credenciais, informações de produtos ainda não lançados, dados pessoais ou informações comerciais protegidas em um serviço de IA não aprovado.</w:t>
      </w:r>
    </w:p>
    <w:p>
      <w:pPr>
        <w:pStyle w:val="BodyText"/>
      </w:pPr>
      <w:r>
        <w:t xml:space="preserve">O AI Risk Management Framework e o Generative AI Profile do NIST fornecem orientação voluntária de gestão de riscos. Uma regra prática para esta carreira é:</w:t>
      </w:r>
      <w:r>
        <w:t xml:space="preserve"> </w:t>
      </w:r>
      <w:r>
        <w:rPr>
          <w:bCs/>
          <w:b/>
        </w:rPr>
        <w:t xml:space="preserve">a IA pode ajudar no processo, mas uma pessoa autorizada deve verificar o trabalho final e seus direitos, fatos, acessibilidade e prontidão para produção.</w:t>
      </w:r>
    </w:p>
    <w:bookmarkEnd w:id="35"/>
    <w:bookmarkStart w:id="36" w:name="Xa94d008b93735fa2d2345d4a8939e7673411aad"/>
    <w:p>
      <w:pPr>
        <w:pStyle w:val="Heading2"/>
      </w:pPr>
      <w:r>
        <w:t xml:space="preserve">Educação e caminhos de entrada — Estados Unidos</w:t>
      </w:r>
    </w:p>
    <w:p>
      <w:pPr>
        <w:pStyle w:val="FirstParagraph"/>
      </w:pPr>
      <w:r>
        <w:t xml:space="preserve">As expectativas educacionais variam. Muitas vagas completas de designer gráfico preferem ou exigem bacharelado ou preparação equivalente, mas funções júnior, de produção, pré-impressão, design de marketing e apoio podem aceitar diferentes combinações de certificados, estudos de nível associado, qualidade do portfólio, experiência de produção e habilidades demonstradas.</w:t>
      </w:r>
    </w:p>
    <w:p>
      <w:pPr>
        <w:pStyle w:val="BodyText"/>
      </w:pPr>
      <w:r>
        <w:t xml:space="preserve">Uma sequência de baixo custo pode ser:</w:t>
      </w:r>
    </w:p>
    <w:p>
      <w:pPr>
        <w:numPr>
          <w:ilvl w:val="0"/>
          <w:numId w:val="1013"/>
        </w:numPr>
        <w:pStyle w:val="Compact"/>
      </w:pPr>
      <w:r>
        <w:t xml:space="preserve">aprender fundamentos de tipografia, layout, cor, vetor/raster e formatos de arquivo;</w:t>
      </w:r>
    </w:p>
    <w:p>
      <w:pPr>
        <w:numPr>
          <w:ilvl w:val="0"/>
          <w:numId w:val="1013"/>
        </w:numPr>
        <w:pStyle w:val="Compact"/>
      </w:pPr>
      <w:r>
        <w:t xml:space="preserve">praticar com software gratuito ou de baixo custo antes de assumir assinaturas caras;</w:t>
      </w:r>
    </w:p>
    <w:p>
      <w:pPr>
        <w:numPr>
          <w:ilvl w:val="0"/>
          <w:numId w:val="1013"/>
        </w:numPr>
        <w:pStyle w:val="Compact"/>
      </w:pPr>
      <w:r>
        <w:t xml:space="preserve">criar briefs controlados de portfólio usando conteúdo fictício ou devidamente licenciado;</w:t>
      </w:r>
    </w:p>
    <w:p>
      <w:pPr>
        <w:numPr>
          <w:ilvl w:val="0"/>
          <w:numId w:val="1013"/>
        </w:numPr>
        <w:pStyle w:val="Compact"/>
      </w:pPr>
      <w:r>
        <w:t xml:space="preserve">aprender requisitos de exportação para impressão e digital;</w:t>
      </w:r>
    </w:p>
    <w:p>
      <w:pPr>
        <w:numPr>
          <w:ilvl w:val="0"/>
          <w:numId w:val="1013"/>
        </w:numPr>
        <w:pStyle w:val="Compact"/>
      </w:pPr>
      <w:r>
        <w:t xml:space="preserve">adicionar verificações de acessibilidade e direitos autorais a cada projeto;</w:t>
      </w:r>
    </w:p>
    <w:p>
      <w:pPr>
        <w:numPr>
          <w:ilvl w:val="0"/>
          <w:numId w:val="1013"/>
        </w:numPr>
        <w:pStyle w:val="Compact"/>
      </w:pPr>
      <w:r>
        <w:t xml:space="preserve">concluir projetos supervisionados, voluntários, de estágio, campus, organizações sem fins lucrativos ou aprovados pelo empregador quando apropriado;</w:t>
      </w:r>
    </w:p>
    <w:p>
      <w:pPr>
        <w:numPr>
          <w:ilvl w:val="0"/>
          <w:numId w:val="1013"/>
        </w:numPr>
        <w:pStyle w:val="Compact"/>
      </w:pPr>
      <w:r>
        <w:t xml:space="preserve">candidatar-se a funções de assistente de design, designer júnior, artista de produção, pré-impressão, produção de marketing ou produção digital;</w:t>
      </w:r>
    </w:p>
    <w:p>
      <w:pPr>
        <w:numPr>
          <w:ilvl w:val="0"/>
          <w:numId w:val="1013"/>
        </w:numPr>
        <w:pStyle w:val="Compact"/>
      </w:pPr>
      <w:r>
        <w:t xml:space="preserve">aprofundar uma especialidade depois de receber feedback real de produção.</w:t>
      </w:r>
    </w:p>
    <w:bookmarkEnd w:id="36"/>
    <w:bookmarkStart w:id="37" w:name="X25529060e629539aa83206afb6fb300f87df8c3"/>
    <w:p>
      <w:pPr>
        <w:pStyle w:val="Heading2"/>
      </w:pPr>
      <w:r>
        <w:t xml:space="preserve">Financiamento, treinamento gratuito/de baixo custo, bolsas e aprendizagem baseada no trabalho — Estados Unidos</w:t>
      </w:r>
    </w:p>
    <w:p>
      <w:pPr>
        <w:pStyle w:val="FirstParagraph"/>
      </w:pPr>
      <w:r>
        <w:t xml:space="preserve">CareerOneStop oferece um Local Training Finder e diretórios estaduais de programas de treinamento elegíveis para WIOA. O financiamento WIOA não é automático; elegibilidade e provedores aprovados variam. Um American Job Center pode explicar regras locais e serviços de apoio.</w:t>
      </w:r>
    </w:p>
    <w:p>
      <w:pPr>
        <w:pStyle w:val="BodyText"/>
      </w:pPr>
      <w:r>
        <w:t xml:space="preserve">Termos de busca úteis incluem graphic design, visual communication, digital media, prepress, multimedia, web design, marketing design e production art.</w:t>
      </w:r>
    </w:p>
    <w:p>
      <w:pPr>
        <w:pStyle w:val="BodyText"/>
      </w:pPr>
      <w:r>
        <w:t xml:space="preserve">Também pesquise no CareerOneStop e em instituições locais por:</w:t>
      </w:r>
    </w:p>
    <w:p>
      <w:pPr>
        <w:numPr>
          <w:ilvl w:val="0"/>
          <w:numId w:val="1014"/>
        </w:numPr>
        <w:pStyle w:val="Compact"/>
      </w:pPr>
      <w:r>
        <w:t xml:space="preserve">bolsas e subsídios;</w:t>
      </w:r>
    </w:p>
    <w:p>
      <w:pPr>
        <w:numPr>
          <w:ilvl w:val="0"/>
          <w:numId w:val="1014"/>
        </w:numPr>
        <w:pStyle w:val="Compact"/>
      </w:pPr>
      <w:r>
        <w:t xml:space="preserve">certificados de community college;</w:t>
      </w:r>
    </w:p>
    <w:p>
      <w:pPr>
        <w:numPr>
          <w:ilvl w:val="0"/>
          <w:numId w:val="1014"/>
        </w:numPr>
        <w:pStyle w:val="Compact"/>
      </w:pPr>
      <w:r>
        <w:t xml:space="preserve">programas financiados pela força de trabalho;</w:t>
      </w:r>
    </w:p>
    <w:p>
      <w:pPr>
        <w:numPr>
          <w:ilvl w:val="0"/>
          <w:numId w:val="1014"/>
        </w:numPr>
        <w:pStyle w:val="Compact"/>
      </w:pPr>
      <w:r>
        <w:t xml:space="preserve">estágios;</w:t>
      </w:r>
    </w:p>
    <w:p>
      <w:pPr>
        <w:numPr>
          <w:ilvl w:val="0"/>
          <w:numId w:val="1014"/>
        </w:numPr>
        <w:pStyle w:val="Compact"/>
      </w:pPr>
      <w:r>
        <w:t xml:space="preserve">funções júnior remuneradas de produção;</w:t>
      </w:r>
    </w:p>
    <w:p>
      <w:pPr>
        <w:numPr>
          <w:ilvl w:val="0"/>
          <w:numId w:val="1014"/>
        </w:numPr>
        <w:pStyle w:val="Compact"/>
      </w:pPr>
      <w:r>
        <w:t xml:space="preserve">auxílio de mensalidade do empregador;</w:t>
      </w:r>
    </w:p>
    <w:p>
      <w:pPr>
        <w:numPr>
          <w:ilvl w:val="0"/>
          <w:numId w:val="1014"/>
        </w:numPr>
        <w:pStyle w:val="Compact"/>
      </w:pPr>
      <w:r>
        <w:t xml:space="preserve">descoberta de apprenticeship.</w:t>
      </w:r>
    </w:p>
    <w:p>
      <w:pPr>
        <w:pStyle w:val="FirstParagraph"/>
      </w:pPr>
      <w:r>
        <w:t xml:space="preserve">A disponibilidade de Registered Apprenticeship formal em design gráfico varia e não deve ser presumida. Estágios, trabalho de produção supervisionado, funções júnior e treinamento oferecido pelo empregador podem ser caminhos mais comuns de aprendizagem baseada no trabalho.</w:t>
      </w:r>
    </w:p>
    <w:bookmarkEnd w:id="37"/>
    <w:bookmarkStart w:id="38" w:name="caminhos-no-canadá"/>
    <w:p>
      <w:pPr>
        <w:pStyle w:val="Heading2"/>
      </w:pPr>
      <w:r>
        <w:t xml:space="preserve">Caminhos no Canadá</w:t>
      </w:r>
    </w:p>
    <w:p>
      <w:pPr>
        <w:pStyle w:val="FirstParagraph"/>
      </w:pPr>
      <w:r>
        <w:t xml:space="preserve">O Job Bank do Canadá classifica</w:t>
      </w:r>
      <w:r>
        <w:t xml:space="preserve"> </w:t>
      </w:r>
      <w:r>
        <w:rPr>
          <w:bCs/>
          <w:b/>
        </w:rPr>
        <w:t xml:space="preserve">Graphic designers and illustrators</w:t>
      </w:r>
      <w:r>
        <w:t xml:space="preserve"> </w:t>
      </w:r>
      <w:r>
        <w:t xml:space="preserve">como</w:t>
      </w:r>
      <w:r>
        <w:t xml:space="preserve"> </w:t>
      </w:r>
      <w:r>
        <w:rPr>
          <w:bCs/>
          <w:b/>
        </w:rPr>
        <w:t xml:space="preserve">NOC 52120</w:t>
      </w:r>
      <w:r>
        <w:t xml:space="preserve">. O Job Bank informa salários nacionais atualizados em 19 de novembro de 2025 de</w:t>
      </w:r>
      <w:r>
        <w:t xml:space="preserve"> </w:t>
      </w:r>
      <w:r>
        <w:rPr>
          <w:bCs/>
          <w:b/>
        </w:rPr>
        <w:t xml:space="preserve">C$20.00/hora no nível baixo, C$31.25/hora na mediana e C$52.88/hora no nível alto</w:t>
      </w:r>
      <w:r>
        <w:t xml:space="preserve">. O período nacional de referência é 2023–2024.</w:t>
      </w:r>
    </w:p>
    <w:p>
      <w:pPr>
        <w:pStyle w:val="BodyText"/>
      </w:pPr>
      <w:r>
        <w:t xml:space="preserve">As expectativas de educação e experiência variam por empregador e província. Antes de pagar por treinamento, verifique:</w:t>
      </w:r>
    </w:p>
    <w:p>
      <w:pPr>
        <w:numPr>
          <w:ilvl w:val="0"/>
          <w:numId w:val="1015"/>
        </w:numPr>
        <w:pStyle w:val="Compact"/>
      </w:pPr>
      <w:r>
        <w:t xml:space="preserve">se o programa é reconhecido pelo empregador ou caminho pretendido;</w:t>
      </w:r>
    </w:p>
    <w:p>
      <w:pPr>
        <w:numPr>
          <w:ilvl w:val="0"/>
          <w:numId w:val="1015"/>
        </w:numPr>
        <w:pStyle w:val="Compact"/>
      </w:pPr>
      <w:r>
        <w:t xml:space="preserve">requisitos de portfólio;</w:t>
      </w:r>
    </w:p>
    <w:p>
      <w:pPr>
        <w:numPr>
          <w:ilvl w:val="0"/>
          <w:numId w:val="1015"/>
        </w:numPr>
        <w:pStyle w:val="Compact"/>
      </w:pPr>
      <w:r>
        <w:t xml:space="preserve">custos de software e equipamentos;</w:t>
      </w:r>
    </w:p>
    <w:p>
      <w:pPr>
        <w:numPr>
          <w:ilvl w:val="0"/>
          <w:numId w:val="1015"/>
        </w:numPr>
        <w:pStyle w:val="Compact"/>
      </w:pPr>
      <w:r>
        <w:t xml:space="preserve">opções de estágio ou aprendizagem integrada ao trabalho;</w:t>
      </w:r>
    </w:p>
    <w:p>
      <w:pPr>
        <w:numPr>
          <w:ilvl w:val="0"/>
          <w:numId w:val="1015"/>
        </w:numPr>
        <w:pStyle w:val="Compact"/>
      </w:pPr>
      <w:r>
        <w:t xml:space="preserve">condições atuais do mercado de trabalho provincial.</w:t>
      </w:r>
    </w:p>
    <w:p>
      <w:pPr>
        <w:pStyle w:val="FirstParagraph"/>
      </w:pPr>
      <w:r>
        <w:t xml:space="preserve">Canada.ca oferece portais para treinamento, auxílio estudantil, subsídios/empréstimos, experiência de trabalho e apoio provincial/territorial. A elegibilidade não é garantida.</w:t>
      </w:r>
    </w:p>
    <w:bookmarkEnd w:id="38"/>
    <w:bookmarkStart w:id="39" w:name="caminhos-na-colômbia"/>
    <w:p>
      <w:pPr>
        <w:pStyle w:val="Heading2"/>
      </w:pPr>
      <w:r>
        <w:t xml:space="preserve">Caminhos na Colômbia</w:t>
      </w:r>
    </w:p>
    <w:p>
      <w:pPr>
        <w:pStyle w:val="FirstParagraph"/>
      </w:pPr>
      <w:r>
        <w:t xml:space="preserve">O OCUPACOL inclui perfis de</w:t>
      </w:r>
      <w:r>
        <w:t xml:space="preserve"> </w:t>
      </w:r>
      <w:r>
        <w:rPr>
          <w:bCs/>
          <w:b/>
        </w:rPr>
        <w:t xml:space="preserve">Diseñadores gráficos</w:t>
      </w:r>
      <w:r>
        <w:t xml:space="preserve">,</w:t>
      </w:r>
      <w:r>
        <w:t xml:space="preserve"> </w:t>
      </w:r>
      <w:r>
        <w:rPr>
          <w:bCs/>
          <w:b/>
        </w:rPr>
        <w:t xml:space="preserve">Diseñadores gráficos y multimedia</w:t>
      </w:r>
      <w:r>
        <w:t xml:space="preserve">,</w:t>
      </w:r>
      <w:r>
        <w:t xml:space="preserve"> </w:t>
      </w:r>
      <w:r>
        <w:rPr>
          <w:bCs/>
          <w:b/>
        </w:rPr>
        <w:t xml:space="preserve">Auxiliar de diseño gráfico</w:t>
      </w:r>
      <w:r>
        <w:t xml:space="preserve"> </w:t>
      </w:r>
      <w:r>
        <w:t xml:space="preserve">e</w:t>
      </w:r>
      <w:r>
        <w:t xml:space="preserve"> </w:t>
      </w:r>
      <w:r>
        <w:rPr>
          <w:bCs/>
          <w:b/>
        </w:rPr>
        <w:t xml:space="preserve">Auxiliar de producción gráfica</w:t>
      </w:r>
      <w:r>
        <w:t xml:space="preserve">. Esses perfis ajudam a comparar responsabilidades de designer e apoio à produção.</w:t>
      </w:r>
    </w:p>
    <w:p>
      <w:pPr>
        <w:pStyle w:val="BodyText"/>
      </w:pPr>
      <w:r>
        <w:t xml:space="preserve">O SENA Betowa oferece opções atuais de aprendizagem que podem incluir:</w:t>
      </w:r>
    </w:p>
    <w:p>
      <w:pPr>
        <w:numPr>
          <w:ilvl w:val="0"/>
          <w:numId w:val="1016"/>
        </w:numPr>
        <w:pStyle w:val="Compact"/>
      </w:pPr>
      <w:r>
        <w:rPr>
          <w:bCs/>
          <w:b/>
        </w:rPr>
        <w:t xml:space="preserve">Desarrollo de Medios Gráficos Visuales</w:t>
      </w:r>
      <w:r>
        <w:t xml:space="preserve"> </w:t>
      </w:r>
      <w:r>
        <w:t xml:space="preserve">— listado como programa Tecnólogo com 3,984 horas;</w:t>
      </w:r>
    </w:p>
    <w:p>
      <w:pPr>
        <w:numPr>
          <w:ilvl w:val="0"/>
          <w:numId w:val="1016"/>
        </w:numPr>
        <w:pStyle w:val="Compact"/>
      </w:pPr>
      <w:r>
        <w:rPr>
          <w:bCs/>
          <w:b/>
        </w:rPr>
        <w:t xml:space="preserve">Producción de Imágenes Digitales</w:t>
      </w:r>
      <w:r>
        <w:t xml:space="preserve">;</w:t>
      </w:r>
    </w:p>
    <w:p>
      <w:pPr>
        <w:numPr>
          <w:ilvl w:val="0"/>
          <w:numId w:val="1016"/>
        </w:numPr>
        <w:pStyle w:val="Compact"/>
      </w:pPr>
      <w:r>
        <w:rPr>
          <w:bCs/>
          <w:b/>
        </w:rPr>
        <w:t xml:space="preserve">Fundamentos de Diseño</w:t>
      </w:r>
      <w:r>
        <w:t xml:space="preserve"> </w:t>
      </w:r>
      <w:r>
        <w:t xml:space="preserve">e outras ofertas complementares.</w:t>
      </w:r>
    </w:p>
    <w:p>
      <w:pPr>
        <w:pStyle w:val="FirstParagraph"/>
      </w:pPr>
      <w:r>
        <w:t xml:space="preserve">Turmas, modalidade, cidade, datas, vagas e condições de admissão mudam. Verifique os anúncios atuais do Betowa antes de depender de um curso específico.</w:t>
      </w:r>
    </w:p>
    <w:p>
      <w:pPr>
        <w:pStyle w:val="BodyText"/>
      </w:pPr>
      <w:r>
        <w:t xml:space="preserve">Para remuneração na Colômbia, evite tratar faixas salariais antigas de perfis ocupacionais como referência representativa atual, a menos que metodologia e período de referência estejam confirmados.</w:t>
      </w:r>
    </w:p>
    <w:bookmarkEnd w:id="39"/>
    <w:bookmarkStart w:id="40" w:name="américa-latina-e-caribe"/>
    <w:p>
      <w:pPr>
        <w:pStyle w:val="Heading2"/>
      </w:pPr>
      <w:r>
        <w:t xml:space="preserve">América Latina e Caribe</w:t>
      </w:r>
    </w:p>
    <w:p>
      <w:pPr>
        <w:pStyle w:val="FirstParagraph"/>
      </w:pPr>
      <w:r>
        <w:t xml:space="preserve">A OIT/Cinterfor oferece um diretório regional e uma rede de instituições de formação profissional. Use-o para identificar a instituição nacional apropriada e depois verifique diretamente com essa instituição o catálogo atual, custo, elegibilidade, modalidade, credencial e processo de candidatura.</w:t>
      </w:r>
    </w:p>
    <w:p>
      <w:pPr>
        <w:pStyle w:val="BodyText"/>
      </w:pPr>
      <w:r>
        <w:t xml:space="preserve">O diretório é um localizador, não uma promessa de que exista em todos os países um curso de design gráfico, bolsa ou subsídio.</w:t>
      </w:r>
    </w:p>
    <w:bookmarkEnd w:id="40"/>
    <w:bookmarkStart w:id="44" w:name="pesquisa-de-renda"/>
    <w:p>
      <w:pPr>
        <w:pStyle w:val="Heading2"/>
      </w:pPr>
      <w:r>
        <w:t xml:space="preserve">Pesquisa de renda</w:t>
      </w:r>
    </w:p>
    <w:bookmarkStart w:id="41" w:name="estados-unidos--referência-oficial"/>
    <w:p>
      <w:pPr>
        <w:pStyle w:val="Heading3"/>
      </w:pPr>
      <w:r>
        <w:t xml:space="preserve">Estados Unidos — referência oficial</w:t>
      </w:r>
    </w:p>
    <w:p>
      <w:pPr>
        <w:pStyle w:val="FirstParagraph"/>
      </w:pPr>
      <w:r>
        <w:t xml:space="preserve">Dados salariais nacionais O*NET/BLS 2025 para Graphic Designers:</w:t>
      </w:r>
    </w:p>
    <w:p>
      <w:pPr>
        <w:numPr>
          <w:ilvl w:val="0"/>
          <w:numId w:val="1017"/>
        </w:numPr>
        <w:pStyle w:val="Compact"/>
      </w:pPr>
      <w:r>
        <w:t xml:space="preserve">percentil 10:</w:t>
      </w:r>
      <w:r>
        <w:t xml:space="preserve"> </w:t>
      </w:r>
      <w:r>
        <w:rPr>
          <w:bCs/>
          <w:b/>
        </w:rPr>
        <w:t xml:space="preserve">$39,520/ano</w:t>
      </w:r>
      <w:r>
        <w:t xml:space="preserve">;</w:t>
      </w:r>
    </w:p>
    <w:p>
      <w:pPr>
        <w:numPr>
          <w:ilvl w:val="0"/>
          <w:numId w:val="1017"/>
        </w:numPr>
        <w:pStyle w:val="Compact"/>
      </w:pPr>
      <w:r>
        <w:t xml:space="preserve">mediana:</w:t>
      </w:r>
      <w:r>
        <w:t xml:space="preserve"> </w:t>
      </w:r>
      <w:r>
        <w:rPr>
          <w:bCs/>
          <w:b/>
        </w:rPr>
        <w:t xml:space="preserve">$62,960/ano</w:t>
      </w:r>
      <w:r>
        <w:t xml:space="preserve"> </w:t>
      </w:r>
      <w:r>
        <w:t xml:space="preserve">ou</w:t>
      </w:r>
      <w:r>
        <w:t xml:space="preserve"> </w:t>
      </w:r>
      <w:r>
        <w:rPr>
          <w:bCs/>
          <w:b/>
        </w:rPr>
        <w:t xml:space="preserve">$30.27/hora</w:t>
      </w:r>
      <w:r>
        <w:t xml:space="preserve">;</w:t>
      </w:r>
    </w:p>
    <w:p>
      <w:pPr>
        <w:numPr>
          <w:ilvl w:val="0"/>
          <w:numId w:val="1017"/>
        </w:numPr>
        <w:pStyle w:val="Compact"/>
      </w:pPr>
      <w:r>
        <w:t xml:space="preserve">percentil 90:</w:t>
      </w:r>
      <w:r>
        <w:t xml:space="preserve"> </w:t>
      </w:r>
      <w:r>
        <w:rPr>
          <w:bCs/>
          <w:b/>
        </w:rPr>
        <w:t xml:space="preserve">$104,910/ano</w:t>
      </w:r>
      <w:r>
        <w:t xml:space="preserve">.</w:t>
      </w:r>
    </w:p>
    <w:p>
      <w:pPr>
        <w:pStyle w:val="FirstParagraph"/>
      </w:pPr>
      <w:r>
        <w:t xml:space="preserve">A remuneração varia por geografia, setor, especialidade, portfólio, tipo de emprego, experiência e escopo.</w:t>
      </w:r>
    </w:p>
    <w:bookmarkEnd w:id="41"/>
    <w:bookmarkStart w:id="42" w:name="X9d1b3b1465e2535644553a9bc9c92a376bf0807"/>
    <w:p>
      <w:pPr>
        <w:pStyle w:val="Heading3"/>
      </w:pPr>
      <w:r>
        <w:t xml:space="preserve">Estados Unidos — estimativa não governamental atual</w:t>
      </w:r>
    </w:p>
    <w:p>
      <w:pPr>
        <w:pStyle w:val="FirstParagraph"/>
      </w:pPr>
      <w:r>
        <w:t xml:space="preserve">O Indeed informou salário-base médio de aproximadamente</w:t>
      </w:r>
      <w:r>
        <w:t xml:space="preserve"> </w:t>
      </w:r>
      <w:r>
        <w:rPr>
          <w:bCs/>
          <w:b/>
        </w:rPr>
        <w:t xml:space="preserve">$23.41/hora</w:t>
      </w:r>
      <w:r>
        <w:t xml:space="preserve"> </w:t>
      </w:r>
      <w:r>
        <w:t xml:space="preserve">para Graphic Designers nos EUA, atualizado em 2 de agosto de 2026, com faixa exibida de aproximadamente</w:t>
      </w:r>
      <w:r>
        <w:t xml:space="preserve"> </w:t>
      </w:r>
      <w:r>
        <w:rPr>
          <w:bCs/>
          <w:b/>
        </w:rPr>
        <w:t xml:space="preserve">$13.25 a $41.36/hora</w:t>
      </w:r>
      <w:r>
        <w:t xml:space="preserve"> </w:t>
      </w:r>
      <w:r>
        <w:t xml:space="preserve">e cerca de 6.1k observações salariais provenientes de anúncios de emprego nos 36 meses anteriores.</w:t>
      </w:r>
    </w:p>
    <w:p>
      <w:pPr>
        <w:pStyle w:val="BodyText"/>
      </w:pPr>
      <w:r>
        <w:t xml:space="preserve">Trata-se de uma estimativa de mercado, não de estatística salarial governamental nem de remuneração garantida.</w:t>
      </w:r>
    </w:p>
    <w:bookmarkEnd w:id="42"/>
    <w:bookmarkStart w:id="43" w:name="Xc2c9130f5601b863f7d70619e2d22d0e4443c70"/>
    <w:p>
      <w:pPr>
        <w:pStyle w:val="Heading3"/>
      </w:pPr>
      <w:r>
        <w:t xml:space="preserve">Colômbia — estimativa não governamental atual para nível júnior</w:t>
      </w:r>
    </w:p>
    <w:p>
      <w:pPr>
        <w:pStyle w:val="FirstParagraph"/>
      </w:pPr>
      <w:r>
        <w:t xml:space="preserve">O Indeed informou aproximadamente</w:t>
      </w:r>
      <w:r>
        <w:t xml:space="preserve"> </w:t>
      </w:r>
      <w:r>
        <w:rPr>
          <w:bCs/>
          <w:b/>
        </w:rPr>
        <w:t xml:space="preserve">COP 1,902,446/mês</w:t>
      </w:r>
      <w:r>
        <w:t xml:space="preserve"> </w:t>
      </w:r>
      <w:r>
        <w:t xml:space="preserve">para</w:t>
      </w:r>
      <w:r>
        <w:t xml:space="preserve"> </w:t>
      </w:r>
      <w:r>
        <w:rPr>
          <w:bCs/>
          <w:b/>
        </w:rPr>
        <w:t xml:space="preserve">Diseñador/a gráfico/a junior</w:t>
      </w:r>
      <w:r>
        <w:t xml:space="preserve"> </w:t>
      </w:r>
      <w:r>
        <w:t xml:space="preserve">na Colômbia, com base em 26 salários informados e atualização de 29 de julho de 2026.</w:t>
      </w:r>
    </w:p>
    <w:p>
      <w:pPr>
        <w:pStyle w:val="BodyText"/>
      </w:pPr>
      <w:r>
        <w:t xml:space="preserve">É uma estimativa de título júnior com amostra pequena, não uma referência para todos os designers ou artistas de produção.</w:t>
      </w:r>
    </w:p>
    <w:bookmarkEnd w:id="43"/>
    <w:bookmarkEnd w:id="44"/>
    <w:bookmarkStart w:id="45" w:name="construindo-um-portfólio-de-forma-ética"/>
    <w:p>
      <w:pPr>
        <w:pStyle w:val="Heading2"/>
      </w:pPr>
      <w:r>
        <w:t xml:space="preserve">Construindo um portfólio de forma ética</w:t>
      </w:r>
    </w:p>
    <w:p>
      <w:pPr>
        <w:pStyle w:val="FirstParagraph"/>
      </w:pPr>
      <w:r>
        <w:t xml:space="preserve">Um bom portfólio inicial deve provar processo, julgamento e qualidade de produção, e não apenas mostrar imagens atraentes.</w:t>
      </w:r>
    </w:p>
    <w:p>
      <w:pPr>
        <w:pStyle w:val="BodyText"/>
      </w:pPr>
      <w:r>
        <w:t xml:space="preserve">Inclua um pequeno número de projetos fortes. Para cada projeto, explique:</w:t>
      </w:r>
    </w:p>
    <w:p>
      <w:pPr>
        <w:numPr>
          <w:ilvl w:val="0"/>
          <w:numId w:val="1018"/>
        </w:numPr>
        <w:pStyle w:val="Compact"/>
      </w:pPr>
      <w:r>
        <w:t xml:space="preserve">o brief ou problema;</w:t>
      </w:r>
    </w:p>
    <w:p>
      <w:pPr>
        <w:numPr>
          <w:ilvl w:val="0"/>
          <w:numId w:val="1018"/>
        </w:numPr>
        <w:pStyle w:val="Compact"/>
      </w:pPr>
      <w:r>
        <w:t xml:space="preserve">público pretendido;</w:t>
      </w:r>
    </w:p>
    <w:p>
      <w:pPr>
        <w:numPr>
          <w:ilvl w:val="0"/>
          <w:numId w:val="1018"/>
        </w:numPr>
        <w:pStyle w:val="Compact"/>
      </w:pPr>
      <w:r>
        <w:t xml:space="preserve">restrições;</w:t>
      </w:r>
    </w:p>
    <w:p>
      <w:pPr>
        <w:numPr>
          <w:ilvl w:val="0"/>
          <w:numId w:val="1018"/>
        </w:numPr>
        <w:pStyle w:val="Compact"/>
      </w:pPr>
      <w:r>
        <w:t xml:space="preserve">sua função;</w:t>
      </w:r>
    </w:p>
    <w:p>
      <w:pPr>
        <w:numPr>
          <w:ilvl w:val="0"/>
          <w:numId w:val="1018"/>
        </w:numPr>
        <w:pStyle w:val="Compact"/>
      </w:pPr>
      <w:r>
        <w:t xml:space="preserve">ferramentas utilizadas;</w:t>
      </w:r>
    </w:p>
    <w:p>
      <w:pPr>
        <w:numPr>
          <w:ilvl w:val="0"/>
          <w:numId w:val="1018"/>
        </w:numPr>
        <w:pStyle w:val="Compact"/>
      </w:pPr>
      <w:r>
        <w:t xml:space="preserve">considerações de acessibilidade;</w:t>
      </w:r>
    </w:p>
    <w:p>
      <w:pPr>
        <w:numPr>
          <w:ilvl w:val="0"/>
          <w:numId w:val="1018"/>
        </w:numPr>
        <w:pStyle w:val="Compact"/>
      </w:pPr>
      <w:r>
        <w:t xml:space="preserve">abordagem de licenças/origens;</w:t>
      </w:r>
    </w:p>
    <w:p>
      <w:pPr>
        <w:numPr>
          <w:ilvl w:val="0"/>
          <w:numId w:val="1018"/>
        </w:numPr>
        <w:pStyle w:val="Compact"/>
      </w:pPr>
      <w:r>
        <w:t xml:space="preserve">decisões de design;</w:t>
      </w:r>
    </w:p>
    <w:p>
      <w:pPr>
        <w:numPr>
          <w:ilvl w:val="0"/>
          <w:numId w:val="1018"/>
        </w:numPr>
        <w:pStyle w:val="Compact"/>
      </w:pPr>
      <w:r>
        <w:t xml:space="preserve">especificações de produção;</w:t>
      </w:r>
    </w:p>
    <w:p>
      <w:pPr>
        <w:numPr>
          <w:ilvl w:val="0"/>
          <w:numId w:val="1018"/>
        </w:numPr>
        <w:pStyle w:val="Compact"/>
      </w:pPr>
      <w:r>
        <w:t xml:space="preserve">o que mudou após feedback;</w:t>
      </w:r>
    </w:p>
    <w:p>
      <w:pPr>
        <w:numPr>
          <w:ilvl w:val="0"/>
          <w:numId w:val="1018"/>
        </w:numPr>
        <w:pStyle w:val="Compact"/>
      </w:pPr>
      <w:r>
        <w:t xml:space="preserve">entregáveis finais.</w:t>
      </w:r>
    </w:p>
    <w:p>
      <w:pPr>
        <w:pStyle w:val="FirstParagraph"/>
      </w:pPr>
      <w:r>
        <w:t xml:space="preserve">Use marcas fictícias, ativos próprios, material de domínio público ou recursos devidamente licenciados em projetos autodirigidos. Não apresente publicamente trabalho de cliente sem permissão. Nunca apresente o design de outra pessoa como seu.</w:t>
      </w:r>
    </w:p>
    <w:bookmarkEnd w:id="45"/>
    <w:bookmarkStart w:id="50" w:name="plano-de-ação-reparado-de-30-dias"/>
    <w:p>
      <w:pPr>
        <w:pStyle w:val="Heading2"/>
      </w:pPr>
      <w:r>
        <w:t xml:space="preserve">Plano de ação reparado de 30 dias</w:t>
      </w:r>
    </w:p>
    <w:p>
      <w:pPr>
        <w:pStyle w:val="FirstParagraph"/>
      </w:pPr>
      <w:r>
        <w:t xml:space="preserve">Este plano substitui a condição inutilizável do plano de ação legado registrada como</w:t>
      </w:r>
      <w:r>
        <w:t xml:space="preserve"> </w:t>
      </w:r>
      <w:r>
        <w:rPr>
          <w:rStyle w:val="VerbatimChar"/>
        </w:rPr>
        <w:t xml:space="preserve">action_plan_ok: False</w:t>
      </w:r>
      <w:r>
        <w:t xml:space="preserve">.</w:t>
      </w:r>
    </w:p>
    <w:bookmarkStart w:id="46" w:name="semana-1--fundamentos-e-configuração"/>
    <w:p>
      <w:pPr>
        <w:pStyle w:val="Heading3"/>
      </w:pPr>
      <w:r>
        <w:t xml:space="preserve">Semana 1 — Fundamentos e configuração</w:t>
      </w:r>
    </w:p>
    <w:p>
      <w:pPr>
        <w:numPr>
          <w:ilvl w:val="0"/>
          <w:numId w:val="1019"/>
        </w:numPr>
        <w:pStyle w:val="Compact"/>
      </w:pPr>
      <w:r>
        <w:t xml:space="preserve">Escolha uma ferramenta vetorial e uma ferramenta raster/de imagem que você possa acessar legalmente.</w:t>
      </w:r>
    </w:p>
    <w:p>
      <w:pPr>
        <w:numPr>
          <w:ilvl w:val="0"/>
          <w:numId w:val="1019"/>
        </w:numPr>
        <w:pStyle w:val="Compact"/>
      </w:pPr>
      <w:r>
        <w:t xml:space="preserve">Pratique hierarquia, alinhamento, tipografia, espaçamento, cor e nomenclatura de arquivos.</w:t>
      </w:r>
    </w:p>
    <w:p>
      <w:pPr>
        <w:numPr>
          <w:ilvl w:val="0"/>
          <w:numId w:val="1019"/>
        </w:numPr>
        <w:pStyle w:val="Compact"/>
      </w:pPr>
      <w:r>
        <w:t xml:space="preserve">Aprenda a diferença entre saída vetorial e raster.</w:t>
      </w:r>
    </w:p>
    <w:p>
      <w:pPr>
        <w:numPr>
          <w:ilvl w:val="0"/>
          <w:numId w:val="1019"/>
        </w:numPr>
        <w:pStyle w:val="Compact"/>
      </w:pPr>
      <w:r>
        <w:t xml:space="preserve">Crie uma estrutura de pastas com fontes, ativos vinculados, provas e finais.</w:t>
      </w:r>
    </w:p>
    <w:p>
      <w:pPr>
        <w:numPr>
          <w:ilvl w:val="0"/>
          <w:numId w:val="1019"/>
        </w:numPr>
        <w:pStyle w:val="Compact"/>
      </w:pPr>
      <w:r>
        <w:t xml:space="preserve">Execute uma verificação de contraste em um layout de prática.</w:t>
      </w:r>
    </w:p>
    <w:bookmarkEnd w:id="46"/>
    <w:bookmarkStart w:id="47" w:name="semana-2--prática-de-produção"/>
    <w:p>
      <w:pPr>
        <w:pStyle w:val="Heading3"/>
      </w:pPr>
      <w:r>
        <w:t xml:space="preserve">Semana 2 — Prática de produção</w:t>
      </w:r>
    </w:p>
    <w:p>
      <w:pPr>
        <w:numPr>
          <w:ilvl w:val="0"/>
          <w:numId w:val="1020"/>
        </w:numPr>
        <w:pStyle w:val="Compact"/>
      </w:pPr>
      <w:r>
        <w:t xml:space="preserve">Crie uma campanha fictícia com pelo menos três tamanhos ou canais.</w:t>
      </w:r>
    </w:p>
    <w:p>
      <w:pPr>
        <w:numPr>
          <w:ilvl w:val="0"/>
          <w:numId w:val="1020"/>
        </w:numPr>
        <w:pStyle w:val="Compact"/>
      </w:pPr>
      <w:r>
        <w:t xml:space="preserve">Produza um arquivo pronto para impressão com sangria e um ativo digital otimizado.</w:t>
      </w:r>
    </w:p>
    <w:p>
      <w:pPr>
        <w:numPr>
          <w:ilvl w:val="0"/>
          <w:numId w:val="1020"/>
        </w:numPr>
        <w:pStyle w:val="Compact"/>
      </w:pPr>
      <w:r>
        <w:t xml:space="preserve">Mantenha um registro de versões e uma checklist de aprovação.</w:t>
      </w:r>
    </w:p>
    <w:p>
      <w:pPr>
        <w:numPr>
          <w:ilvl w:val="0"/>
          <w:numId w:val="1020"/>
        </w:numPr>
        <w:pStyle w:val="Compact"/>
      </w:pPr>
      <w:r>
        <w:t xml:space="preserve">Registre a origem/licença de toda fonte, imagem ou ícone externo.</w:t>
      </w:r>
    </w:p>
    <w:bookmarkEnd w:id="47"/>
    <w:bookmarkStart w:id="48" w:name="semana-3--portfólio-e-feedback"/>
    <w:p>
      <w:pPr>
        <w:pStyle w:val="Heading3"/>
      </w:pPr>
      <w:r>
        <w:t xml:space="preserve">Semana 3 — Portfólio e feedback</w:t>
      </w:r>
    </w:p>
    <w:p>
      <w:pPr>
        <w:numPr>
          <w:ilvl w:val="0"/>
          <w:numId w:val="1021"/>
        </w:numPr>
        <w:pStyle w:val="Compact"/>
      </w:pPr>
      <w:r>
        <w:t xml:space="preserve">Selecione seus dois ou três projetos mais fortes.</w:t>
      </w:r>
    </w:p>
    <w:p>
      <w:pPr>
        <w:numPr>
          <w:ilvl w:val="0"/>
          <w:numId w:val="1021"/>
        </w:numPr>
        <w:pStyle w:val="Compact"/>
      </w:pPr>
      <w:r>
        <w:t xml:space="preserve">Escreva uma breve nota de caso para cada um: brief, função, decisões, acessibilidade, direitos, verificações de produção e resultado.</w:t>
      </w:r>
    </w:p>
    <w:p>
      <w:pPr>
        <w:numPr>
          <w:ilvl w:val="0"/>
          <w:numId w:val="1021"/>
        </w:numPr>
        <w:pStyle w:val="Compact"/>
      </w:pPr>
      <w:r>
        <w:t xml:space="preserve">Peça feedback a um colega, instrutor, mentor ou supervisor qualificado.</w:t>
      </w:r>
    </w:p>
    <w:p>
      <w:pPr>
        <w:numPr>
          <w:ilvl w:val="0"/>
          <w:numId w:val="1021"/>
        </w:numPr>
        <w:pStyle w:val="Compact"/>
      </w:pPr>
      <w:r>
        <w:t xml:space="preserve">Corrija defeitos evidentes de produção e revisão.</w:t>
      </w:r>
    </w:p>
    <w:bookmarkEnd w:id="48"/>
    <w:bookmarkStart w:id="49" w:name="semana-4--preparação-para-emprego"/>
    <w:p>
      <w:pPr>
        <w:pStyle w:val="Heading3"/>
      </w:pPr>
      <w:r>
        <w:t xml:space="preserve">Semana 4 — Preparação para emprego</w:t>
      </w:r>
    </w:p>
    <w:p>
      <w:pPr>
        <w:numPr>
          <w:ilvl w:val="0"/>
          <w:numId w:val="1022"/>
        </w:numPr>
        <w:pStyle w:val="Compact"/>
      </w:pPr>
      <w:r>
        <w:t xml:space="preserve">Pesquise pelo menos 10 vagas reais de designer júnior, artista de produção, assistente de design, designer de marketing, pré-impressão ou produção gráfica.</w:t>
      </w:r>
    </w:p>
    <w:p>
      <w:pPr>
        <w:numPr>
          <w:ilvl w:val="0"/>
          <w:numId w:val="1022"/>
        </w:numPr>
        <w:pStyle w:val="Compact"/>
      </w:pPr>
      <w:r>
        <w:t xml:space="preserve">Monte uma tabela de lacunas de habilidades a partir de requisitos recorrentes.</w:t>
      </w:r>
    </w:p>
    <w:p>
      <w:pPr>
        <w:numPr>
          <w:ilvl w:val="0"/>
          <w:numId w:val="1022"/>
        </w:numPr>
        <w:pStyle w:val="Compact"/>
      </w:pPr>
      <w:r>
        <w:t xml:space="preserve">Atualize a linguagem do currículo e portfólio apenas com habilidades que você consegue demonstrar.</w:t>
      </w:r>
    </w:p>
    <w:p>
      <w:pPr>
        <w:numPr>
          <w:ilvl w:val="0"/>
          <w:numId w:val="1022"/>
        </w:numPr>
        <w:pStyle w:val="Compact"/>
      </w:pPr>
      <w:r>
        <w:t xml:space="preserve">Candidate-se seletivamente e continue trabalhando uma lacuna de aprendizagem específica por semana.</w:t>
      </w:r>
    </w:p>
    <w:bookmarkEnd w:id="49"/>
    <w:bookmarkEnd w:id="50"/>
    <w:bookmarkStart w:id="51" w:name="antes-de-enviar-qualquer-design-final"/>
    <w:p>
      <w:pPr>
        <w:pStyle w:val="Heading2"/>
      </w:pPr>
      <w:r>
        <w:t xml:space="preserve">Antes de enviar qualquer design final</w:t>
      </w:r>
    </w:p>
    <w:p>
      <w:pPr>
        <w:pStyle w:val="FirstParagraph"/>
      </w:pPr>
      <w:r>
        <w:t xml:space="preserve">Verifique:</w:t>
      </w:r>
    </w:p>
    <w:p>
      <w:pPr>
        <w:numPr>
          <w:ilvl w:val="0"/>
          <w:numId w:val="1023"/>
        </w:numPr>
        <w:pStyle w:val="Compact"/>
      </w:pPr>
      <w:r>
        <w:t xml:space="preserve">brief correto e versão aprovada;</w:t>
      </w:r>
    </w:p>
    <w:p>
      <w:pPr>
        <w:numPr>
          <w:ilvl w:val="0"/>
          <w:numId w:val="1023"/>
        </w:numPr>
        <w:pStyle w:val="Compact"/>
      </w:pPr>
      <w:r>
        <w:t xml:space="preserve">ortografia, nomes, datas, preços e texto legal verificados pelo responsável apropriado;</w:t>
      </w:r>
    </w:p>
    <w:p>
      <w:pPr>
        <w:numPr>
          <w:ilvl w:val="0"/>
          <w:numId w:val="1023"/>
        </w:numPr>
        <w:pStyle w:val="Compact"/>
      </w:pPr>
      <w:r>
        <w:t xml:space="preserve">dimensões e formato corretos;</w:t>
      </w:r>
    </w:p>
    <w:p>
      <w:pPr>
        <w:numPr>
          <w:ilvl w:val="0"/>
          <w:numId w:val="1023"/>
        </w:numPr>
        <w:pStyle w:val="Compact"/>
      </w:pPr>
      <w:r>
        <w:t xml:space="preserve">imagens sem baixa resolução visível nem distorção;</w:t>
      </w:r>
    </w:p>
    <w:p>
      <w:pPr>
        <w:numPr>
          <w:ilvl w:val="0"/>
          <w:numId w:val="1023"/>
        </w:numPr>
        <w:pStyle w:val="Compact"/>
      </w:pPr>
      <w:r>
        <w:t xml:space="preserve">fontes e ativos vinculados completos;</w:t>
      </w:r>
    </w:p>
    <w:p>
      <w:pPr>
        <w:numPr>
          <w:ilvl w:val="0"/>
          <w:numId w:val="1023"/>
        </w:numPr>
        <w:pStyle w:val="Compact"/>
      </w:pPr>
      <w:r>
        <w:t xml:space="preserve">configurações de cor/exportação adequadas ao destino;</w:t>
      </w:r>
    </w:p>
    <w:p>
      <w:pPr>
        <w:numPr>
          <w:ilvl w:val="0"/>
          <w:numId w:val="1023"/>
        </w:numPr>
        <w:pStyle w:val="Compact"/>
      </w:pPr>
      <w:r>
        <w:t xml:space="preserve">sangria/áreas seguras quando relevante;</w:t>
      </w:r>
    </w:p>
    <w:p>
      <w:pPr>
        <w:numPr>
          <w:ilvl w:val="0"/>
          <w:numId w:val="1023"/>
        </w:numPr>
        <w:pStyle w:val="Compact"/>
      </w:pPr>
      <w:r>
        <w:t xml:space="preserve">revisão de contraste e considerações de acessibilidade;</w:t>
      </w:r>
    </w:p>
    <w:p>
      <w:pPr>
        <w:numPr>
          <w:ilvl w:val="0"/>
          <w:numId w:val="1023"/>
        </w:numPr>
        <w:pStyle w:val="Compact"/>
      </w:pPr>
      <w:r>
        <w:t xml:space="preserve">direitos/licenças/procedência registrados quando exigido;</w:t>
      </w:r>
    </w:p>
    <w:p>
      <w:pPr>
        <w:numPr>
          <w:ilvl w:val="0"/>
          <w:numId w:val="1023"/>
        </w:numPr>
        <w:pStyle w:val="Compact"/>
      </w:pPr>
      <w:r>
        <w:t xml:space="preserve">ausência de informação confidencial exposta;</w:t>
      </w:r>
    </w:p>
    <w:p>
      <w:pPr>
        <w:numPr>
          <w:ilvl w:val="0"/>
          <w:numId w:val="1023"/>
        </w:numPr>
        <w:pStyle w:val="Compact"/>
      </w:pPr>
      <w:r>
        <w:t xml:space="preserve">nome e versão final do arquivo sem ambiguidade;</w:t>
      </w:r>
    </w:p>
    <w:p>
      <w:pPr>
        <w:numPr>
          <w:ilvl w:val="0"/>
          <w:numId w:val="1023"/>
        </w:numPr>
        <w:pStyle w:val="Compact"/>
      </w:pPr>
      <w:r>
        <w:t xml:space="preserve">processo de aprovação do cliente/empregador seguido.</w:t>
      </w:r>
    </w:p>
    <w:bookmarkEnd w:id="51"/>
    <w:bookmarkStart w:id="65" w:name="X59cc95cfe79c1d5e18de4b9d0b40e72893ca7cd"/>
    <w:p>
      <w:pPr>
        <w:pStyle w:val="Heading2"/>
      </w:pPr>
      <w:r>
        <w:t xml:space="preserve">Fontes a verificar antes de decisões importantes</w:t>
      </w:r>
    </w:p>
    <w:p>
      <w:pPr>
        <w:numPr>
          <w:ilvl w:val="0"/>
          <w:numId w:val="1024"/>
        </w:numPr>
        <w:pStyle w:val="Compact"/>
      </w:pPr>
      <w:r>
        <w:t xml:space="preserve">O*NET Graphic Designers:</w:t>
      </w:r>
      <w:r>
        <w:t xml:space="preserve"> </w:t>
      </w:r>
      <w:hyperlink r:id="rId52">
        <w:hyperlink r:id="rId52">
          <w:r>
            <w:rPr>
              <w:rStyle w:val="Hyperlink"/>
            </w:rPr>
            <w:t xml:space="preserve">Source link</w:t>
          </w:r>
        </w:hyperlink>
      </w:hyperlink>
    </w:p>
    <w:p>
      <w:pPr>
        <w:numPr>
          <w:ilvl w:val="0"/>
          <w:numId w:val="1024"/>
        </w:numPr>
        <w:pStyle w:val="Compact"/>
      </w:pPr>
      <w:r>
        <w:t xml:space="preserve">O*NET/BLS wages:</w:t>
      </w:r>
      <w:r>
        <w:t xml:space="preserve"> </w:t>
      </w:r>
      <w:hyperlink r:id="rId53">
        <w:hyperlink r:id="rId53">
          <w:r>
            <w:rPr>
              <w:rStyle w:val="Hyperlink"/>
            </w:rPr>
            <w:t xml:space="preserve">Source link</w:t>
          </w:r>
        </w:hyperlink>
      </w:hyperlink>
    </w:p>
    <w:p>
      <w:pPr>
        <w:numPr>
          <w:ilvl w:val="0"/>
          <w:numId w:val="1024"/>
        </w:numPr>
        <w:pStyle w:val="Compact"/>
      </w:pPr>
      <w:r>
        <w:t xml:space="preserve">CareerOneStop WIOA finder:</w:t>
      </w:r>
      <w:r>
        <w:t xml:space="preserve"> </w:t>
      </w:r>
      <w:hyperlink r:id="rId54">
        <w:hyperlink r:id="rId54">
          <w:r>
            <w:rPr>
              <w:rStyle w:val="Hyperlink"/>
            </w:rPr>
            <w:t xml:space="preserve">Source link</w:t>
          </w:r>
        </w:hyperlink>
      </w:hyperlink>
    </w:p>
    <w:p>
      <w:pPr>
        <w:numPr>
          <w:ilvl w:val="0"/>
          <w:numId w:val="1024"/>
        </w:numPr>
        <w:pStyle w:val="Compact"/>
      </w:pPr>
      <w:r>
        <w:t xml:space="preserve">CareerOneStop training finder:</w:t>
      </w:r>
      <w:r>
        <w:t xml:space="preserve"> </w:t>
      </w:r>
      <w:hyperlink r:id="rId55">
        <w:hyperlink r:id="rId55">
          <w:r>
            <w:rPr>
              <w:rStyle w:val="Hyperlink"/>
            </w:rPr>
            <w:t xml:space="preserve">Source link</w:t>
          </w:r>
        </w:hyperlink>
      </w:hyperlink>
    </w:p>
    <w:p>
      <w:pPr>
        <w:numPr>
          <w:ilvl w:val="0"/>
          <w:numId w:val="1024"/>
        </w:numPr>
        <w:pStyle w:val="Compact"/>
      </w:pPr>
      <w:r>
        <w:t xml:space="preserve">Canada Job Bank:</w:t>
      </w:r>
      <w:r>
        <w:t xml:space="preserve"> </w:t>
      </w:r>
      <w:hyperlink r:id="rId56">
        <w:hyperlink r:id="rId56">
          <w:r>
            <w:rPr>
              <w:rStyle w:val="Hyperlink"/>
            </w:rPr>
            <w:t xml:space="preserve">Source link</w:t>
          </w:r>
        </w:hyperlink>
      </w:hyperlink>
    </w:p>
    <w:p>
      <w:pPr>
        <w:numPr>
          <w:ilvl w:val="0"/>
          <w:numId w:val="1024"/>
        </w:numPr>
        <w:pStyle w:val="Compact"/>
      </w:pPr>
      <w:r>
        <w:t xml:space="preserve">Canada training gateway:</w:t>
      </w:r>
      <w:r>
        <w:t xml:space="preserve"> </w:t>
      </w:r>
      <w:hyperlink r:id="rId57">
        <w:hyperlink r:id="rId57">
          <w:r>
            <w:rPr>
              <w:rStyle w:val="Hyperlink"/>
            </w:rPr>
            <w:t xml:space="preserve">Source link</w:t>
          </w:r>
        </w:hyperlink>
      </w:hyperlink>
    </w:p>
    <w:p>
      <w:pPr>
        <w:numPr>
          <w:ilvl w:val="0"/>
          <w:numId w:val="1024"/>
        </w:numPr>
        <w:pStyle w:val="Compact"/>
      </w:pPr>
      <w:r>
        <w:t xml:space="preserve">Colombia OCUPACOL:</w:t>
      </w:r>
      <w:r>
        <w:t xml:space="preserve"> </w:t>
      </w:r>
      <w:hyperlink r:id="rId58">
        <w:r>
          <w:rPr>
            <w:rStyle w:val="Hyperlink"/>
          </w:rPr>
          <w:t xml:space="preserve">https://ocupacol.mintrabajo.gov.co/</w:t>
        </w:r>
      </w:hyperlink>
    </w:p>
    <w:p>
      <w:pPr>
        <w:numPr>
          <w:ilvl w:val="0"/>
          <w:numId w:val="1024"/>
        </w:numPr>
        <w:pStyle w:val="Compact"/>
      </w:pPr>
      <w:r>
        <w:t xml:space="preserve">SENA Betowa:</w:t>
      </w:r>
      <w:r>
        <w:t xml:space="preserve"> </w:t>
      </w:r>
      <w:hyperlink r:id="rId59">
        <w:r>
          <w:rPr>
            <w:rStyle w:val="Hyperlink"/>
          </w:rPr>
          <w:t xml:space="preserve">https://betowa.sena.edu.co/</w:t>
        </w:r>
      </w:hyperlink>
    </w:p>
    <w:p>
      <w:pPr>
        <w:numPr>
          <w:ilvl w:val="0"/>
          <w:numId w:val="1024"/>
        </w:numPr>
        <w:pStyle w:val="Compact"/>
      </w:pPr>
      <w:r>
        <w:t xml:space="preserve">OIT/Cinterfor:</w:t>
      </w:r>
      <w:r>
        <w:t xml:space="preserve"> </w:t>
      </w:r>
      <w:hyperlink r:id="rId60">
        <w:r>
          <w:rPr>
            <w:rStyle w:val="Hyperlink"/>
          </w:rPr>
          <w:t xml:space="preserve">https://www.oitcinterfor.org/statsfp/paises</w:t>
        </w:r>
      </w:hyperlink>
    </w:p>
    <w:p>
      <w:pPr>
        <w:numPr>
          <w:ilvl w:val="0"/>
          <w:numId w:val="1024"/>
        </w:numPr>
        <w:pStyle w:val="Compact"/>
      </w:pPr>
      <w:r>
        <w:t xml:space="preserve">U.S. Copyright Office for visual artists:</w:t>
      </w:r>
      <w:r>
        <w:t xml:space="preserve"> </w:t>
      </w:r>
      <w:hyperlink r:id="rId61">
        <w:hyperlink r:id="rId61">
          <w:r>
            <w:rPr>
              <w:rStyle w:val="Hyperlink"/>
            </w:rPr>
            <w:t xml:space="preserve">Source link</w:t>
          </w:r>
        </w:hyperlink>
      </w:hyperlink>
    </w:p>
    <w:p>
      <w:pPr>
        <w:numPr>
          <w:ilvl w:val="0"/>
          <w:numId w:val="1024"/>
        </w:numPr>
        <w:pStyle w:val="Compact"/>
      </w:pPr>
      <w:r>
        <w:t xml:space="preserve">WCAG 2.2:</w:t>
      </w:r>
      <w:r>
        <w:t xml:space="preserve"> </w:t>
      </w:r>
      <w:hyperlink r:id="rId62">
        <w:r>
          <w:rPr>
            <w:rStyle w:val="Hyperlink"/>
          </w:rPr>
          <w:t xml:space="preserve">https://www.w3.org/TR/WCAG22/</w:t>
        </w:r>
      </w:hyperlink>
    </w:p>
    <w:p>
      <w:pPr>
        <w:numPr>
          <w:ilvl w:val="0"/>
          <w:numId w:val="1024"/>
        </w:numPr>
        <w:pStyle w:val="Compact"/>
      </w:pPr>
      <w:r>
        <w:t xml:space="preserve">CISA Secure Our World:</w:t>
      </w:r>
      <w:r>
        <w:t xml:space="preserve"> </w:t>
      </w:r>
      <w:hyperlink r:id="rId63">
        <w:r>
          <w:rPr>
            <w:rStyle w:val="Hyperlink"/>
          </w:rPr>
          <w:t xml:space="preserve">https://www.cisa.gov/secure-our-world</w:t>
        </w:r>
      </w:hyperlink>
    </w:p>
    <w:p>
      <w:pPr>
        <w:numPr>
          <w:ilvl w:val="0"/>
          <w:numId w:val="1024"/>
        </w:numPr>
        <w:pStyle w:val="Compact"/>
      </w:pPr>
      <w:r>
        <w:t xml:space="preserve">NIST AI RMF:</w:t>
      </w:r>
      <w:r>
        <w:t xml:space="preserve"> </w:t>
      </w:r>
      <w:hyperlink r:id="rId64">
        <w:hyperlink r:id="rId64">
          <w:r>
            <w:rPr>
              <w:rStyle w:val="Hyperlink"/>
            </w:rPr>
            <w:t xml:space="preserve">Source link</w:t>
          </w:r>
        </w:hyperlink>
      </w:hyperlink>
    </w:p>
    <w:bookmarkEnd w:id="65"/>
    <w:bookmarkStart w:id="66" w:name="aviso-importante"/>
    <w:p>
      <w:pPr>
        <w:pStyle w:val="Heading2"/>
      </w:pPr>
      <w:r>
        <w:t xml:space="preserve">Aviso importante</w:t>
      </w:r>
    </w:p>
    <w:p>
      <w:pPr>
        <w:pStyle w:val="FirstParagraph"/>
      </w:pPr>
      <w:r>
        <w:t xml:space="preserve">Este guia fornece informações educacionais gerais e de planejamento de carreira. Ele não garante emprego, renda, admissão, financiamento, licenciamento, certificação, colocação em apprenticeship, trabalho freelance, aquisição de clientes ou qualquer outro resultado. Requisitos e oportunidades mudam conforme empregador, jurisdição, provedor e momento.</w:t>
      </w:r>
    </w:p>
    <w:p>
      <w:pPr>
        <w:pStyle w:val="BodyText"/>
      </w:pPr>
      <w:r>
        <w:t xml:space="preserve">Este guia não fornece aconselhamento jurídico, liberação de direitos autorais, certificação de acessibilidade, certificação de cibersegurança, aconselhamento financeiro ou credenciamento profissional. Verifique decisões importantes por meio de fontes oficiais atuais e profissionais qualificados.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betowa.sena.edu.co/" TargetMode="External" /><Relationship Type="http://schemas.openxmlformats.org/officeDocument/2006/relationships/hyperlink" Id="rId58" Target="https://ocupacol.mintrabajo.gov.co/" TargetMode="External" /><Relationship Type="http://schemas.openxmlformats.org/officeDocument/2006/relationships/hyperlink" Id="rId57" Target="https://www.canada.ca/en/services/jobs/training.html" TargetMode="External" /><Relationship Type="http://schemas.openxmlformats.org/officeDocument/2006/relationships/hyperlink" Id="rId55" Target="https://www.careeronestop.org/FindTraining/find-training.aspx"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63" Target="https://www.cisa.gov/secure-our-world" TargetMode="External" /><Relationship Type="http://schemas.openxmlformats.org/officeDocument/2006/relationships/hyperlink" Id="rId61" Target="https://www.copyright.gov/engage/visual-artists/" TargetMode="External" /><Relationship Type="http://schemas.openxmlformats.org/officeDocument/2006/relationships/hyperlink" Id="rId56" Target="https://www.jobbank.gc.ca/marketreport/summary-occupation/5688/ca" TargetMode="External" /><Relationship Type="http://schemas.openxmlformats.org/officeDocument/2006/relationships/hyperlink" Id="rId64" Target="https://www.nist.gov/itl/ai-risk-management-framework" TargetMode="External" /><Relationship Type="http://schemas.openxmlformats.org/officeDocument/2006/relationships/hyperlink" Id="rId60" Target="https://www.oitcinterfor.org/statsfp/paises" TargetMode="External" /><Relationship Type="http://schemas.openxmlformats.org/officeDocument/2006/relationships/hyperlink" Id="rId52" Target="https://www.onetonline.org/link/details/27-1024.00" TargetMode="External" /><Relationship Type="http://schemas.openxmlformats.org/officeDocument/2006/relationships/hyperlink" Id="rId53" Target="https://www.onetonline.org/link/localwages/27-1024.00" TargetMode="External" /><Relationship Type="http://schemas.openxmlformats.org/officeDocument/2006/relationships/hyperlink" Id="rId62"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59" Target="https://betowa.sena.edu.co/" TargetMode="External" /><Relationship Type="http://schemas.openxmlformats.org/officeDocument/2006/relationships/hyperlink" Id="rId58" Target="https://ocupacol.mintrabajo.gov.co/" TargetMode="External" /><Relationship Type="http://schemas.openxmlformats.org/officeDocument/2006/relationships/hyperlink" Id="rId57" Target="https://www.canada.ca/en/services/jobs/training.html" TargetMode="External" /><Relationship Type="http://schemas.openxmlformats.org/officeDocument/2006/relationships/hyperlink" Id="rId55" Target="https://www.careeronestop.org/FindTraining/find-training.aspx" TargetMode="External" /><Relationship Type="http://schemas.openxmlformats.org/officeDocument/2006/relationships/hyperlink" Id="rId54" Target="https://www.careeronestop.org/LocalHelp/EmploymentAndTraining/find-WIOA-training-programs.aspx" TargetMode="External" /><Relationship Type="http://schemas.openxmlformats.org/officeDocument/2006/relationships/hyperlink" Id="rId63" Target="https://www.cisa.gov/secure-our-world" TargetMode="External" /><Relationship Type="http://schemas.openxmlformats.org/officeDocument/2006/relationships/hyperlink" Id="rId61" Target="https://www.copyright.gov/engage/visual-artists/" TargetMode="External" /><Relationship Type="http://schemas.openxmlformats.org/officeDocument/2006/relationships/hyperlink" Id="rId56" Target="https://www.jobbank.gc.ca/marketreport/summary-occupation/5688/ca" TargetMode="External" /><Relationship Type="http://schemas.openxmlformats.org/officeDocument/2006/relationships/hyperlink" Id="rId64" Target="https://www.nist.gov/itl/ai-risk-management-framework" TargetMode="External" /><Relationship Type="http://schemas.openxmlformats.org/officeDocument/2006/relationships/hyperlink" Id="rId60" Target="https://www.oitcinterfor.org/statsfp/paises" TargetMode="External" /><Relationship Type="http://schemas.openxmlformats.org/officeDocument/2006/relationships/hyperlink" Id="rId52" Target="https://www.onetonline.org/link/details/27-1024.00" TargetMode="External" /><Relationship Type="http://schemas.openxmlformats.org/officeDocument/2006/relationships/hyperlink" Id="rId53" Target="https://www.onetonline.org/link/localwages/27-1024.00" TargetMode="External" /><Relationship Type="http://schemas.openxmlformats.org/officeDocument/2006/relationships/hyperlink" Id="rId62"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2026-08-21T23:26:41Z</dcterms:created>
  <dcterms:modified xsi:type="dcterms:W3CDTF">2026-08-21T23:26:41Z</dcterms:modified>
</cp:coreProperties>
</file>

<file path=docProps/custom.xml><?xml version="1.0" encoding="utf-8"?>
<Properties xmlns="http://schemas.openxmlformats.org/officeDocument/2006/custom-properties" xmlns:vt="http://schemas.openxmlformats.org/officeDocument/2006/docPropsVTypes"/>
</file>