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fdb368bc5c020f939466766cd125a6ec806eda1"/>
    <w:p>
      <w:pPr>
        <w:pStyle w:val="Heading1"/>
      </w:pPr>
      <w:r>
        <w:t xml:space="preserve">Guía de Oportunidades de por Vida 77 — Diseñador gráfico y artista de producción</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neutral de América Latina (</w:t>
      </w:r>
      <w:r>
        <w:rPr>
          <w:rStyle w:val="VerbatimChar"/>
        </w:rPr>
        <w:t xml:space="preserve">es-419</w:t>
      </w:r>
      <w:r>
        <w:t xml:space="preserve">)</w:t>
      </w:r>
      <w:r>
        <w:br/>
      </w:r>
      <w:r>
        <w:rPr>
          <w:bCs/>
          <w:b/>
        </w:rPr>
        <w:t xml:space="preserve">Referencia de EE. UU.:</w:t>
      </w:r>
      <w:r>
        <w:t xml:space="preserve"> </w:t>
      </w:r>
      <w:r>
        <w:t xml:space="preserve">O*NET-SOC 27-1024.00 — Graphic Designers</w:t>
      </w:r>
      <w:r>
        <w:br/>
      </w:r>
      <w:r>
        <w:rPr>
          <w:bCs/>
          <w:b/>
        </w:rPr>
        <w:t xml:space="preserve">Comparación de Canadá:</w:t>
      </w:r>
      <w:r>
        <w:t xml:space="preserve"> </w:t>
      </w:r>
      <w:r>
        <w:t xml:space="preserve">NOC 52120 — Graphic designers and illustrators</w:t>
      </w:r>
      <w:r>
        <w:br/>
      </w:r>
      <w:r>
        <w:rPr>
          <w:bCs/>
          <w:b/>
        </w:rPr>
        <w:t xml:space="preserve">Comparación de Colombia:</w:t>
      </w:r>
      <w:r>
        <w:t xml:space="preserve"> </w:t>
      </w:r>
      <w:r>
        <w:t xml:space="preserve">perfiles de diseño gráfico y apoyo a la producción de OCUPACOL alineados con CIUO 2166 / mapeos CNO relacionados</w:t>
      </w:r>
      <w:r>
        <w:br/>
      </w:r>
      <w:r>
        <w:rPr>
          <w:bCs/>
          <w:b/>
        </w:rPr>
        <w:t xml:space="preserve">Fecha de revisión:</w:t>
      </w:r>
      <w:r>
        <w:t xml:space="preserve"> </w:t>
      </w:r>
      <w:r>
        <w:t xml:space="preserve">2026-08-21</w:t>
      </w:r>
    </w:p>
    <w:bookmarkStart w:id="20" w:name="qué-es-esta-carrera"/>
    <w:p>
      <w:pPr>
        <w:pStyle w:val="Heading2"/>
      </w:pPr>
      <w:r>
        <w:t xml:space="preserve">Qué es esta carrera</w:t>
      </w:r>
    </w:p>
    <w:p>
      <w:pPr>
        <w:pStyle w:val="FirstParagraph"/>
      </w:pPr>
      <w:r>
        <w:t xml:space="preserve">Los diseñadores gráficos y los artistas de producción convierten objetivos de comunicación en materiales visuales que pueden producirse con precisión para impresión, medios digitales, empaques, publicidad, presentaciones, redes sociales, señalización, publicaciones, sitios web, campañas y otros canales.</w:t>
      </w:r>
    </w:p>
    <w:p>
      <w:pPr>
        <w:pStyle w:val="BodyText"/>
      </w:pPr>
      <w:r>
        <w:t xml:space="preserve">Los títulos se superponen, pero no son idénticos. Un</w:t>
      </w:r>
      <w:r>
        <w:t xml:space="preserve"> </w:t>
      </w:r>
      <w:r>
        <w:rPr>
          <w:bCs/>
          <w:b/>
        </w:rPr>
        <w:t xml:space="preserve">diseñador gráfico</w:t>
      </w:r>
      <w:r>
        <w:t xml:space="preserve"> </w:t>
      </w:r>
      <w:r>
        <w:t xml:space="preserve">puede dedicar más tiempo al desarrollo de conceptos, composición, tipografía, sistemas visuales, expresión de marca y comunicación con clientes. Un</w:t>
      </w:r>
      <w:r>
        <w:t xml:space="preserve"> </w:t>
      </w:r>
      <w:r>
        <w:rPr>
          <w:bCs/>
          <w:b/>
        </w:rPr>
        <w:t xml:space="preserve">artista de producción</w:t>
      </w:r>
      <w:r>
        <w:t xml:space="preserve"> </w:t>
      </w:r>
      <w:r>
        <w:t xml:space="preserve">suele concentrarse más en preparar conceptos aprobados para una producción confiable: cambiar tamaños, adaptar piezas, verificar especificaciones, corregir archivos, crear variantes, aplicar plantillas, empaquetar recursos, generar exportaciones listas para impresión o para plataformas y controlar versiones. Algunos empleadores combinan ambas responsabilidades.</w:t>
      </w:r>
    </w:p>
    <w:p>
      <w:pPr>
        <w:pStyle w:val="BodyText"/>
      </w:pPr>
      <w:r>
        <w:t xml:space="preserve">Los títulos relacionados pueden incluir diseñador gráfico junior, diseñador visual, diseñador de marketing, artista de preprensa, diseñador de producción, artista de producción digital, diagramador, artefinalista, diseñador multimedia, asistente de diseño y especialista en producción gráfica. Siempre lea la descripción real del puesto, porque la autoridad, el software, los medios y los requisitos de producción varían.</w:t>
      </w:r>
    </w:p>
    <w:bookmarkEnd w:id="20"/>
    <w:bookmarkStart w:id="21" w:name="X346acdf6c862651f65994ba8236d11aa18a322c"/>
    <w:p>
      <w:pPr>
        <w:pStyle w:val="Heading2"/>
      </w:pPr>
      <w:r>
        <w:t xml:space="preserve">Por qué este rol puede ser una oportunidad</w:t>
      </w:r>
    </w:p>
    <w:p>
      <w:pPr>
        <w:pStyle w:val="FirstParagraph"/>
      </w:pPr>
      <w:r>
        <w:t xml:space="preserve">El trabajo combina creatividad con ejecución práctica. Los empleadores valoran a las personas capaces de hacer comprensible la información, seguir especificaciones, aceptar retroalimentación, proteger archivos e información del cliente y entregar activos finales correctos dentro del plazo.</w:t>
      </w:r>
    </w:p>
    <w:p>
      <w:pPr>
        <w:pStyle w:val="BodyText"/>
      </w:pPr>
      <w:r>
        <w:t xml:space="preserve">Las experiencias transferibles pueden provenir de marketing, impresión, fotografía, señalización comercial, comunicaciones de oficina, apoyo en redes sociales, publicaciones, contenido web, servicio al cliente, educación, hotelería, organizaciones comunitarias o trabajo administrativo.</w:t>
      </w:r>
    </w:p>
    <w:p>
      <w:pPr>
        <w:pStyle w:val="BodyText"/>
      </w:pPr>
      <w:r>
        <w:t xml:space="preserve">Una ruta realista de entrada no exige comprar primero todos los programas de software ni cursos costosos. Las personas pueden comenzar con fundamentos de diseño, herramientas gratuitas o de bajo costo, briefs de práctica controlados, proyectos supervisados y un portafolio que demuestre proceso y calidad de producción.</w:t>
      </w:r>
    </w:p>
    <w:bookmarkEnd w:id="21"/>
    <w:bookmarkStart w:id="22" w:name="responsabilidades-principales"/>
    <w:p>
      <w:pPr>
        <w:pStyle w:val="Heading2"/>
      </w:pPr>
      <w:r>
        <w:t xml:space="preserve">Responsabilidades principales</w:t>
      </w:r>
    </w:p>
    <w:p>
      <w:pPr>
        <w:pStyle w:val="FirstParagraph"/>
      </w:pPr>
      <w:r>
        <w:t xml:space="preserve">Según el empleador, un diseñador gráfico o artista de producción puede:</w:t>
      </w:r>
    </w:p>
    <w:p>
      <w:pPr>
        <w:numPr>
          <w:ilvl w:val="0"/>
          <w:numId w:val="1001"/>
        </w:numPr>
        <w:pStyle w:val="Compact"/>
      </w:pPr>
      <w:r>
        <w:t xml:space="preserve">interpretar un brief, una guía de marca, un requisito de campaña o una especificación de producción;</w:t>
      </w:r>
    </w:p>
    <w:p>
      <w:pPr>
        <w:numPr>
          <w:ilvl w:val="0"/>
          <w:numId w:val="1001"/>
        </w:numPr>
        <w:pStyle w:val="Compact"/>
      </w:pPr>
      <w:r>
        <w:t xml:space="preserve">crear o adaptar composiciones para formatos impresos y digitales;</w:t>
      </w:r>
    </w:p>
    <w:p>
      <w:pPr>
        <w:numPr>
          <w:ilvl w:val="0"/>
          <w:numId w:val="1001"/>
        </w:numPr>
        <w:pStyle w:val="Compact"/>
      </w:pPr>
      <w:r>
        <w:t xml:space="preserve">seleccionar o aplicar tipografía, color, imágenes, iconos y jerarquía visual aprobados;</w:t>
      </w:r>
    </w:p>
    <w:p>
      <w:pPr>
        <w:numPr>
          <w:ilvl w:val="0"/>
          <w:numId w:val="1001"/>
        </w:numPr>
        <w:pStyle w:val="Compact"/>
      </w:pPr>
      <w:r>
        <w:t xml:space="preserve">redimensionar y reformatear diseños aprobados para varios canales;</w:t>
      </w:r>
    </w:p>
    <w:p>
      <w:pPr>
        <w:numPr>
          <w:ilvl w:val="0"/>
          <w:numId w:val="1001"/>
        </w:numPr>
        <w:pStyle w:val="Compact"/>
      </w:pPr>
      <w:r>
        <w:t xml:space="preserve">preparar recursos vectoriales y rasterizados con dimensiones y resolución adecuadas;</w:t>
      </w:r>
    </w:p>
    <w:p>
      <w:pPr>
        <w:numPr>
          <w:ilvl w:val="0"/>
          <w:numId w:val="1001"/>
        </w:numPr>
        <w:pStyle w:val="Compact"/>
      </w:pPr>
      <w:r>
        <w:t xml:space="preserve">recortar, retocar, enmascarar, optimizar o corregir color dentro del alcance asignado;</w:t>
      </w:r>
    </w:p>
    <w:p>
      <w:pPr>
        <w:numPr>
          <w:ilvl w:val="0"/>
          <w:numId w:val="1001"/>
        </w:numPr>
        <w:pStyle w:val="Compact"/>
      </w:pPr>
      <w:r>
        <w:t xml:space="preserve">crear archivos listos para impresión con sangrados, márgenes, configuraciones de color y requisitos de empaquetado apropiados;</w:t>
      </w:r>
    </w:p>
    <w:p>
      <w:pPr>
        <w:numPr>
          <w:ilvl w:val="0"/>
          <w:numId w:val="1001"/>
        </w:numPr>
        <w:pStyle w:val="Compact"/>
      </w:pPr>
      <w:r>
        <w:t xml:space="preserve">crear exportaciones digitales que cumplan dimensiones, tamaño de archivo y formato de cada plataforma;</w:t>
      </w:r>
    </w:p>
    <w:p>
      <w:pPr>
        <w:numPr>
          <w:ilvl w:val="0"/>
          <w:numId w:val="1001"/>
        </w:numPr>
        <w:pStyle w:val="Compact"/>
      </w:pPr>
      <w:r>
        <w:t xml:space="preserve">revisar ortografía, alineación, espaciado, consistencia, calidad de imagen y artefactos visibles;</w:t>
      </w:r>
    </w:p>
    <w:p>
      <w:pPr>
        <w:numPr>
          <w:ilvl w:val="0"/>
          <w:numId w:val="1001"/>
        </w:numPr>
        <w:pStyle w:val="Compact"/>
      </w:pPr>
      <w:r>
        <w:t xml:space="preserve">mantener plantillas, bibliotecas, convenciones de nombres e historial de versiones;</w:t>
      </w:r>
    </w:p>
    <w:p>
      <w:pPr>
        <w:numPr>
          <w:ilvl w:val="0"/>
          <w:numId w:val="1001"/>
        </w:numPr>
        <w:pStyle w:val="Compact"/>
      </w:pPr>
      <w:r>
        <w:t xml:space="preserve">administrar rondas de retroalimentación y documentar aprobaciones;</w:t>
      </w:r>
    </w:p>
    <w:p>
      <w:pPr>
        <w:numPr>
          <w:ilvl w:val="0"/>
          <w:numId w:val="1001"/>
        </w:numPr>
        <w:pStyle w:val="Compact"/>
      </w:pPr>
      <w:r>
        <w:t xml:space="preserve">verificar que recursos vinculados, fuentes, imágenes y licencias estén disponibles para uso autorizado;</w:t>
      </w:r>
    </w:p>
    <w:p>
      <w:pPr>
        <w:numPr>
          <w:ilvl w:val="0"/>
          <w:numId w:val="1001"/>
        </w:numPr>
        <w:pStyle w:val="Compact"/>
      </w:pPr>
      <w:r>
        <w:t xml:space="preserve">preparar pruebas y compararlas con el material fuente aprobado;</w:t>
      </w:r>
    </w:p>
    <w:p>
      <w:pPr>
        <w:numPr>
          <w:ilvl w:val="0"/>
          <w:numId w:val="1001"/>
        </w:numPr>
        <w:pStyle w:val="Compact"/>
      </w:pPr>
      <w:r>
        <w:t xml:space="preserve">apoyar diseño accesible y una entrega consciente de accesibilidad;</w:t>
      </w:r>
    </w:p>
    <w:p>
      <w:pPr>
        <w:numPr>
          <w:ilvl w:val="0"/>
          <w:numId w:val="1001"/>
        </w:numPr>
        <w:pStyle w:val="Compact"/>
      </w:pPr>
      <w:r>
        <w:t xml:space="preserve">coordinar con marketing, comunicaciones, impresores, equipos web, proveedores, clientes o gerentes de proyecto;</w:t>
      </w:r>
    </w:p>
    <w:p>
      <w:pPr>
        <w:numPr>
          <w:ilvl w:val="0"/>
          <w:numId w:val="1001"/>
        </w:numPr>
        <w:pStyle w:val="Compact"/>
      </w:pPr>
      <w:r>
        <w:t xml:space="preserve">archivar archivos fuente aprobados y finales según la política de la organización.</w:t>
      </w:r>
    </w:p>
    <w:bookmarkEnd w:id="22"/>
    <w:bookmarkStart w:id="26" w:name="X1a87d6cec10d20f57cb13ef902460f489ac30cf"/>
    <w:p>
      <w:pPr>
        <w:pStyle w:val="Heading2"/>
      </w:pPr>
      <w:r>
        <w:t xml:space="preserve">Diseño gráfico, arte de producción y preprensa son alcances diferentes</w:t>
      </w:r>
    </w:p>
    <w:bookmarkStart w:id="23" w:name="diseño-gráfico"/>
    <w:p>
      <w:pPr>
        <w:pStyle w:val="Heading3"/>
      </w:pPr>
      <w:r>
        <w:t xml:space="preserve">Diseño gráfico</w:t>
      </w:r>
    </w:p>
    <w:p>
      <w:pPr>
        <w:pStyle w:val="FirstParagraph"/>
      </w:pPr>
      <w:r>
        <w:t xml:space="preserve">Énfasis común:</w:t>
      </w:r>
    </w:p>
    <w:p>
      <w:pPr>
        <w:numPr>
          <w:ilvl w:val="0"/>
          <w:numId w:val="1002"/>
        </w:numPr>
        <w:pStyle w:val="Compact"/>
      </w:pPr>
      <w:r>
        <w:t xml:space="preserve">desarrollo de conceptos;</w:t>
      </w:r>
    </w:p>
    <w:p>
      <w:pPr>
        <w:numPr>
          <w:ilvl w:val="0"/>
          <w:numId w:val="1002"/>
        </w:numPr>
        <w:pStyle w:val="Compact"/>
      </w:pPr>
      <w:r>
        <w:t xml:space="preserve">composición y diagramación;</w:t>
      </w:r>
    </w:p>
    <w:p>
      <w:pPr>
        <w:numPr>
          <w:ilvl w:val="0"/>
          <w:numId w:val="1002"/>
        </w:numPr>
        <w:pStyle w:val="Compact"/>
      </w:pPr>
      <w:r>
        <w:t xml:space="preserve">tipografía;</w:t>
      </w:r>
    </w:p>
    <w:p>
      <w:pPr>
        <w:numPr>
          <w:ilvl w:val="0"/>
          <w:numId w:val="1002"/>
        </w:numPr>
        <w:pStyle w:val="Compact"/>
      </w:pPr>
      <w:r>
        <w:t xml:space="preserve">expresión de marca;</w:t>
      </w:r>
    </w:p>
    <w:p>
      <w:pPr>
        <w:numPr>
          <w:ilvl w:val="0"/>
          <w:numId w:val="1002"/>
        </w:numPr>
        <w:pStyle w:val="Compact"/>
      </w:pPr>
      <w:r>
        <w:t xml:space="preserve">narrativa visual;</w:t>
      </w:r>
    </w:p>
    <w:p>
      <w:pPr>
        <w:numPr>
          <w:ilvl w:val="0"/>
          <w:numId w:val="1002"/>
        </w:numPr>
        <w:pStyle w:val="Compact"/>
      </w:pPr>
      <w:r>
        <w:t xml:space="preserve">sistemas de diseño;</w:t>
      </w:r>
    </w:p>
    <w:p>
      <w:pPr>
        <w:numPr>
          <w:ilvl w:val="0"/>
          <w:numId w:val="1002"/>
        </w:numPr>
        <w:pStyle w:val="Compact"/>
      </w:pPr>
      <w:r>
        <w:t xml:space="preserve">presentaciones a clientes o partes interesadas;</w:t>
      </w:r>
    </w:p>
    <w:p>
      <w:pPr>
        <w:numPr>
          <w:ilvl w:val="0"/>
          <w:numId w:val="1002"/>
        </w:numPr>
        <w:pStyle w:val="Compact"/>
      </w:pPr>
      <w:r>
        <w:t xml:space="preserve">desarrollo creativo iterativo.</w:t>
      </w:r>
    </w:p>
    <w:bookmarkEnd w:id="23"/>
    <w:bookmarkStart w:id="24" w:name="arte-de-producción"/>
    <w:p>
      <w:pPr>
        <w:pStyle w:val="Heading3"/>
      </w:pPr>
      <w:r>
        <w:t xml:space="preserve">Arte de producción</w:t>
      </w:r>
    </w:p>
    <w:p>
      <w:pPr>
        <w:pStyle w:val="FirstParagraph"/>
      </w:pPr>
      <w:r>
        <w:t xml:space="preserve">Énfasis común:</w:t>
      </w:r>
    </w:p>
    <w:p>
      <w:pPr>
        <w:numPr>
          <w:ilvl w:val="0"/>
          <w:numId w:val="1003"/>
        </w:numPr>
        <w:pStyle w:val="Compact"/>
      </w:pPr>
      <w:r>
        <w:t xml:space="preserve">adaptación de conceptos aprobados;</w:t>
      </w:r>
    </w:p>
    <w:p>
      <w:pPr>
        <w:numPr>
          <w:ilvl w:val="0"/>
          <w:numId w:val="1003"/>
        </w:numPr>
        <w:pStyle w:val="Compact"/>
      </w:pPr>
      <w:r>
        <w:t xml:space="preserve">creación de múltiples tamaños o versiones por idioma;</w:t>
      </w:r>
    </w:p>
    <w:p>
      <w:pPr>
        <w:numPr>
          <w:ilvl w:val="0"/>
          <w:numId w:val="1003"/>
        </w:numPr>
        <w:pStyle w:val="Compact"/>
      </w:pPr>
      <w:r>
        <w:t xml:space="preserve">producción basada en plantillas;</w:t>
      </w:r>
    </w:p>
    <w:p>
      <w:pPr>
        <w:numPr>
          <w:ilvl w:val="0"/>
          <w:numId w:val="1003"/>
        </w:numPr>
        <w:pStyle w:val="Compact"/>
      </w:pPr>
      <w:r>
        <w:t xml:space="preserve">cumplimiento exacto de especificaciones;</w:t>
      </w:r>
    </w:p>
    <w:p>
      <w:pPr>
        <w:numPr>
          <w:ilvl w:val="0"/>
          <w:numId w:val="1003"/>
        </w:numPr>
        <w:pStyle w:val="Compact"/>
      </w:pPr>
      <w:r>
        <w:t xml:space="preserve">limpieza de archivos;</w:t>
      </w:r>
    </w:p>
    <w:p>
      <w:pPr>
        <w:numPr>
          <w:ilvl w:val="0"/>
          <w:numId w:val="1003"/>
        </w:numPr>
        <w:pStyle w:val="Compact"/>
      </w:pPr>
      <w:r>
        <w:t xml:space="preserve">empaquetado de recursos;</w:t>
      </w:r>
    </w:p>
    <w:p>
      <w:pPr>
        <w:numPr>
          <w:ilvl w:val="0"/>
          <w:numId w:val="1003"/>
        </w:numPr>
        <w:pStyle w:val="Compact"/>
      </w:pPr>
      <w:r>
        <w:t xml:space="preserve">control de versiones;</w:t>
      </w:r>
    </w:p>
    <w:p>
      <w:pPr>
        <w:numPr>
          <w:ilvl w:val="0"/>
          <w:numId w:val="1003"/>
        </w:numPr>
        <w:pStyle w:val="Compact"/>
      </w:pPr>
      <w:r>
        <w:t xml:space="preserve">pruebas y revisiones de salida final.</w:t>
      </w:r>
    </w:p>
    <w:bookmarkEnd w:id="24"/>
    <w:bookmarkStart w:id="25" w:name="preprensa-o-apoyo-a-producción-impresa"/>
    <w:p>
      <w:pPr>
        <w:pStyle w:val="Heading3"/>
      </w:pPr>
      <w:r>
        <w:t xml:space="preserve">Preprensa o apoyo a producción impresa</w:t>
      </w:r>
    </w:p>
    <w:p>
      <w:pPr>
        <w:pStyle w:val="FirstParagraph"/>
      </w:pPr>
      <w:r>
        <w:t xml:space="preserve">Énfasis común:</w:t>
      </w:r>
    </w:p>
    <w:p>
      <w:pPr>
        <w:numPr>
          <w:ilvl w:val="0"/>
          <w:numId w:val="1004"/>
        </w:numPr>
        <w:pStyle w:val="Compact"/>
      </w:pPr>
      <w:r>
        <w:t xml:space="preserve">especificaciones de impresión;</w:t>
      </w:r>
    </w:p>
    <w:p>
      <w:pPr>
        <w:numPr>
          <w:ilvl w:val="0"/>
          <w:numId w:val="1004"/>
        </w:numPr>
        <w:pStyle w:val="Compact"/>
      </w:pPr>
      <w:r>
        <w:t xml:space="preserve">sangrado, corte, recorte y áreas seguras;</w:t>
      </w:r>
    </w:p>
    <w:p>
      <w:pPr>
        <w:numPr>
          <w:ilvl w:val="0"/>
          <w:numId w:val="1004"/>
        </w:numPr>
        <w:pStyle w:val="Compact"/>
      </w:pPr>
      <w:r>
        <w:t xml:space="preserve">requisitos de espacio de color y separaciones;</w:t>
      </w:r>
    </w:p>
    <w:p>
      <w:pPr>
        <w:numPr>
          <w:ilvl w:val="0"/>
          <w:numId w:val="1004"/>
        </w:numPr>
        <w:pStyle w:val="Compact"/>
      </w:pPr>
      <w:r>
        <w:t xml:space="preserve">resolución de imagen;</w:t>
      </w:r>
    </w:p>
    <w:p>
      <w:pPr>
        <w:numPr>
          <w:ilvl w:val="0"/>
          <w:numId w:val="1004"/>
        </w:numPr>
        <w:pStyle w:val="Compact"/>
      </w:pPr>
      <w:r>
        <w:t xml:space="preserve">fuentes y recursos vinculados;</w:t>
      </w:r>
    </w:p>
    <w:p>
      <w:pPr>
        <w:numPr>
          <w:ilvl w:val="0"/>
          <w:numId w:val="1004"/>
        </w:numPr>
        <w:pStyle w:val="Compact"/>
      </w:pPr>
      <w:r>
        <w:t xml:space="preserve">trapping o requisitos específicos de la imprenta cuando correspondan;</w:t>
      </w:r>
    </w:p>
    <w:p>
      <w:pPr>
        <w:numPr>
          <w:ilvl w:val="0"/>
          <w:numId w:val="1004"/>
        </w:numPr>
        <w:pStyle w:val="Compact"/>
      </w:pPr>
      <w:r>
        <w:t xml:space="preserve">revisión de pruebas y entrega al proveedor.</w:t>
      </w:r>
    </w:p>
    <w:p>
      <w:pPr>
        <w:pStyle w:val="FirstParagraph"/>
      </w:pPr>
      <w:r>
        <w:t xml:space="preserve">Estas diferencias son prácticas, no universales. Los empleadores pueden combinarlas o usar otros nombres.</w:t>
      </w:r>
    </w:p>
    <w:bookmarkEnd w:id="25"/>
    <w:bookmarkEnd w:id="26"/>
    <w:bookmarkStart w:id="30" w:name="habilidades-que-valoran-los-empleadores"/>
    <w:p>
      <w:pPr>
        <w:pStyle w:val="Heading2"/>
      </w:pPr>
      <w:r>
        <w:t xml:space="preserve">Habilidades que valoran los empleadores</w:t>
      </w:r>
    </w:p>
    <w:bookmarkStart w:id="27" w:name="fundamentos-de-diseño"/>
    <w:p>
      <w:pPr>
        <w:pStyle w:val="Heading3"/>
      </w:pPr>
      <w:r>
        <w:t xml:space="preserve">Fundamentos de diseño</w:t>
      </w:r>
    </w:p>
    <w:p>
      <w:pPr>
        <w:numPr>
          <w:ilvl w:val="0"/>
          <w:numId w:val="1005"/>
        </w:numPr>
        <w:pStyle w:val="Compact"/>
      </w:pPr>
      <w:r>
        <w:t xml:space="preserve">jerarquía visual;</w:t>
      </w:r>
    </w:p>
    <w:p>
      <w:pPr>
        <w:numPr>
          <w:ilvl w:val="0"/>
          <w:numId w:val="1005"/>
        </w:numPr>
        <w:pStyle w:val="Compact"/>
      </w:pPr>
      <w:r>
        <w:t xml:space="preserve">alineación y espaciado;</w:t>
      </w:r>
    </w:p>
    <w:p>
      <w:pPr>
        <w:numPr>
          <w:ilvl w:val="0"/>
          <w:numId w:val="1005"/>
        </w:numPr>
        <w:pStyle w:val="Compact"/>
      </w:pPr>
      <w:r>
        <w:t xml:space="preserve">composición;</w:t>
      </w:r>
    </w:p>
    <w:p>
      <w:pPr>
        <w:numPr>
          <w:ilvl w:val="0"/>
          <w:numId w:val="1005"/>
        </w:numPr>
        <w:pStyle w:val="Compact"/>
      </w:pPr>
      <w:r>
        <w:t xml:space="preserve">tipografía;</w:t>
      </w:r>
    </w:p>
    <w:p>
      <w:pPr>
        <w:numPr>
          <w:ilvl w:val="0"/>
          <w:numId w:val="1005"/>
        </w:numPr>
        <w:pStyle w:val="Compact"/>
      </w:pPr>
      <w:r>
        <w:t xml:space="preserve">teoría del color;</w:t>
      </w:r>
    </w:p>
    <w:p>
      <w:pPr>
        <w:numPr>
          <w:ilvl w:val="0"/>
          <w:numId w:val="1005"/>
        </w:numPr>
        <w:pStyle w:val="Compact"/>
      </w:pPr>
      <w:r>
        <w:t xml:space="preserve">cuadrículas y sistemas de diagramación;</w:t>
      </w:r>
    </w:p>
    <w:p>
      <w:pPr>
        <w:numPr>
          <w:ilvl w:val="0"/>
          <w:numId w:val="1005"/>
        </w:numPr>
        <w:pStyle w:val="Compact"/>
      </w:pPr>
      <w:r>
        <w:t xml:space="preserve">selección y recorte de imágenes;</w:t>
      </w:r>
    </w:p>
    <w:p>
      <w:pPr>
        <w:numPr>
          <w:ilvl w:val="0"/>
          <w:numId w:val="1005"/>
        </w:numPr>
        <w:pStyle w:val="Compact"/>
      </w:pPr>
      <w:r>
        <w:t xml:space="preserve">consistencia de marca;</w:t>
      </w:r>
    </w:p>
    <w:p>
      <w:pPr>
        <w:numPr>
          <w:ilvl w:val="0"/>
          <w:numId w:val="1005"/>
        </w:numPr>
        <w:pStyle w:val="Compact"/>
      </w:pPr>
      <w:r>
        <w:t xml:space="preserve">claridad de información;</w:t>
      </w:r>
    </w:p>
    <w:p>
      <w:pPr>
        <w:numPr>
          <w:ilvl w:val="0"/>
          <w:numId w:val="1005"/>
        </w:numPr>
        <w:pStyle w:val="Compact"/>
      </w:pPr>
      <w:r>
        <w:t xml:space="preserve">conciencia básica de accesibilidad.</w:t>
      </w:r>
    </w:p>
    <w:bookmarkEnd w:id="27"/>
    <w:bookmarkStart w:id="28" w:name="fundamentos-de-producción"/>
    <w:p>
      <w:pPr>
        <w:pStyle w:val="Heading3"/>
      </w:pPr>
      <w:r>
        <w:t xml:space="preserve">Fundamentos de producción</w:t>
      </w:r>
    </w:p>
    <w:p>
      <w:pPr>
        <w:numPr>
          <w:ilvl w:val="0"/>
          <w:numId w:val="1006"/>
        </w:numPr>
        <w:pStyle w:val="Compact"/>
      </w:pPr>
      <w:r>
        <w:t xml:space="preserve">conceptos de vector frente a raster;</w:t>
      </w:r>
    </w:p>
    <w:p>
      <w:pPr>
        <w:numPr>
          <w:ilvl w:val="0"/>
          <w:numId w:val="1006"/>
        </w:numPr>
        <w:pStyle w:val="Compact"/>
      </w:pPr>
      <w:r>
        <w:t xml:space="preserve">formatos comunes como PDF, SVG, PNG, JPEG, TIFF y archivos nativos de trabajo;</w:t>
      </w:r>
    </w:p>
    <w:p>
      <w:pPr>
        <w:numPr>
          <w:ilvl w:val="0"/>
          <w:numId w:val="1006"/>
        </w:numPr>
        <w:pStyle w:val="Compact"/>
      </w:pPr>
      <w:r>
        <w:t xml:space="preserve">resolución y tamaño de salida;</w:t>
      </w:r>
    </w:p>
    <w:p>
      <w:pPr>
        <w:numPr>
          <w:ilvl w:val="0"/>
          <w:numId w:val="1006"/>
        </w:numPr>
        <w:pStyle w:val="Compact"/>
      </w:pPr>
      <w:r>
        <w:t xml:space="preserve">diferencias de color para impresión y pantalla;</w:t>
      </w:r>
    </w:p>
    <w:p>
      <w:pPr>
        <w:numPr>
          <w:ilvl w:val="0"/>
          <w:numId w:val="1006"/>
        </w:numPr>
        <w:pStyle w:val="Compact"/>
      </w:pPr>
      <w:r>
        <w:t xml:space="preserve">sangrado, corte, márgenes y áreas seguras;</w:t>
      </w:r>
    </w:p>
    <w:p>
      <w:pPr>
        <w:numPr>
          <w:ilvl w:val="0"/>
          <w:numId w:val="1006"/>
        </w:numPr>
        <w:pStyle w:val="Compact"/>
      </w:pPr>
      <w:r>
        <w:t xml:space="preserve">compresión y optimización;</w:t>
      </w:r>
    </w:p>
    <w:p>
      <w:pPr>
        <w:numPr>
          <w:ilvl w:val="0"/>
          <w:numId w:val="1006"/>
        </w:numPr>
        <w:pStyle w:val="Compact"/>
      </w:pPr>
      <w:r>
        <w:t xml:space="preserve">recursos vinculados y fuentes;</w:t>
      </w:r>
    </w:p>
    <w:p>
      <w:pPr>
        <w:numPr>
          <w:ilvl w:val="0"/>
          <w:numId w:val="1006"/>
        </w:numPr>
        <w:pStyle w:val="Compact"/>
      </w:pPr>
      <w:r>
        <w:t xml:space="preserve">convenciones de nombres;</w:t>
      </w:r>
    </w:p>
    <w:p>
      <w:pPr>
        <w:numPr>
          <w:ilvl w:val="0"/>
          <w:numId w:val="1006"/>
        </w:numPr>
        <w:pStyle w:val="Compact"/>
      </w:pPr>
      <w:r>
        <w:t xml:space="preserve">control de versiones;</w:t>
      </w:r>
    </w:p>
    <w:p>
      <w:pPr>
        <w:numPr>
          <w:ilvl w:val="0"/>
          <w:numId w:val="1006"/>
        </w:numPr>
        <w:pStyle w:val="Compact"/>
      </w:pPr>
      <w:r>
        <w:t xml:space="preserve">registros de pruebas y aprobaciones.</w:t>
      </w:r>
    </w:p>
    <w:bookmarkEnd w:id="28"/>
    <w:bookmarkStart w:id="29" w:name="habilidades-profesionales"/>
    <w:p>
      <w:pPr>
        <w:pStyle w:val="Heading3"/>
      </w:pPr>
      <w:r>
        <w:t xml:space="preserve">Habilidades profesionales</w:t>
      </w:r>
    </w:p>
    <w:p>
      <w:pPr>
        <w:numPr>
          <w:ilvl w:val="0"/>
          <w:numId w:val="1007"/>
        </w:numPr>
        <w:pStyle w:val="Compact"/>
      </w:pPr>
      <w:r>
        <w:t xml:space="preserve">escuchar el brief;</w:t>
      </w:r>
    </w:p>
    <w:p>
      <w:pPr>
        <w:numPr>
          <w:ilvl w:val="0"/>
          <w:numId w:val="1007"/>
        </w:numPr>
        <w:pStyle w:val="Compact"/>
      </w:pPr>
      <w:r>
        <w:t xml:space="preserve">formular preguntas precisas;</w:t>
      </w:r>
    </w:p>
    <w:p>
      <w:pPr>
        <w:numPr>
          <w:ilvl w:val="0"/>
          <w:numId w:val="1007"/>
        </w:numPr>
        <w:pStyle w:val="Compact"/>
      </w:pPr>
      <w:r>
        <w:t xml:space="preserve">manejar retroalimentación sin perder requisitos;</w:t>
      </w:r>
    </w:p>
    <w:p>
      <w:pPr>
        <w:numPr>
          <w:ilvl w:val="0"/>
          <w:numId w:val="1007"/>
        </w:numPr>
        <w:pStyle w:val="Compact"/>
      </w:pPr>
      <w:r>
        <w:t xml:space="preserve">gestionar fechas límite;</w:t>
      </w:r>
    </w:p>
    <w:p>
      <w:pPr>
        <w:numPr>
          <w:ilvl w:val="0"/>
          <w:numId w:val="1007"/>
        </w:numPr>
        <w:pStyle w:val="Compact"/>
      </w:pPr>
      <w:r>
        <w:t xml:space="preserve">estimar esfuerzo;</w:t>
      </w:r>
    </w:p>
    <w:p>
      <w:pPr>
        <w:numPr>
          <w:ilvl w:val="0"/>
          <w:numId w:val="1007"/>
        </w:numPr>
        <w:pStyle w:val="Compact"/>
      </w:pPr>
      <w:r>
        <w:t xml:space="preserve">documentar cambios;</w:t>
      </w:r>
    </w:p>
    <w:p>
      <w:pPr>
        <w:numPr>
          <w:ilvl w:val="0"/>
          <w:numId w:val="1007"/>
        </w:numPr>
        <w:pStyle w:val="Compact"/>
      </w:pPr>
      <w:r>
        <w:t xml:space="preserve">colaborar con personas que no son diseñadoras;</w:t>
      </w:r>
    </w:p>
    <w:p>
      <w:pPr>
        <w:numPr>
          <w:ilvl w:val="0"/>
          <w:numId w:val="1007"/>
        </w:numPr>
        <w:pStyle w:val="Compact"/>
      </w:pPr>
      <w:r>
        <w:t xml:space="preserve">escalar preguntas de derechos de autor, accesibilidad, asuntos legales o políticas de marca en lugar de adivinar.</w:t>
      </w:r>
    </w:p>
    <w:bookmarkEnd w:id="29"/>
    <w:bookmarkEnd w:id="30"/>
    <w:bookmarkStart w:id="31" w:name="tecnología"/>
    <w:p>
      <w:pPr>
        <w:pStyle w:val="Heading2"/>
      </w:pPr>
      <w:r>
        <w:t xml:space="preserve">Tecnología</w:t>
      </w:r>
    </w:p>
    <w:p>
      <w:pPr>
        <w:pStyle w:val="FirstParagraph"/>
      </w:pPr>
      <w:r>
        <w:t xml:space="preserve">Los productos específicos varían. Los empleadores pueden usar herramientas comerciales o de código abierto para:</w:t>
      </w:r>
    </w:p>
    <w:p>
      <w:pPr>
        <w:numPr>
          <w:ilvl w:val="0"/>
          <w:numId w:val="1008"/>
        </w:numPr>
        <w:pStyle w:val="Compact"/>
      </w:pPr>
      <w:r>
        <w:t xml:space="preserve">ilustración vectorial;</w:t>
      </w:r>
    </w:p>
    <w:p>
      <w:pPr>
        <w:numPr>
          <w:ilvl w:val="0"/>
          <w:numId w:val="1008"/>
        </w:numPr>
        <w:pStyle w:val="Compact"/>
      </w:pPr>
      <w:r>
        <w:t xml:space="preserve">edición de imágenes;</w:t>
      </w:r>
    </w:p>
    <w:p>
      <w:pPr>
        <w:numPr>
          <w:ilvl w:val="0"/>
          <w:numId w:val="1008"/>
        </w:numPr>
        <w:pStyle w:val="Compact"/>
      </w:pPr>
      <w:r>
        <w:t xml:space="preserve">diagramación de páginas;</w:t>
      </w:r>
    </w:p>
    <w:p>
      <w:pPr>
        <w:numPr>
          <w:ilvl w:val="0"/>
          <w:numId w:val="1008"/>
        </w:numPr>
        <w:pStyle w:val="Compact"/>
      </w:pPr>
      <w:r>
        <w:t xml:space="preserve">presentaciones;</w:t>
      </w:r>
    </w:p>
    <w:p>
      <w:pPr>
        <w:numPr>
          <w:ilvl w:val="0"/>
          <w:numId w:val="1008"/>
        </w:numPr>
        <w:pStyle w:val="Compact"/>
      </w:pPr>
      <w:r>
        <w:t xml:space="preserve">diseño web y de interfaces;</w:t>
      </w:r>
    </w:p>
    <w:p>
      <w:pPr>
        <w:numPr>
          <w:ilvl w:val="0"/>
          <w:numId w:val="1008"/>
        </w:numPr>
        <w:pStyle w:val="Compact"/>
      </w:pPr>
      <w:r>
        <w:t xml:space="preserve">gestión de activos digitales;</w:t>
      </w:r>
    </w:p>
    <w:p>
      <w:pPr>
        <w:numPr>
          <w:ilvl w:val="0"/>
          <w:numId w:val="1008"/>
        </w:numPr>
        <w:pStyle w:val="Compact"/>
      </w:pPr>
      <w:r>
        <w:t xml:space="preserve">gestión de proyectos;</w:t>
      </w:r>
    </w:p>
    <w:p>
      <w:pPr>
        <w:numPr>
          <w:ilvl w:val="0"/>
          <w:numId w:val="1008"/>
        </w:numPr>
        <w:pStyle w:val="Compact"/>
      </w:pPr>
      <w:r>
        <w:t xml:space="preserve">pruebas y anotaciones;</w:t>
      </w:r>
    </w:p>
    <w:p>
      <w:pPr>
        <w:numPr>
          <w:ilvl w:val="0"/>
          <w:numId w:val="1008"/>
        </w:numPr>
        <w:pStyle w:val="Compact"/>
      </w:pPr>
      <w:r>
        <w:t xml:space="preserve">intercambio de archivos en la nube;</w:t>
      </w:r>
    </w:p>
    <w:p>
      <w:pPr>
        <w:numPr>
          <w:ilvl w:val="0"/>
          <w:numId w:val="1008"/>
        </w:numPr>
        <w:pStyle w:val="Compact"/>
      </w:pPr>
      <w:r>
        <w:t xml:space="preserve">administración de fuentes;</w:t>
      </w:r>
    </w:p>
    <w:p>
      <w:pPr>
        <w:numPr>
          <w:ilvl w:val="0"/>
          <w:numId w:val="1008"/>
        </w:numPr>
        <w:pStyle w:val="Compact"/>
      </w:pPr>
      <w:r>
        <w:t xml:space="preserve">pizarras colaborativas;</w:t>
      </w:r>
    </w:p>
    <w:p>
      <w:pPr>
        <w:numPr>
          <w:ilvl w:val="0"/>
          <w:numId w:val="1008"/>
        </w:numPr>
        <w:pStyle w:val="Compact"/>
      </w:pPr>
      <w:r>
        <w:t xml:space="preserve">asistencia aprobada con IA generativa.</w:t>
      </w:r>
    </w:p>
    <w:p>
      <w:pPr>
        <w:pStyle w:val="FirstParagraph"/>
      </w:pPr>
      <w:r>
        <w:t xml:space="preserve">Los conceptos transferibles importan más que memorizar un solo producto. Aprenda cómo funcionan capas, máscaras, mesas de trabajo/páginas, tipografía, color, recursos vinculados, configuraciones de exportación, empaquetado de archivos, permisos e historial de versiones.</w:t>
      </w:r>
    </w:p>
    <w:bookmarkEnd w:id="31"/>
    <w:bookmarkStart w:id="32" w:name="diseño-consciente-de-accesibilidad"/>
    <w:p>
      <w:pPr>
        <w:pStyle w:val="Heading2"/>
      </w:pPr>
      <w:r>
        <w:t xml:space="preserve">Diseño consciente de accesibilidad</w:t>
      </w:r>
    </w:p>
    <w:p>
      <w:pPr>
        <w:pStyle w:val="FirstParagraph"/>
      </w:pPr>
      <w:r>
        <w:t xml:space="preserve">La accesibilidad debe considerarse durante el diseño, no únicamente después de la producción.</w:t>
      </w:r>
    </w:p>
    <w:p>
      <w:pPr>
        <w:pStyle w:val="BodyText"/>
      </w:pPr>
      <w:r>
        <w:t xml:space="preserve">WCAG 2.2 incluye requisitos de contraste relevantes para diseño digital. En casos comunes, el texto normal debe alcanzar al menos</w:t>
      </w:r>
      <w:r>
        <w:t xml:space="preserve"> </w:t>
      </w:r>
      <w:r>
        <w:rPr>
          <w:bCs/>
          <w:b/>
        </w:rPr>
        <w:t xml:space="preserve">4.5:1</w:t>
      </w:r>
      <w:r>
        <w:t xml:space="preserve"> </w:t>
      </w:r>
      <w:r>
        <w:t xml:space="preserve">de contraste y el texto grande al menos</w:t>
      </w:r>
      <w:r>
        <w:t xml:space="preserve"> </w:t>
      </w:r>
      <w:r>
        <w:rPr>
          <w:bCs/>
          <w:b/>
        </w:rPr>
        <w:t xml:space="preserve">3:1</w:t>
      </w:r>
      <w:r>
        <w:t xml:space="preserve">, sujeto a las excepciones de WCAG. Los objetos gráficos significativos y los componentes de interfaz de usuario comúnmente requieren</w:t>
      </w:r>
      <w:r>
        <w:t xml:space="preserve"> </w:t>
      </w:r>
      <w:r>
        <w:rPr>
          <w:bCs/>
          <w:b/>
        </w:rPr>
        <w:t xml:space="preserve">3:1</w:t>
      </w:r>
      <w:r>
        <w:t xml:space="preserve"> </w:t>
      </w:r>
      <w:r>
        <w:t xml:space="preserve">de contraste respecto de colores adyacentes bajo SC 1.4.11, sujeto a excepciones.</w:t>
      </w:r>
    </w:p>
    <w:p>
      <w:pPr>
        <w:pStyle w:val="BodyText"/>
      </w:pPr>
      <w:r>
        <w:t xml:space="preserve">Buenas prácticas incluyen:</w:t>
      </w:r>
    </w:p>
    <w:p>
      <w:pPr>
        <w:numPr>
          <w:ilvl w:val="0"/>
          <w:numId w:val="1009"/>
        </w:numPr>
        <w:pStyle w:val="Compact"/>
      </w:pPr>
      <w:r>
        <w:t xml:space="preserve">no depender únicamente del color para comunicar significado;</w:t>
      </w:r>
    </w:p>
    <w:p>
      <w:pPr>
        <w:numPr>
          <w:ilvl w:val="0"/>
          <w:numId w:val="1009"/>
        </w:numPr>
        <w:pStyle w:val="Compact"/>
      </w:pPr>
      <w:r>
        <w:t xml:space="preserve">usar tamaños de texto y espaciado legibles para el medio correspondiente;</w:t>
      </w:r>
    </w:p>
    <w:p>
      <w:pPr>
        <w:numPr>
          <w:ilvl w:val="0"/>
          <w:numId w:val="1009"/>
        </w:numPr>
        <w:pStyle w:val="Compact"/>
      </w:pPr>
      <w:r>
        <w:t xml:space="preserve">mantener contraste suficiente entre texto y fondo;</w:t>
      </w:r>
    </w:p>
    <w:p>
      <w:pPr>
        <w:numPr>
          <w:ilvl w:val="0"/>
          <w:numId w:val="1009"/>
        </w:numPr>
        <w:pStyle w:val="Compact"/>
      </w:pPr>
      <w:r>
        <w:t xml:space="preserve">evitar colocar texto esencial dentro de imágenes cuando texto real pueda comunicar lo mismo;</w:t>
      </w:r>
    </w:p>
    <w:p>
      <w:pPr>
        <w:numPr>
          <w:ilvl w:val="0"/>
          <w:numId w:val="1009"/>
        </w:numPr>
        <w:pStyle w:val="Compact"/>
      </w:pPr>
      <w:r>
        <w:t xml:space="preserve">preservar orden de lectura y estructura de encabezados al entregar documentos o contenido web;</w:t>
      </w:r>
    </w:p>
    <w:p>
      <w:pPr>
        <w:numPr>
          <w:ilvl w:val="0"/>
          <w:numId w:val="1009"/>
        </w:numPr>
        <w:pStyle w:val="Compact"/>
      </w:pPr>
      <w:r>
        <w:t xml:space="preserve">proporcionar orientación significativa para texto alternativo o descripciones de recursos al equipo responsable de la implementación;</w:t>
      </w:r>
    </w:p>
    <w:p>
      <w:pPr>
        <w:numPr>
          <w:ilvl w:val="0"/>
          <w:numId w:val="1009"/>
        </w:numPr>
        <w:pStyle w:val="Compact"/>
      </w:pPr>
      <w:r>
        <w:t xml:space="preserve">diseñar gráficos, diagramas e instrucciones para que sigan siendo comprensibles con percepción de color reducida;</w:t>
      </w:r>
    </w:p>
    <w:p>
      <w:pPr>
        <w:numPr>
          <w:ilvl w:val="0"/>
          <w:numId w:val="1009"/>
        </w:numPr>
        <w:pStyle w:val="Compact"/>
      </w:pPr>
      <w:r>
        <w:t xml:space="preserve">verificar zoom, reflujo y uso en pantallas pequeñas cuando corresponda;</w:t>
      </w:r>
    </w:p>
    <w:p>
      <w:pPr>
        <w:numPr>
          <w:ilvl w:val="0"/>
          <w:numId w:val="1009"/>
        </w:numPr>
        <w:pStyle w:val="Compact"/>
      </w:pPr>
      <w:r>
        <w:t xml:space="preserve">coordinar requisitos de accesibilidad con el desarrollador, especialista documental, responsable de accesibilidad o cliente correspondiente.</w:t>
      </w:r>
    </w:p>
    <w:p>
      <w:pPr>
        <w:pStyle w:val="FirstParagraph"/>
      </w:pPr>
      <w:r>
        <w:t xml:space="preserve">Un diseñador no debe afirmar que un producto cumple WCAG o que es legalmente accesible basándose únicamente en una revisión visual. La accesibilidad depende de implementación, contenido, interacción, comportamiento con tecnologías de asistencia, jurisdicción y pruebas.</w:t>
      </w:r>
    </w:p>
    <w:bookmarkEnd w:id="32"/>
    <w:bookmarkStart w:id="33" w:name="X38d576e5279f936deafb522572dc1ea5b5ba6f3"/>
    <w:p>
      <w:pPr>
        <w:pStyle w:val="Heading2"/>
      </w:pPr>
      <w:r>
        <w:t xml:space="preserve">Derechos de autor, licencias, marcas y autorizaciones</w:t>
      </w:r>
    </w:p>
    <w:p>
      <w:pPr>
        <w:pStyle w:val="FirstParagraph"/>
      </w:pPr>
      <w:r>
        <w:t xml:space="preserve">El trabajo de diseño suele combinar materiales de varias fuentes. Antes de usar un activo, determine si es:</w:t>
      </w:r>
    </w:p>
    <w:p>
      <w:pPr>
        <w:numPr>
          <w:ilvl w:val="0"/>
          <w:numId w:val="1010"/>
        </w:numPr>
        <w:pStyle w:val="Compact"/>
      </w:pPr>
      <w:r>
        <w:t xml:space="preserve">creado por usted dentro de su alcance autorizado de trabajo;</w:t>
      </w:r>
    </w:p>
    <w:p>
      <w:pPr>
        <w:numPr>
          <w:ilvl w:val="0"/>
          <w:numId w:val="1010"/>
        </w:numPr>
        <w:pStyle w:val="Compact"/>
      </w:pPr>
      <w:r>
        <w:t xml:space="preserve">suministrado por el cliente o empleador;</w:t>
      </w:r>
    </w:p>
    <w:p>
      <w:pPr>
        <w:numPr>
          <w:ilvl w:val="0"/>
          <w:numId w:val="1010"/>
        </w:numPr>
        <w:pStyle w:val="Compact"/>
      </w:pPr>
      <w:r>
        <w:t xml:space="preserve">material de stock con licencia;</w:t>
      </w:r>
    </w:p>
    <w:p>
      <w:pPr>
        <w:numPr>
          <w:ilvl w:val="0"/>
          <w:numId w:val="1010"/>
        </w:numPr>
        <w:pStyle w:val="Compact"/>
      </w:pPr>
      <w:r>
        <w:t xml:space="preserve">material de dominio público;</w:t>
      </w:r>
    </w:p>
    <w:p>
      <w:pPr>
        <w:numPr>
          <w:ilvl w:val="0"/>
          <w:numId w:val="1010"/>
        </w:numPr>
        <w:pStyle w:val="Compact"/>
      </w:pPr>
      <w:r>
        <w:t xml:space="preserve">contenido cubierto por una licencia abierta apropiada;</w:t>
      </w:r>
    </w:p>
    <w:p>
      <w:pPr>
        <w:numPr>
          <w:ilvl w:val="0"/>
          <w:numId w:val="1010"/>
        </w:numPr>
        <w:pStyle w:val="Compact"/>
      </w:pPr>
      <w:r>
        <w:t xml:space="preserve">una fuente tipográfica cuya licencia permite el uso previsto;</w:t>
      </w:r>
    </w:p>
    <w:p>
      <w:pPr>
        <w:numPr>
          <w:ilvl w:val="0"/>
          <w:numId w:val="1010"/>
        </w:numPr>
        <w:pStyle w:val="Compact"/>
      </w:pPr>
      <w:r>
        <w:t xml:space="preserve">una marca o activo de marca sujeto a reglas;</w:t>
      </w:r>
    </w:p>
    <w:p>
      <w:pPr>
        <w:numPr>
          <w:ilvl w:val="0"/>
          <w:numId w:val="1010"/>
        </w:numPr>
        <w:pStyle w:val="Compact"/>
      </w:pPr>
      <w:r>
        <w:t xml:space="preserve">una fotografía o imagen de una persona que pueda requerir permiso o autorización de modelo/propiedad según el contexto.</w:t>
      </w:r>
    </w:p>
    <w:p>
      <w:pPr>
        <w:pStyle w:val="FirstParagraph"/>
      </w:pPr>
      <w:r>
        <w:t xml:space="preserve">Mantenga registros de fuente y licencia cuando la organización los exija. No asuma que encontrar una imagen en internet significa que puede usarse libremente. No elimine marcas de agua, no fabrique licencias ni represente falsamente la autoría.</w:t>
      </w:r>
    </w:p>
    <w:p>
      <w:pPr>
        <w:pStyle w:val="BodyText"/>
      </w:pPr>
      <w:r>
        <w:t xml:space="preserve">Las preguntas sobre derechos de autor y marcas pueden tener consecuencias legales. Cuando los derechos no estén claros, escale al cliente, empleador, proceso de gestión de derechos, equipo de compras o profesional jurídico calificado.</w:t>
      </w:r>
    </w:p>
    <w:bookmarkEnd w:id="33"/>
    <w:bookmarkStart w:id="34" w:name="Xdfa858b99d20e6d6b11be403b73eb3fc132c6dd"/>
    <w:p>
      <w:pPr>
        <w:pStyle w:val="Heading2"/>
      </w:pPr>
      <w:r>
        <w:t xml:space="preserve">Privacidad, confidencialidad y ciberseguridad</w:t>
      </w:r>
    </w:p>
    <w:p>
      <w:pPr>
        <w:pStyle w:val="FirstParagraph"/>
      </w:pPr>
      <w:r>
        <w:t xml:space="preserve">Los archivos de diseño pueden contener información confidencial de productos, campañas aún no publicadas, datos de clientes, información de empleados, datos de ejecutivos, calendarios de eventos, fotografías, credenciales o plantillas propietarias.</w:t>
      </w:r>
    </w:p>
    <w:p>
      <w:pPr>
        <w:pStyle w:val="BodyText"/>
      </w:pPr>
      <w:r>
        <w:t xml:space="preserve">Controles prácticos incluyen:</w:t>
      </w:r>
    </w:p>
    <w:p>
      <w:pPr>
        <w:numPr>
          <w:ilvl w:val="0"/>
          <w:numId w:val="1011"/>
        </w:numPr>
        <w:pStyle w:val="Compact"/>
      </w:pPr>
      <w:r>
        <w:t xml:space="preserve">usar sistemas de almacenamiento y transferencia aprobados por el empleador o cliente;</w:t>
      </w:r>
    </w:p>
    <w:p>
      <w:pPr>
        <w:numPr>
          <w:ilvl w:val="0"/>
          <w:numId w:val="1011"/>
        </w:numPr>
        <w:pStyle w:val="Compact"/>
      </w:pPr>
      <w:r>
        <w:t xml:space="preserve">habilitar MFA cuando esté disponible;</w:t>
      </w:r>
    </w:p>
    <w:p>
      <w:pPr>
        <w:numPr>
          <w:ilvl w:val="0"/>
          <w:numId w:val="1011"/>
        </w:numPr>
        <w:pStyle w:val="Compact"/>
      </w:pPr>
      <w:r>
        <w:t xml:space="preserve">usar contraseñas únicas o un administrador de contraseñas aprobado;</w:t>
      </w:r>
    </w:p>
    <w:p>
      <w:pPr>
        <w:numPr>
          <w:ilvl w:val="0"/>
          <w:numId w:val="1011"/>
        </w:numPr>
        <w:pStyle w:val="Compact"/>
      </w:pPr>
      <w:r>
        <w:t xml:space="preserve">verificar solicitudes inesperadas de credenciales, transferencias, facturas o nuevos destinos de intercambio de archivos;</w:t>
      </w:r>
    </w:p>
    <w:p>
      <w:pPr>
        <w:numPr>
          <w:ilvl w:val="0"/>
          <w:numId w:val="1011"/>
        </w:numPr>
        <w:pStyle w:val="Compact"/>
      </w:pPr>
      <w:r>
        <w:t xml:space="preserve">restringir enlaces compartidos a la audiencia prevista;</w:t>
      </w:r>
    </w:p>
    <w:p>
      <w:pPr>
        <w:numPr>
          <w:ilvl w:val="0"/>
          <w:numId w:val="1011"/>
        </w:numPr>
        <w:pStyle w:val="Compact"/>
      </w:pPr>
      <w:r>
        <w:t xml:space="preserve">no publicar trabajo del cliente antes de recibir autorización;</w:t>
      </w:r>
    </w:p>
    <w:p>
      <w:pPr>
        <w:numPr>
          <w:ilvl w:val="0"/>
          <w:numId w:val="1011"/>
        </w:numPr>
        <w:pStyle w:val="Compact"/>
      </w:pPr>
      <w:r>
        <w:t xml:space="preserve">retirar acceso cuando termine un proyecto si forma parte de su responsabilidad;</w:t>
      </w:r>
    </w:p>
    <w:p>
      <w:pPr>
        <w:numPr>
          <w:ilvl w:val="0"/>
          <w:numId w:val="1011"/>
        </w:numPr>
        <w:pStyle w:val="Compact"/>
      </w:pPr>
      <w:r>
        <w:t xml:space="preserve">evitar correo personal o servicios de intercambio de archivos de consumo para trabajo protegido, salvo aprobación explícita;</w:t>
      </w:r>
    </w:p>
    <w:p>
      <w:pPr>
        <w:numPr>
          <w:ilvl w:val="0"/>
          <w:numId w:val="1011"/>
        </w:numPr>
        <w:pStyle w:val="Compact"/>
      </w:pPr>
      <w:r>
        <w:t xml:space="preserve">informar rápidamente phishing, malware, compromiso de cuenta o exposición accidental sospechada;</w:t>
      </w:r>
    </w:p>
    <w:p>
      <w:pPr>
        <w:numPr>
          <w:ilvl w:val="0"/>
          <w:numId w:val="1011"/>
        </w:numPr>
        <w:pStyle w:val="Compact"/>
      </w:pPr>
      <w:r>
        <w:t xml:space="preserve">mantener software y complementos aprobados actualizados conforme a la política de la organización.</w:t>
      </w:r>
    </w:p>
    <w:p>
      <w:pPr>
        <w:pStyle w:val="FirstParagraph"/>
      </w:pPr>
      <w:r>
        <w:t xml:space="preserve">La orientación Secure Our World de CISA respalda conciencia frente al phishing, contraseñas fuertes/administradores de contraseñas, MFA y actualizaciones de software.</w:t>
      </w:r>
    </w:p>
    <w:bookmarkEnd w:id="34"/>
    <w:bookmarkStart w:id="35" w:name="uso-responsable-de-ia-generativa"/>
    <w:p>
      <w:pPr>
        <w:pStyle w:val="Heading2"/>
      </w:pPr>
      <w:r>
        <w:t xml:space="preserve">Uso responsable de IA generativa</w:t>
      </w:r>
    </w:p>
    <w:p>
      <w:pPr>
        <w:pStyle w:val="FirstParagraph"/>
      </w:pPr>
      <w:r>
        <w:t xml:space="preserve">La IA puede ayudar con ideación, conceptos preliminares, alternativas de composición, borradores de texto o activos de práctica no sensibles cuando la política lo permita. No elimina la responsabilidad profesional.</w:t>
      </w:r>
    </w:p>
    <w:p>
      <w:pPr>
        <w:pStyle w:val="BodyText"/>
      </w:pPr>
      <w:r>
        <w:t xml:space="preserve">Antes de usar resultados asistidos por IA, verifique:</w:t>
      </w:r>
    </w:p>
    <w:p>
      <w:pPr>
        <w:numPr>
          <w:ilvl w:val="0"/>
          <w:numId w:val="1012"/>
        </w:numPr>
        <w:pStyle w:val="Compact"/>
      </w:pPr>
      <w:r>
        <w:t xml:space="preserve">afirmaciones factuales;</w:t>
      </w:r>
    </w:p>
    <w:p>
      <w:pPr>
        <w:numPr>
          <w:ilvl w:val="0"/>
          <w:numId w:val="1012"/>
        </w:numPr>
        <w:pStyle w:val="Compact"/>
      </w:pPr>
      <w:r>
        <w:t xml:space="preserve">cumplimiento de marca;</w:t>
      </w:r>
    </w:p>
    <w:p>
      <w:pPr>
        <w:numPr>
          <w:ilvl w:val="0"/>
          <w:numId w:val="1012"/>
        </w:numPr>
        <w:pStyle w:val="Compact"/>
      </w:pPr>
      <w:r>
        <w:t xml:space="preserve">aprobación del cliente;</w:t>
      </w:r>
    </w:p>
    <w:p>
      <w:pPr>
        <w:numPr>
          <w:ilvl w:val="0"/>
          <w:numId w:val="1012"/>
        </w:numPr>
        <w:pStyle w:val="Compact"/>
      </w:pPr>
      <w:r>
        <w:t xml:space="preserve">implicaciones de derechos de autor y licencias;</w:t>
      </w:r>
    </w:p>
    <w:p>
      <w:pPr>
        <w:numPr>
          <w:ilvl w:val="0"/>
          <w:numId w:val="1012"/>
        </w:numPr>
        <w:pStyle w:val="Compact"/>
      </w:pPr>
      <w:r>
        <w:t xml:space="preserve">requisitos de procedencia;</w:t>
      </w:r>
    </w:p>
    <w:p>
      <w:pPr>
        <w:numPr>
          <w:ilvl w:val="0"/>
          <w:numId w:val="1012"/>
        </w:numPr>
        <w:pStyle w:val="Compact"/>
      </w:pPr>
      <w:r>
        <w:t xml:space="preserve">preocupaciones de identidad o semejanza;</w:t>
      </w:r>
    </w:p>
    <w:p>
      <w:pPr>
        <w:numPr>
          <w:ilvl w:val="0"/>
          <w:numId w:val="1012"/>
        </w:numPr>
        <w:pStyle w:val="Compact"/>
      </w:pPr>
      <w:r>
        <w:t xml:space="preserve">accesibilidad;</w:t>
      </w:r>
    </w:p>
    <w:p>
      <w:pPr>
        <w:numPr>
          <w:ilvl w:val="0"/>
          <w:numId w:val="1012"/>
        </w:numPr>
        <w:pStyle w:val="Compact"/>
      </w:pPr>
      <w:r>
        <w:t xml:space="preserve">ortografía y texto incrustado;</w:t>
      </w:r>
    </w:p>
    <w:p>
      <w:pPr>
        <w:numPr>
          <w:ilvl w:val="0"/>
          <w:numId w:val="1012"/>
        </w:numPr>
        <w:pStyle w:val="Compact"/>
      </w:pPr>
      <w:r>
        <w:t xml:space="preserve">artefactos visuales;</w:t>
      </w:r>
    </w:p>
    <w:p>
      <w:pPr>
        <w:numPr>
          <w:ilvl w:val="0"/>
          <w:numId w:val="1012"/>
        </w:numPr>
        <w:pStyle w:val="Compact"/>
      </w:pPr>
      <w:r>
        <w:t xml:space="preserve">especificaciones de producción;</w:t>
      </w:r>
    </w:p>
    <w:p>
      <w:pPr>
        <w:numPr>
          <w:ilvl w:val="0"/>
          <w:numId w:val="1012"/>
        </w:numPr>
        <w:pStyle w:val="Compact"/>
      </w:pPr>
      <w:r>
        <w:t xml:space="preserve">si el empleador, cliente, contrato o plataforma exige divulgación.</w:t>
      </w:r>
    </w:p>
    <w:p>
      <w:pPr>
        <w:pStyle w:val="FirstParagraph"/>
      </w:pPr>
      <w:r>
        <w:t xml:space="preserve">No cargue activos confidenciales del cliente, contratos privados, credenciales, información de productos aún no publicados, datos personales ni información empresarial protegida en un servicio de IA no aprobado.</w:t>
      </w:r>
    </w:p>
    <w:p>
      <w:pPr>
        <w:pStyle w:val="BodyText"/>
      </w:pPr>
      <w:r>
        <w:t xml:space="preserve">El AI Risk Management Framework y el Generative AI Profile de NIST ofrecen orientación voluntaria para gestión de riesgos. Una regla práctica para esta carrera es:</w:t>
      </w:r>
      <w:r>
        <w:t xml:space="preserve"> </w:t>
      </w:r>
      <w:r>
        <w:rPr>
          <w:bCs/>
          <w:b/>
        </w:rPr>
        <w:t xml:space="preserve">la IA puede ayudar al proceso, pero una persona autorizada debe verificar el trabajo final y sus derechos, hechos, accesibilidad y preparación para producción.</w:t>
      </w:r>
    </w:p>
    <w:bookmarkEnd w:id="35"/>
    <w:bookmarkStart w:id="36" w:name="X2e40e8b476a4f61d95f2f6df22dd9e800baac25"/>
    <w:p>
      <w:pPr>
        <w:pStyle w:val="Heading2"/>
      </w:pPr>
      <w:r>
        <w:t xml:space="preserve">Educación y rutas de entrada — Estados Unidos</w:t>
      </w:r>
    </w:p>
    <w:p>
      <w:pPr>
        <w:pStyle w:val="FirstParagraph"/>
      </w:pPr>
      <w:r>
        <w:t xml:space="preserve">Las expectativas educativas varían. Muchos puestos completos de diseñador gráfico prefieren o exigen una licenciatura o preparación equivalente, pero los puestos junior, de producción, preprensa, diseño de marketing y apoyo pueden aceptar diferentes combinaciones de certificados, estudios de nivel asociado, calidad de portafolio, experiencia de producción y habilidades demostradas.</w:t>
      </w:r>
    </w:p>
    <w:p>
      <w:pPr>
        <w:pStyle w:val="BodyText"/>
      </w:pPr>
      <w:r>
        <w:t xml:space="preserve">Una secuencia de bajo costo puede ser:</w:t>
      </w:r>
    </w:p>
    <w:p>
      <w:pPr>
        <w:numPr>
          <w:ilvl w:val="0"/>
          <w:numId w:val="1013"/>
        </w:numPr>
        <w:pStyle w:val="Compact"/>
      </w:pPr>
      <w:r>
        <w:t xml:space="preserve">aprender fundamentos de tipografía, diagramación, color, vector/raster y formatos de archivo;</w:t>
      </w:r>
    </w:p>
    <w:p>
      <w:pPr>
        <w:numPr>
          <w:ilvl w:val="0"/>
          <w:numId w:val="1013"/>
        </w:numPr>
        <w:pStyle w:val="Compact"/>
      </w:pPr>
      <w:r>
        <w:t xml:space="preserve">practicar con software gratuito o de bajo costo antes de comprometerse con suscripciones costosas;</w:t>
      </w:r>
    </w:p>
    <w:p>
      <w:pPr>
        <w:numPr>
          <w:ilvl w:val="0"/>
          <w:numId w:val="1013"/>
        </w:numPr>
        <w:pStyle w:val="Compact"/>
      </w:pPr>
      <w:r>
        <w:t xml:space="preserve">crear briefs de portafolio controlados usando contenido ficticio o debidamente licenciado;</w:t>
      </w:r>
    </w:p>
    <w:p>
      <w:pPr>
        <w:numPr>
          <w:ilvl w:val="0"/>
          <w:numId w:val="1013"/>
        </w:numPr>
        <w:pStyle w:val="Compact"/>
      </w:pPr>
      <w:r>
        <w:t xml:space="preserve">aprender requisitos de exportación para impresión y medios digitales;</w:t>
      </w:r>
    </w:p>
    <w:p>
      <w:pPr>
        <w:numPr>
          <w:ilvl w:val="0"/>
          <w:numId w:val="1013"/>
        </w:numPr>
        <w:pStyle w:val="Compact"/>
      </w:pPr>
      <w:r>
        <w:t xml:space="preserve">agregar comprobaciones de accesibilidad y derechos de autor a cada proyecto;</w:t>
      </w:r>
    </w:p>
    <w:p>
      <w:pPr>
        <w:numPr>
          <w:ilvl w:val="0"/>
          <w:numId w:val="1013"/>
        </w:numPr>
        <w:pStyle w:val="Compact"/>
      </w:pPr>
      <w:r>
        <w:t xml:space="preserve">completar proyectos supervisados, voluntarios, de prácticas, campus, organizaciones sin fines de lucro o aprobados por el empleador cuando corresponda;</w:t>
      </w:r>
    </w:p>
    <w:p>
      <w:pPr>
        <w:numPr>
          <w:ilvl w:val="0"/>
          <w:numId w:val="1013"/>
        </w:numPr>
        <w:pStyle w:val="Compact"/>
      </w:pPr>
      <w:r>
        <w:t xml:space="preserve">solicitar puestos de asistente de diseño, diseñador junior, artista de producción, preprensa, producción de marketing o producción digital;</w:t>
      </w:r>
    </w:p>
    <w:p>
      <w:pPr>
        <w:numPr>
          <w:ilvl w:val="0"/>
          <w:numId w:val="1013"/>
        </w:numPr>
        <w:pStyle w:val="Compact"/>
      </w:pPr>
      <w:r>
        <w:t xml:space="preserve">profundizar una especialidad después de recibir retroalimentación real de producción.</w:t>
      </w:r>
    </w:p>
    <w:bookmarkEnd w:id="36"/>
    <w:bookmarkStart w:id="37" w:name="X3f79efcc7c8e35456cd0c3ee4ed324e55a20644"/>
    <w:p>
      <w:pPr>
        <w:pStyle w:val="Heading2"/>
      </w:pPr>
      <w:r>
        <w:t xml:space="preserve">Financiamiento, capacitación gratuita/de bajo costo, becas y aprendizaje basado en el trabajo — Estados Unidos</w:t>
      </w:r>
    </w:p>
    <w:p>
      <w:pPr>
        <w:pStyle w:val="FirstParagraph"/>
      </w:pPr>
      <w:r>
        <w:t xml:space="preserve">CareerOneStop ofrece un Local Training Finder y directorios estatales de programas de capacitación elegibles para WIOA. El financiamiento WIOA no es automático; la elegibilidad y los proveedores aprobados varían. Un American Job Center puede explicar reglas locales y servicios de apoyo.</w:t>
      </w:r>
    </w:p>
    <w:p>
      <w:pPr>
        <w:pStyle w:val="BodyText"/>
      </w:pPr>
      <w:r>
        <w:t xml:space="preserve">Términos de búsqueda útiles incluyen graphic design, visual communication, digital media, prepress, multimedia, web design, marketing design y production art.</w:t>
      </w:r>
    </w:p>
    <w:p>
      <w:pPr>
        <w:pStyle w:val="BodyText"/>
      </w:pPr>
      <w:r>
        <w:t xml:space="preserve">También busque en CareerOneStop e instituciones locales:</w:t>
      </w:r>
    </w:p>
    <w:p>
      <w:pPr>
        <w:numPr>
          <w:ilvl w:val="0"/>
          <w:numId w:val="1014"/>
        </w:numPr>
        <w:pStyle w:val="Compact"/>
      </w:pPr>
      <w:r>
        <w:t xml:space="preserve">becas y subvenciones;</w:t>
      </w:r>
    </w:p>
    <w:p>
      <w:pPr>
        <w:numPr>
          <w:ilvl w:val="0"/>
          <w:numId w:val="1014"/>
        </w:numPr>
        <w:pStyle w:val="Compact"/>
      </w:pPr>
      <w:r>
        <w:t xml:space="preserve">certificados de community college;</w:t>
      </w:r>
    </w:p>
    <w:p>
      <w:pPr>
        <w:numPr>
          <w:ilvl w:val="0"/>
          <w:numId w:val="1014"/>
        </w:numPr>
        <w:pStyle w:val="Compact"/>
      </w:pPr>
      <w:r>
        <w:t xml:space="preserve">programas financiados por sistemas de fuerza laboral;</w:t>
      </w:r>
    </w:p>
    <w:p>
      <w:pPr>
        <w:numPr>
          <w:ilvl w:val="0"/>
          <w:numId w:val="1014"/>
        </w:numPr>
        <w:pStyle w:val="Compact"/>
      </w:pPr>
      <w:r>
        <w:t xml:space="preserve">prácticas;</w:t>
      </w:r>
    </w:p>
    <w:p>
      <w:pPr>
        <w:numPr>
          <w:ilvl w:val="0"/>
          <w:numId w:val="1014"/>
        </w:numPr>
        <w:pStyle w:val="Compact"/>
      </w:pPr>
      <w:r>
        <w:t xml:space="preserve">puestos junior remunerados de producción;</w:t>
      </w:r>
    </w:p>
    <w:p>
      <w:pPr>
        <w:numPr>
          <w:ilvl w:val="0"/>
          <w:numId w:val="1014"/>
        </w:numPr>
        <w:pStyle w:val="Compact"/>
      </w:pPr>
      <w:r>
        <w:t xml:space="preserve">asistencia de matrícula del empleador;</w:t>
      </w:r>
    </w:p>
    <w:p>
      <w:pPr>
        <w:numPr>
          <w:ilvl w:val="0"/>
          <w:numId w:val="1014"/>
        </w:numPr>
        <w:pStyle w:val="Compact"/>
      </w:pPr>
      <w:r>
        <w:t xml:space="preserve">opciones de apprenticeship.</w:t>
      </w:r>
    </w:p>
    <w:p>
      <w:pPr>
        <w:pStyle w:val="FirstParagraph"/>
      </w:pPr>
      <w:r>
        <w:t xml:space="preserve">La disponibilidad de Registered Apprenticeship formal en diseño gráfico varía y no debe suponerse. Las prácticas, el trabajo supervisado de producción, los puestos junior y la capacitación del empleador pueden ser rutas más comunes de aprendizaje basado en el trabajo.</w:t>
      </w:r>
    </w:p>
    <w:bookmarkEnd w:id="37"/>
    <w:bookmarkStart w:id="38" w:name="rutas-en-canadá"/>
    <w:p>
      <w:pPr>
        <w:pStyle w:val="Heading2"/>
      </w:pPr>
      <w:r>
        <w:t xml:space="preserve">Rutas en Canadá</w:t>
      </w:r>
    </w:p>
    <w:p>
      <w:pPr>
        <w:pStyle w:val="FirstParagraph"/>
      </w:pPr>
      <w:r>
        <w:t xml:space="preserve">Job Bank de Canadá clasifica</w:t>
      </w:r>
      <w:r>
        <w:t xml:space="preserve"> </w:t>
      </w:r>
      <w:r>
        <w:rPr>
          <w:bCs/>
          <w:b/>
        </w:rPr>
        <w:t xml:space="preserve">Graphic designers and illustrators</w:t>
      </w:r>
      <w:r>
        <w:t xml:space="preserve"> </w:t>
      </w:r>
      <w:r>
        <w:t xml:space="preserve">como</w:t>
      </w:r>
      <w:r>
        <w:t xml:space="preserve"> </w:t>
      </w:r>
      <w:r>
        <w:rPr>
          <w:bCs/>
          <w:b/>
        </w:rPr>
        <w:t xml:space="preserve">NOC 52120</w:t>
      </w:r>
      <w:r>
        <w:t xml:space="preserve">. Job Bank informa salarios nacionales actualizados el 19 de noviembre de 2025 de</w:t>
      </w:r>
      <w:r>
        <w:t xml:space="preserve"> </w:t>
      </w:r>
      <w:r>
        <w:rPr>
          <w:bCs/>
          <w:b/>
        </w:rPr>
        <w:t xml:space="preserve">C$20.00/hora como bajo, C$31.25/hora como mediana y C$52.88/hora como alto</w:t>
      </w:r>
      <w:r>
        <w:t xml:space="preserve">. El período nacional de referencia es 2023–2024.</w:t>
      </w:r>
    </w:p>
    <w:p>
      <w:pPr>
        <w:pStyle w:val="BodyText"/>
      </w:pPr>
      <w:r>
        <w:t xml:space="preserve">Las expectativas de educación y experiencia varían por empleador y provincia. Antes de pagar capacitación, verifique:</w:t>
      </w:r>
    </w:p>
    <w:p>
      <w:pPr>
        <w:numPr>
          <w:ilvl w:val="0"/>
          <w:numId w:val="1015"/>
        </w:numPr>
        <w:pStyle w:val="Compact"/>
      </w:pPr>
      <w:r>
        <w:t xml:space="preserve">si el programa es reconocido por el empleador o la ruta objetivo;</w:t>
      </w:r>
    </w:p>
    <w:p>
      <w:pPr>
        <w:numPr>
          <w:ilvl w:val="0"/>
          <w:numId w:val="1015"/>
        </w:numPr>
        <w:pStyle w:val="Compact"/>
      </w:pPr>
      <w:r>
        <w:t xml:space="preserve">requisitos de portafolio;</w:t>
      </w:r>
    </w:p>
    <w:p>
      <w:pPr>
        <w:numPr>
          <w:ilvl w:val="0"/>
          <w:numId w:val="1015"/>
        </w:numPr>
        <w:pStyle w:val="Compact"/>
      </w:pPr>
      <w:r>
        <w:t xml:space="preserve">costos de software y equipos;</w:t>
      </w:r>
    </w:p>
    <w:p>
      <w:pPr>
        <w:numPr>
          <w:ilvl w:val="0"/>
          <w:numId w:val="1015"/>
        </w:numPr>
        <w:pStyle w:val="Compact"/>
      </w:pPr>
      <w:r>
        <w:t xml:space="preserve">opciones de prácticas o aprendizaje integrado al trabajo;</w:t>
      </w:r>
    </w:p>
    <w:p>
      <w:pPr>
        <w:numPr>
          <w:ilvl w:val="0"/>
          <w:numId w:val="1015"/>
        </w:numPr>
        <w:pStyle w:val="Compact"/>
      </w:pPr>
      <w:r>
        <w:t xml:space="preserve">condiciones actuales del mercado laboral provincial.</w:t>
      </w:r>
    </w:p>
    <w:p>
      <w:pPr>
        <w:pStyle w:val="FirstParagraph"/>
      </w:pPr>
      <w:r>
        <w:t xml:space="preserve">Canada.ca ofrece portales de capacitación, ayuda estudiantil, subvenciones/préstamos, experiencia laboral y apoyo provincial/territorial. La elegibilidad no está garantizada.</w:t>
      </w:r>
    </w:p>
    <w:bookmarkEnd w:id="38"/>
    <w:bookmarkStart w:id="39" w:name="rutas-en-colombia"/>
    <w:p>
      <w:pPr>
        <w:pStyle w:val="Heading2"/>
      </w:pPr>
      <w:r>
        <w:t xml:space="preserve">Rutas en Colombia</w:t>
      </w:r>
    </w:p>
    <w:p>
      <w:pPr>
        <w:pStyle w:val="FirstParagraph"/>
      </w:pPr>
      <w:r>
        <w:t xml:space="preserve">OCUPACOL incluye perfiles de</w:t>
      </w:r>
      <w:r>
        <w:t xml:space="preserve"> </w:t>
      </w:r>
      <w:r>
        <w:rPr>
          <w:bCs/>
          <w:b/>
        </w:rPr>
        <w:t xml:space="preserve">Diseñadores gráficos</w:t>
      </w:r>
      <w:r>
        <w:t xml:space="preserve">,</w:t>
      </w:r>
      <w:r>
        <w:t xml:space="preserve"> </w:t>
      </w:r>
      <w:r>
        <w:rPr>
          <w:bCs/>
          <w:b/>
        </w:rPr>
        <w:t xml:space="preserve">Diseñadores gráficos y multimedia</w:t>
      </w:r>
      <w:r>
        <w:t xml:space="preserve">,</w:t>
      </w:r>
      <w:r>
        <w:t xml:space="preserve"> </w:t>
      </w:r>
      <w:r>
        <w:rPr>
          <w:bCs/>
          <w:b/>
        </w:rPr>
        <w:t xml:space="preserve">Auxiliar de diseño gráfico</w:t>
      </w:r>
      <w:r>
        <w:t xml:space="preserve"> </w:t>
      </w:r>
      <w:r>
        <w:t xml:space="preserve">y</w:t>
      </w:r>
      <w:r>
        <w:t xml:space="preserve"> </w:t>
      </w:r>
      <w:r>
        <w:rPr>
          <w:bCs/>
          <w:b/>
        </w:rPr>
        <w:t xml:space="preserve">Auxiliar de producción gráfica</w:t>
      </w:r>
      <w:r>
        <w:t xml:space="preserve">. Estos perfiles ayudan a comparar responsabilidades de diseñador y de apoyo a la producción.</w:t>
      </w:r>
    </w:p>
    <w:p>
      <w:pPr>
        <w:pStyle w:val="BodyText"/>
      </w:pPr>
      <w:r>
        <w:t xml:space="preserve">SENA Betowa ofrece opciones vigentes de aprendizaje que pueden incluir:</w:t>
      </w:r>
    </w:p>
    <w:p>
      <w:pPr>
        <w:numPr>
          <w:ilvl w:val="0"/>
          <w:numId w:val="1016"/>
        </w:numPr>
        <w:pStyle w:val="Compact"/>
      </w:pPr>
      <w:r>
        <w:rPr>
          <w:bCs/>
          <w:b/>
        </w:rPr>
        <w:t xml:space="preserve">Desarrollo de Medios Gráficos Visuales</w:t>
      </w:r>
      <w:r>
        <w:t xml:space="preserve"> </w:t>
      </w:r>
      <w:r>
        <w:t xml:space="preserve">— listado como programa Tecnólogo con 3,984 horas;</w:t>
      </w:r>
    </w:p>
    <w:p>
      <w:pPr>
        <w:numPr>
          <w:ilvl w:val="0"/>
          <w:numId w:val="1016"/>
        </w:numPr>
        <w:pStyle w:val="Compact"/>
      </w:pPr>
      <w:r>
        <w:rPr>
          <w:bCs/>
          <w:b/>
        </w:rPr>
        <w:t xml:space="preserve">Producción de Imágenes Digitales</w:t>
      </w:r>
      <w:r>
        <w:t xml:space="preserve">;</w:t>
      </w:r>
    </w:p>
    <w:p>
      <w:pPr>
        <w:numPr>
          <w:ilvl w:val="0"/>
          <w:numId w:val="1016"/>
        </w:numPr>
        <w:pStyle w:val="Compact"/>
      </w:pPr>
      <w:r>
        <w:rPr>
          <w:bCs/>
          <w:b/>
        </w:rPr>
        <w:t xml:space="preserve">Fundamentos de Diseño</w:t>
      </w:r>
      <w:r>
        <w:t xml:space="preserve"> </w:t>
      </w:r>
      <w:r>
        <w:t xml:space="preserve">y otras ofertas complementarias.</w:t>
      </w:r>
    </w:p>
    <w:p>
      <w:pPr>
        <w:pStyle w:val="FirstParagraph"/>
      </w:pPr>
      <w:r>
        <w:t xml:space="preserve">Las cohortes, modalidad, ciudad, fechas, cupos y condiciones de admisión cambian. Verifique los listados vigentes de Betowa antes de depender de un curso específico.</w:t>
      </w:r>
    </w:p>
    <w:p>
      <w:pPr>
        <w:pStyle w:val="BodyText"/>
      </w:pPr>
      <w:r>
        <w:t xml:space="preserve">Para compensación en Colombia, evite tratar rangos salariales antiguos de perfiles ocupacionales como una referencia representativa actual, salvo que la metodología y el período de referencia estén confirmados.</w:t>
      </w:r>
    </w:p>
    <w:bookmarkEnd w:id="39"/>
    <w:bookmarkStart w:id="40" w:name="américa-latina-y-el-caribe"/>
    <w:p>
      <w:pPr>
        <w:pStyle w:val="Heading2"/>
      </w:pPr>
      <w:r>
        <w:t xml:space="preserve">América Latina y el Caribe</w:t>
      </w:r>
    </w:p>
    <w:p>
      <w:pPr>
        <w:pStyle w:val="FirstParagraph"/>
      </w:pPr>
      <w:r>
        <w:t xml:space="preserve">OIT/Cinterfor ofrece un directorio regional y una red de instituciones de formación profesional. Úselo para identificar la institución nacional adecuada y luego verifique directamente con esa institución el catálogo vigente, costo, elegibilidad, modalidad, credencial y proceso de solicitud.</w:t>
      </w:r>
    </w:p>
    <w:p>
      <w:pPr>
        <w:pStyle w:val="BodyText"/>
      </w:pPr>
      <w:r>
        <w:t xml:space="preserve">El directorio es un localizador, no una promesa de que exista en cada país un curso de diseño gráfico, beca o subsidio.</w:t>
      </w:r>
    </w:p>
    <w:bookmarkEnd w:id="40"/>
    <w:bookmarkStart w:id="44" w:name="investigación-de-ingresos"/>
    <w:p>
      <w:pPr>
        <w:pStyle w:val="Heading2"/>
      </w:pPr>
      <w:r>
        <w:t xml:space="preserve">Investigación de ingresos</w:t>
      </w:r>
    </w:p>
    <w:bookmarkStart w:id="41" w:name="estados-unidos--referencia-oficial"/>
    <w:p>
      <w:pPr>
        <w:pStyle w:val="Heading3"/>
      </w:pPr>
      <w:r>
        <w:t xml:space="preserve">Estados Unidos — referencia oficial</w:t>
      </w:r>
    </w:p>
    <w:p>
      <w:pPr>
        <w:pStyle w:val="FirstParagraph"/>
      </w:pPr>
      <w:r>
        <w:t xml:space="preserve">Datos salariales nacionales O*NET/BLS 2025 para Graphic Designers:</w:t>
      </w:r>
    </w:p>
    <w:p>
      <w:pPr>
        <w:numPr>
          <w:ilvl w:val="0"/>
          <w:numId w:val="1017"/>
        </w:numPr>
        <w:pStyle w:val="Compact"/>
      </w:pPr>
      <w:r>
        <w:t xml:space="preserve">percentil 10:</w:t>
      </w:r>
      <w:r>
        <w:t xml:space="preserve"> </w:t>
      </w:r>
      <w:r>
        <w:rPr>
          <w:bCs/>
          <w:b/>
        </w:rPr>
        <w:t xml:space="preserve">$39,520/año</w:t>
      </w:r>
      <w:r>
        <w:t xml:space="preserve">;</w:t>
      </w:r>
    </w:p>
    <w:p>
      <w:pPr>
        <w:numPr>
          <w:ilvl w:val="0"/>
          <w:numId w:val="1017"/>
        </w:numPr>
        <w:pStyle w:val="Compact"/>
      </w:pPr>
      <w:r>
        <w:t xml:space="preserve">mediana:</w:t>
      </w:r>
      <w:r>
        <w:t xml:space="preserve"> </w:t>
      </w:r>
      <w:r>
        <w:rPr>
          <w:bCs/>
          <w:b/>
        </w:rPr>
        <w:t xml:space="preserve">$62,960/año</w:t>
      </w:r>
      <w:r>
        <w:t xml:space="preserve"> </w:t>
      </w:r>
      <w:r>
        <w:t xml:space="preserve">o</w:t>
      </w:r>
      <w:r>
        <w:t xml:space="preserve"> </w:t>
      </w:r>
      <w:r>
        <w:rPr>
          <w:bCs/>
          <w:b/>
        </w:rPr>
        <w:t xml:space="preserve">$30.27/hora</w:t>
      </w:r>
      <w:r>
        <w:t xml:space="preserve">;</w:t>
      </w:r>
    </w:p>
    <w:p>
      <w:pPr>
        <w:numPr>
          <w:ilvl w:val="0"/>
          <w:numId w:val="1017"/>
        </w:numPr>
        <w:pStyle w:val="Compact"/>
      </w:pPr>
      <w:r>
        <w:t xml:space="preserve">percentil 90:</w:t>
      </w:r>
      <w:r>
        <w:t xml:space="preserve"> </w:t>
      </w:r>
      <w:r>
        <w:rPr>
          <w:bCs/>
          <w:b/>
        </w:rPr>
        <w:t xml:space="preserve">$104,910/año</w:t>
      </w:r>
      <w:r>
        <w:t xml:space="preserve">.</w:t>
      </w:r>
    </w:p>
    <w:p>
      <w:pPr>
        <w:pStyle w:val="FirstParagraph"/>
      </w:pPr>
      <w:r>
        <w:t xml:space="preserve">La remuneración varía por ubicación, industria, especialidad, portafolio, tipo de empleo, experiencia y alcance.</w:t>
      </w:r>
    </w:p>
    <w:bookmarkEnd w:id="41"/>
    <w:bookmarkStart w:id="42" w:name="X50ce86228e69f4ed8bdeef773dfd5c918c526e2"/>
    <w:p>
      <w:pPr>
        <w:pStyle w:val="Heading3"/>
      </w:pPr>
      <w:r>
        <w:t xml:space="preserve">Estados Unidos — estimación no gubernamental actual</w:t>
      </w:r>
    </w:p>
    <w:p>
      <w:pPr>
        <w:pStyle w:val="FirstParagraph"/>
      </w:pPr>
      <w:r>
        <w:t xml:space="preserve">Indeed informó un salario base promedio de aproximadamente</w:t>
      </w:r>
      <w:r>
        <w:t xml:space="preserve"> </w:t>
      </w:r>
      <w:r>
        <w:rPr>
          <w:bCs/>
          <w:b/>
        </w:rPr>
        <w:t xml:space="preserve">$23.41/hora</w:t>
      </w:r>
      <w:r>
        <w:t xml:space="preserve"> </w:t>
      </w:r>
      <w:r>
        <w:t xml:space="preserve">para Graphic Designers en EE. UU., actualizado el 2 de agosto de 2026, con un rango mostrado de aproximadamente</w:t>
      </w:r>
      <w:r>
        <w:t xml:space="preserve"> </w:t>
      </w:r>
      <w:r>
        <w:rPr>
          <w:bCs/>
          <w:b/>
        </w:rPr>
        <w:t xml:space="preserve">$13.25 a $41.36/hora</w:t>
      </w:r>
      <w:r>
        <w:t xml:space="preserve"> </w:t>
      </w:r>
      <w:r>
        <w:t xml:space="preserve">y cerca de 6.1k observaciones salariales provenientes de anuncios de empleo durante los 36 meses anteriores.</w:t>
      </w:r>
    </w:p>
    <w:p>
      <w:pPr>
        <w:pStyle w:val="BodyText"/>
      </w:pPr>
      <w:r>
        <w:t xml:space="preserve">Esta es una estimación de mercado, no una estadística salarial gubernamental ni una compensación garantizada.</w:t>
      </w:r>
    </w:p>
    <w:bookmarkEnd w:id="42"/>
    <w:bookmarkStart w:id="43" w:name="X1afcada5dc89a0016b1891a954825537b93cca6"/>
    <w:p>
      <w:pPr>
        <w:pStyle w:val="Heading3"/>
      </w:pPr>
      <w:r>
        <w:t xml:space="preserve">Colombia — estimación no gubernamental actual para nivel junior</w:t>
      </w:r>
    </w:p>
    <w:p>
      <w:pPr>
        <w:pStyle w:val="FirstParagraph"/>
      </w:pPr>
      <w:r>
        <w:t xml:space="preserve">Indeed informó aproximadamente</w:t>
      </w:r>
      <w:r>
        <w:t xml:space="preserve"> </w:t>
      </w:r>
      <w:r>
        <w:rPr>
          <w:bCs/>
          <w:b/>
        </w:rPr>
        <w:t xml:space="preserve">COP 1,902,446/mes</w:t>
      </w:r>
      <w:r>
        <w:t xml:space="preserve"> </w:t>
      </w:r>
      <w:r>
        <w:t xml:space="preserve">para</w:t>
      </w:r>
      <w:r>
        <w:t xml:space="preserve"> </w:t>
      </w:r>
      <w:r>
        <w:rPr>
          <w:bCs/>
          <w:b/>
        </w:rPr>
        <w:t xml:space="preserve">Diseñador/a gráfico/a junior</w:t>
      </w:r>
      <w:r>
        <w:t xml:space="preserve"> </w:t>
      </w:r>
      <w:r>
        <w:t xml:space="preserve">en Colombia, con base en 26 salarios reportados y actualización del 29 de julio de 2026.</w:t>
      </w:r>
    </w:p>
    <w:p>
      <w:pPr>
        <w:pStyle w:val="BodyText"/>
      </w:pPr>
      <w:r>
        <w:t xml:space="preserve">Es una estimación de título junior con muestra pequeña, no una referencia para todos los diseñadores o artistas de producción.</w:t>
      </w:r>
    </w:p>
    <w:bookmarkEnd w:id="43"/>
    <w:bookmarkEnd w:id="44"/>
    <w:bookmarkStart w:id="45" w:name="construcción-ética-de-un-portafolio"/>
    <w:p>
      <w:pPr>
        <w:pStyle w:val="Heading2"/>
      </w:pPr>
      <w:r>
        <w:t xml:space="preserve">Construcción ética de un portafolio</w:t>
      </w:r>
    </w:p>
    <w:p>
      <w:pPr>
        <w:pStyle w:val="FirstParagraph"/>
      </w:pPr>
      <w:r>
        <w:t xml:space="preserve">Un buen portafolio inicial debe demostrar proceso, criterio y calidad de producción, no solamente imágenes atractivas.</w:t>
      </w:r>
    </w:p>
    <w:p>
      <w:pPr>
        <w:pStyle w:val="BodyText"/>
      </w:pPr>
      <w:r>
        <w:t xml:space="preserve">Incluya un número reducido de proyectos sólidos. Para cada proyecto, explique:</w:t>
      </w:r>
    </w:p>
    <w:p>
      <w:pPr>
        <w:numPr>
          <w:ilvl w:val="0"/>
          <w:numId w:val="1018"/>
        </w:numPr>
        <w:pStyle w:val="Compact"/>
      </w:pPr>
      <w:r>
        <w:t xml:space="preserve">el brief o problema;</w:t>
      </w:r>
    </w:p>
    <w:p>
      <w:pPr>
        <w:numPr>
          <w:ilvl w:val="0"/>
          <w:numId w:val="1018"/>
        </w:numPr>
        <w:pStyle w:val="Compact"/>
      </w:pPr>
      <w:r>
        <w:t xml:space="preserve">audiencia prevista;</w:t>
      </w:r>
    </w:p>
    <w:p>
      <w:pPr>
        <w:numPr>
          <w:ilvl w:val="0"/>
          <w:numId w:val="1018"/>
        </w:numPr>
        <w:pStyle w:val="Compact"/>
      </w:pPr>
      <w:r>
        <w:t xml:space="preserve">restricciones;</w:t>
      </w:r>
    </w:p>
    <w:p>
      <w:pPr>
        <w:numPr>
          <w:ilvl w:val="0"/>
          <w:numId w:val="1018"/>
        </w:numPr>
        <w:pStyle w:val="Compact"/>
      </w:pPr>
      <w:r>
        <w:t xml:space="preserve">su función;</w:t>
      </w:r>
    </w:p>
    <w:p>
      <w:pPr>
        <w:numPr>
          <w:ilvl w:val="0"/>
          <w:numId w:val="1018"/>
        </w:numPr>
        <w:pStyle w:val="Compact"/>
      </w:pPr>
      <w:r>
        <w:t xml:space="preserve">herramientas utilizadas;</w:t>
      </w:r>
    </w:p>
    <w:p>
      <w:pPr>
        <w:numPr>
          <w:ilvl w:val="0"/>
          <w:numId w:val="1018"/>
        </w:numPr>
        <w:pStyle w:val="Compact"/>
      </w:pPr>
      <w:r>
        <w:t xml:space="preserve">consideraciones de accesibilidad;</w:t>
      </w:r>
    </w:p>
    <w:p>
      <w:pPr>
        <w:numPr>
          <w:ilvl w:val="0"/>
          <w:numId w:val="1018"/>
        </w:numPr>
        <w:pStyle w:val="Compact"/>
      </w:pPr>
      <w:r>
        <w:t xml:space="preserve">enfoque de licencias/fuentes;</w:t>
      </w:r>
    </w:p>
    <w:p>
      <w:pPr>
        <w:numPr>
          <w:ilvl w:val="0"/>
          <w:numId w:val="1018"/>
        </w:numPr>
        <w:pStyle w:val="Compact"/>
      </w:pPr>
      <w:r>
        <w:t xml:space="preserve">decisiones de diseño;</w:t>
      </w:r>
    </w:p>
    <w:p>
      <w:pPr>
        <w:numPr>
          <w:ilvl w:val="0"/>
          <w:numId w:val="1018"/>
        </w:numPr>
        <w:pStyle w:val="Compact"/>
      </w:pPr>
      <w:r>
        <w:t xml:space="preserve">especificaciones de producción;</w:t>
      </w:r>
    </w:p>
    <w:p>
      <w:pPr>
        <w:numPr>
          <w:ilvl w:val="0"/>
          <w:numId w:val="1018"/>
        </w:numPr>
        <w:pStyle w:val="Compact"/>
      </w:pPr>
      <w:r>
        <w:t xml:space="preserve">qué cambió después de la retroalimentación;</w:t>
      </w:r>
    </w:p>
    <w:p>
      <w:pPr>
        <w:numPr>
          <w:ilvl w:val="0"/>
          <w:numId w:val="1018"/>
        </w:numPr>
        <w:pStyle w:val="Compact"/>
      </w:pPr>
      <w:r>
        <w:t xml:space="preserve">entregables finales.</w:t>
      </w:r>
    </w:p>
    <w:p>
      <w:pPr>
        <w:pStyle w:val="FirstParagraph"/>
      </w:pPr>
      <w:r>
        <w:t xml:space="preserve">Use marcas ficticias, activos propios, material de dominio público o recursos debidamente licenciados para proyectos autodirigidos. No presente públicamente trabajo de un cliente sin permiso. Nunca presente el diseño de otra persona como propio.</w:t>
      </w:r>
    </w:p>
    <w:bookmarkEnd w:id="45"/>
    <w:bookmarkStart w:id="50" w:name="plan-de-acción-reparado-de-30-días"/>
    <w:p>
      <w:pPr>
        <w:pStyle w:val="Heading2"/>
      </w:pPr>
      <w:r>
        <w:t xml:space="preserve">Plan de acción reparado de 30 días</w:t>
      </w:r>
    </w:p>
    <w:p>
      <w:pPr>
        <w:pStyle w:val="FirstParagraph"/>
      </w:pPr>
      <w:r>
        <w:t xml:space="preserve">Este plan reemplaza la condición inutilizable del plan de acción heredado registrada como</w:t>
      </w:r>
      <w:r>
        <w:t xml:space="preserve"> </w:t>
      </w:r>
      <w:r>
        <w:rPr>
          <w:rStyle w:val="VerbatimChar"/>
        </w:rPr>
        <w:t xml:space="preserve">action_plan_ok: False</w:t>
      </w:r>
      <w:r>
        <w:t xml:space="preserve">.</w:t>
      </w:r>
    </w:p>
    <w:bookmarkStart w:id="46" w:name="semana-1--fundamentos-y-configuración"/>
    <w:p>
      <w:pPr>
        <w:pStyle w:val="Heading3"/>
      </w:pPr>
      <w:r>
        <w:t xml:space="preserve">Semana 1 — Fundamentos y configuración</w:t>
      </w:r>
    </w:p>
    <w:p>
      <w:pPr>
        <w:numPr>
          <w:ilvl w:val="0"/>
          <w:numId w:val="1019"/>
        </w:numPr>
        <w:pStyle w:val="Compact"/>
      </w:pPr>
      <w:r>
        <w:t xml:space="preserve">Elija una herramienta vectorial y una herramienta raster/de imagen a las que pueda acceder legalmente.</w:t>
      </w:r>
    </w:p>
    <w:p>
      <w:pPr>
        <w:numPr>
          <w:ilvl w:val="0"/>
          <w:numId w:val="1019"/>
        </w:numPr>
        <w:pStyle w:val="Compact"/>
      </w:pPr>
      <w:r>
        <w:t xml:space="preserve">Practique jerarquía, alineación, tipografía, espaciado, color y nomenclatura de archivos.</w:t>
      </w:r>
    </w:p>
    <w:p>
      <w:pPr>
        <w:numPr>
          <w:ilvl w:val="0"/>
          <w:numId w:val="1019"/>
        </w:numPr>
        <w:pStyle w:val="Compact"/>
      </w:pPr>
      <w:r>
        <w:t xml:space="preserve">Aprenda la diferencia entre salida vectorial y raster.</w:t>
      </w:r>
    </w:p>
    <w:p>
      <w:pPr>
        <w:numPr>
          <w:ilvl w:val="0"/>
          <w:numId w:val="1019"/>
        </w:numPr>
        <w:pStyle w:val="Compact"/>
      </w:pPr>
      <w:r>
        <w:t xml:space="preserve">Cree una estructura de carpetas con fuentes, activos vinculados, pruebas y finales.</w:t>
      </w:r>
    </w:p>
    <w:p>
      <w:pPr>
        <w:numPr>
          <w:ilvl w:val="0"/>
          <w:numId w:val="1019"/>
        </w:numPr>
        <w:pStyle w:val="Compact"/>
      </w:pPr>
      <w:r>
        <w:t xml:space="preserve">Ejecute una comprobación de contraste en una composición de práctica.</w:t>
      </w:r>
    </w:p>
    <w:bookmarkEnd w:id="46"/>
    <w:bookmarkStart w:id="47" w:name="semana-2--práctica-de-producción"/>
    <w:p>
      <w:pPr>
        <w:pStyle w:val="Heading3"/>
      </w:pPr>
      <w:r>
        <w:t xml:space="preserve">Semana 2 — Práctica de producción</w:t>
      </w:r>
    </w:p>
    <w:p>
      <w:pPr>
        <w:numPr>
          <w:ilvl w:val="0"/>
          <w:numId w:val="1020"/>
        </w:numPr>
        <w:pStyle w:val="Compact"/>
      </w:pPr>
      <w:r>
        <w:t xml:space="preserve">Cree una campaña ficticia con al menos tres tamaños o canales.</w:t>
      </w:r>
    </w:p>
    <w:p>
      <w:pPr>
        <w:numPr>
          <w:ilvl w:val="0"/>
          <w:numId w:val="1020"/>
        </w:numPr>
        <w:pStyle w:val="Compact"/>
      </w:pPr>
      <w:r>
        <w:t xml:space="preserve">Produzca un archivo listo para impresión con sangrado y un activo digital optimizado.</w:t>
      </w:r>
    </w:p>
    <w:p>
      <w:pPr>
        <w:numPr>
          <w:ilvl w:val="0"/>
          <w:numId w:val="1020"/>
        </w:numPr>
        <w:pStyle w:val="Compact"/>
      </w:pPr>
      <w:r>
        <w:t xml:space="preserve">Mantenga un registro de versiones y una lista de comprobación tipo aprobación.</w:t>
      </w:r>
    </w:p>
    <w:p>
      <w:pPr>
        <w:numPr>
          <w:ilvl w:val="0"/>
          <w:numId w:val="1020"/>
        </w:numPr>
        <w:pStyle w:val="Compact"/>
      </w:pPr>
      <w:r>
        <w:t xml:space="preserve">Registre fuente/licencia de cada tipografía, imagen o icono externo.</w:t>
      </w:r>
    </w:p>
    <w:bookmarkEnd w:id="47"/>
    <w:bookmarkStart w:id="48" w:name="semana-3--portafolio-y-retroalimentación"/>
    <w:p>
      <w:pPr>
        <w:pStyle w:val="Heading3"/>
      </w:pPr>
      <w:r>
        <w:t xml:space="preserve">Semana 3 — Portafolio y retroalimentación</w:t>
      </w:r>
    </w:p>
    <w:p>
      <w:pPr>
        <w:numPr>
          <w:ilvl w:val="0"/>
          <w:numId w:val="1021"/>
        </w:numPr>
        <w:pStyle w:val="Compact"/>
      </w:pPr>
      <w:r>
        <w:t xml:space="preserve">Seleccione sus dos o tres proyectos más fuertes.</w:t>
      </w:r>
    </w:p>
    <w:p>
      <w:pPr>
        <w:numPr>
          <w:ilvl w:val="0"/>
          <w:numId w:val="1021"/>
        </w:numPr>
        <w:pStyle w:val="Compact"/>
      </w:pPr>
      <w:r>
        <w:t xml:space="preserve">Escriba una nota breve para cada caso: brief, función, decisiones, accesibilidad, derechos, verificaciones de producción y resultado.</w:t>
      </w:r>
    </w:p>
    <w:p>
      <w:pPr>
        <w:numPr>
          <w:ilvl w:val="0"/>
          <w:numId w:val="1021"/>
        </w:numPr>
        <w:pStyle w:val="Compact"/>
      </w:pPr>
      <w:r>
        <w:t xml:space="preserve">Pida retroalimentación a un colega, instructor, mentor o supervisor calificado.</w:t>
      </w:r>
    </w:p>
    <w:p>
      <w:pPr>
        <w:numPr>
          <w:ilvl w:val="0"/>
          <w:numId w:val="1021"/>
        </w:numPr>
        <w:pStyle w:val="Compact"/>
      </w:pPr>
      <w:r>
        <w:t xml:space="preserve">Corrija defectos evidentes de producción y revisión.</w:t>
      </w:r>
    </w:p>
    <w:bookmarkEnd w:id="48"/>
    <w:bookmarkStart w:id="49" w:name="semana-4--preparación-laboral"/>
    <w:p>
      <w:pPr>
        <w:pStyle w:val="Heading3"/>
      </w:pPr>
      <w:r>
        <w:t xml:space="preserve">Semana 4 — Preparación laboral</w:t>
      </w:r>
    </w:p>
    <w:p>
      <w:pPr>
        <w:numPr>
          <w:ilvl w:val="0"/>
          <w:numId w:val="1022"/>
        </w:numPr>
        <w:pStyle w:val="Compact"/>
      </w:pPr>
      <w:r>
        <w:t xml:space="preserve">Revise al menos 10 anuncios reales de diseñador junior, artista de producción, asistente de diseño, diseñador de marketing, preprensa o producción gráfica.</w:t>
      </w:r>
    </w:p>
    <w:p>
      <w:pPr>
        <w:numPr>
          <w:ilvl w:val="0"/>
          <w:numId w:val="1022"/>
        </w:numPr>
        <w:pStyle w:val="Compact"/>
      </w:pPr>
      <w:r>
        <w:t xml:space="preserve">Construya una tabla de brechas de habilidades a partir de requisitos repetidos.</w:t>
      </w:r>
    </w:p>
    <w:p>
      <w:pPr>
        <w:numPr>
          <w:ilvl w:val="0"/>
          <w:numId w:val="1022"/>
        </w:numPr>
        <w:pStyle w:val="Compact"/>
      </w:pPr>
      <w:r>
        <w:t xml:space="preserve">Actualice el lenguaje de su currículum y portafolio para reflejar únicamente habilidades que pueda demostrar.</w:t>
      </w:r>
    </w:p>
    <w:p>
      <w:pPr>
        <w:numPr>
          <w:ilvl w:val="0"/>
          <w:numId w:val="1022"/>
        </w:numPr>
        <w:pStyle w:val="Compact"/>
      </w:pPr>
      <w:r>
        <w:t xml:space="preserve">Postúlese selectivamente y continúe trabajando una brecha de aprendizaje específica cada semana.</w:t>
      </w:r>
    </w:p>
    <w:bookmarkEnd w:id="49"/>
    <w:bookmarkEnd w:id="50"/>
    <w:bookmarkStart w:id="51" w:name="antes-de-entregar-cualquier-diseño-final"/>
    <w:p>
      <w:pPr>
        <w:pStyle w:val="Heading2"/>
      </w:pPr>
      <w:r>
        <w:t xml:space="preserve">Antes de entregar cualquier diseño final</w:t>
      </w:r>
    </w:p>
    <w:p>
      <w:pPr>
        <w:pStyle w:val="FirstParagraph"/>
      </w:pPr>
      <w:r>
        <w:t xml:space="preserve">Compruebe:</w:t>
      </w:r>
    </w:p>
    <w:p>
      <w:pPr>
        <w:numPr>
          <w:ilvl w:val="0"/>
          <w:numId w:val="1023"/>
        </w:numPr>
        <w:pStyle w:val="Compact"/>
      </w:pPr>
      <w:r>
        <w:t xml:space="preserve">brief correcto y versión aprobada;</w:t>
      </w:r>
    </w:p>
    <w:p>
      <w:pPr>
        <w:numPr>
          <w:ilvl w:val="0"/>
          <w:numId w:val="1023"/>
        </w:numPr>
        <w:pStyle w:val="Compact"/>
      </w:pPr>
      <w:r>
        <w:t xml:space="preserve">ortografía, nombres, fechas, precios y texto legal verificados por el responsable correspondiente;</w:t>
      </w:r>
    </w:p>
    <w:p>
      <w:pPr>
        <w:numPr>
          <w:ilvl w:val="0"/>
          <w:numId w:val="1023"/>
        </w:numPr>
        <w:pStyle w:val="Compact"/>
      </w:pPr>
      <w:r>
        <w:t xml:space="preserve">dimensiones y formato correctos;</w:t>
      </w:r>
    </w:p>
    <w:p>
      <w:pPr>
        <w:numPr>
          <w:ilvl w:val="0"/>
          <w:numId w:val="1023"/>
        </w:numPr>
        <w:pStyle w:val="Compact"/>
      </w:pPr>
      <w:r>
        <w:t xml:space="preserve">que las imágenes no estén visiblemente en baja resolución ni distorsionadas;</w:t>
      </w:r>
    </w:p>
    <w:p>
      <w:pPr>
        <w:numPr>
          <w:ilvl w:val="0"/>
          <w:numId w:val="1023"/>
        </w:numPr>
        <w:pStyle w:val="Compact"/>
      </w:pPr>
      <w:r>
        <w:t xml:space="preserve">que las fuentes y activos vinculados estén completos;</w:t>
      </w:r>
    </w:p>
    <w:p>
      <w:pPr>
        <w:numPr>
          <w:ilvl w:val="0"/>
          <w:numId w:val="1023"/>
        </w:numPr>
        <w:pStyle w:val="Compact"/>
      </w:pPr>
      <w:r>
        <w:t xml:space="preserve">que la configuración de color/exportación corresponda al destino;</w:t>
      </w:r>
    </w:p>
    <w:p>
      <w:pPr>
        <w:numPr>
          <w:ilvl w:val="0"/>
          <w:numId w:val="1023"/>
        </w:numPr>
        <w:pStyle w:val="Compact"/>
      </w:pPr>
      <w:r>
        <w:t xml:space="preserve">sangrados/áreas seguras cuando corresponda;</w:t>
      </w:r>
    </w:p>
    <w:p>
      <w:pPr>
        <w:numPr>
          <w:ilvl w:val="0"/>
          <w:numId w:val="1023"/>
        </w:numPr>
        <w:pStyle w:val="Compact"/>
      </w:pPr>
      <w:r>
        <w:t xml:space="preserve">revisión de contraste y consideraciones de accesibilidad;</w:t>
      </w:r>
    </w:p>
    <w:p>
      <w:pPr>
        <w:numPr>
          <w:ilvl w:val="0"/>
          <w:numId w:val="1023"/>
        </w:numPr>
        <w:pStyle w:val="Compact"/>
      </w:pPr>
      <w:r>
        <w:t xml:space="preserve">derechos/licencias/procedencia registrados cuando sea necesario;</w:t>
      </w:r>
    </w:p>
    <w:p>
      <w:pPr>
        <w:numPr>
          <w:ilvl w:val="0"/>
          <w:numId w:val="1023"/>
        </w:numPr>
        <w:pStyle w:val="Compact"/>
      </w:pPr>
      <w:r>
        <w:t xml:space="preserve">que no quede expuesta información confidencial;</w:t>
      </w:r>
    </w:p>
    <w:p>
      <w:pPr>
        <w:numPr>
          <w:ilvl w:val="0"/>
          <w:numId w:val="1023"/>
        </w:numPr>
        <w:pStyle w:val="Compact"/>
      </w:pPr>
      <w:r>
        <w:t xml:space="preserve">nombre y versión final del archivo sin ambigüedad;</w:t>
      </w:r>
    </w:p>
    <w:p>
      <w:pPr>
        <w:numPr>
          <w:ilvl w:val="0"/>
          <w:numId w:val="1023"/>
        </w:numPr>
        <w:pStyle w:val="Compact"/>
      </w:pPr>
      <w:r>
        <w:t xml:space="preserve">cumplimiento del proceso de aprobación del cliente/empleador.</w:t>
      </w:r>
    </w:p>
    <w:bookmarkEnd w:id="51"/>
    <w:bookmarkStart w:id="65" w:name="X2556523d2ee9945939205901859f20991d360ce"/>
    <w:p>
      <w:pPr>
        <w:pStyle w:val="Heading2"/>
      </w:pPr>
      <w:r>
        <w:t xml:space="preserve">Fuentes que debe verificar antes de decisiones importantes</w:t>
      </w:r>
    </w:p>
    <w:p>
      <w:pPr>
        <w:numPr>
          <w:ilvl w:val="0"/>
          <w:numId w:val="1024"/>
        </w:numPr>
        <w:pStyle w:val="Compact"/>
      </w:pPr>
      <w:r>
        <w:t xml:space="preserve">O*NET Graphic Designers:</w:t>
      </w:r>
      <w:r>
        <w:t xml:space="preserve"> </w:t>
      </w:r>
      <w:hyperlink r:id="rId52">
        <w:hyperlink r:id="rId52">
          <w:r>
            <w:rPr>
              <w:rStyle w:val="Hyperlink"/>
            </w:rPr>
            <w:t xml:space="preserve">Source link</w:t>
          </w:r>
        </w:hyperlink>
      </w:hyperlink>
    </w:p>
    <w:p>
      <w:pPr>
        <w:numPr>
          <w:ilvl w:val="0"/>
          <w:numId w:val="1024"/>
        </w:numPr>
        <w:pStyle w:val="Compact"/>
      </w:pPr>
      <w:r>
        <w:t xml:space="preserve">O*NET/BLS wages:</w:t>
      </w:r>
      <w:r>
        <w:t xml:space="preserve"> </w:t>
      </w:r>
      <w:hyperlink r:id="rId53">
        <w:hyperlink r:id="rId53">
          <w:r>
            <w:rPr>
              <w:rStyle w:val="Hyperlink"/>
            </w:rPr>
            <w:t xml:space="preserve">Source link</w:t>
          </w:r>
        </w:hyperlink>
      </w:hyperlink>
    </w:p>
    <w:p>
      <w:pPr>
        <w:numPr>
          <w:ilvl w:val="0"/>
          <w:numId w:val="1024"/>
        </w:numPr>
        <w:pStyle w:val="Compact"/>
      </w:pPr>
      <w:r>
        <w:t xml:space="preserve">CareerOneStop WIOA finder:</w:t>
      </w:r>
      <w:r>
        <w:t xml:space="preserve"> </w:t>
      </w:r>
      <w:hyperlink r:id="rId54">
        <w:hyperlink r:id="rId54">
          <w:r>
            <w:rPr>
              <w:rStyle w:val="Hyperlink"/>
            </w:rPr>
            <w:t xml:space="preserve">Source link</w:t>
          </w:r>
        </w:hyperlink>
      </w:hyperlink>
    </w:p>
    <w:p>
      <w:pPr>
        <w:numPr>
          <w:ilvl w:val="0"/>
          <w:numId w:val="1024"/>
        </w:numPr>
        <w:pStyle w:val="Compact"/>
      </w:pPr>
      <w:r>
        <w:t xml:space="preserve">CareerOneStop training finder:</w:t>
      </w:r>
      <w:r>
        <w:t xml:space="preserve"> </w:t>
      </w:r>
      <w:hyperlink r:id="rId55">
        <w:hyperlink r:id="rId55">
          <w:r>
            <w:rPr>
              <w:rStyle w:val="Hyperlink"/>
            </w:rPr>
            <w:t xml:space="preserve">Source link</w:t>
          </w:r>
        </w:hyperlink>
      </w:hyperlink>
    </w:p>
    <w:p>
      <w:pPr>
        <w:numPr>
          <w:ilvl w:val="0"/>
          <w:numId w:val="1024"/>
        </w:numPr>
        <w:pStyle w:val="Compact"/>
      </w:pPr>
      <w:r>
        <w:t xml:space="preserve">Canada Job Bank:</w:t>
      </w:r>
      <w:r>
        <w:t xml:space="preserve"> </w:t>
      </w:r>
      <w:hyperlink r:id="rId56">
        <w:hyperlink r:id="rId56">
          <w:r>
            <w:rPr>
              <w:rStyle w:val="Hyperlink"/>
            </w:rPr>
            <w:t xml:space="preserve">Source link</w:t>
          </w:r>
        </w:hyperlink>
      </w:hyperlink>
    </w:p>
    <w:p>
      <w:pPr>
        <w:numPr>
          <w:ilvl w:val="0"/>
          <w:numId w:val="1024"/>
        </w:numPr>
        <w:pStyle w:val="Compact"/>
      </w:pPr>
      <w:r>
        <w:t xml:space="preserve">Canada training gateway:</w:t>
      </w:r>
      <w:r>
        <w:t xml:space="preserve"> </w:t>
      </w:r>
      <w:hyperlink r:id="rId57">
        <w:hyperlink r:id="rId57">
          <w:r>
            <w:rPr>
              <w:rStyle w:val="Hyperlink"/>
            </w:rPr>
            <w:t xml:space="preserve">Source link</w:t>
          </w:r>
        </w:hyperlink>
      </w:hyperlink>
    </w:p>
    <w:p>
      <w:pPr>
        <w:numPr>
          <w:ilvl w:val="0"/>
          <w:numId w:val="1024"/>
        </w:numPr>
        <w:pStyle w:val="Compact"/>
      </w:pPr>
      <w:r>
        <w:t xml:space="preserve">Colombia OCUPACOL:</w:t>
      </w:r>
      <w:r>
        <w:t xml:space="preserve"> </w:t>
      </w:r>
      <w:hyperlink r:id="rId58">
        <w:r>
          <w:rPr>
            <w:rStyle w:val="Hyperlink"/>
          </w:rPr>
          <w:t xml:space="preserve">https://ocupacol.mintrabajo.gov.co/</w:t>
        </w:r>
      </w:hyperlink>
    </w:p>
    <w:p>
      <w:pPr>
        <w:numPr>
          <w:ilvl w:val="0"/>
          <w:numId w:val="1024"/>
        </w:numPr>
        <w:pStyle w:val="Compact"/>
      </w:pPr>
      <w:r>
        <w:t xml:space="preserve">SENA Betowa:</w:t>
      </w:r>
      <w:r>
        <w:t xml:space="preserve"> </w:t>
      </w:r>
      <w:hyperlink r:id="rId59">
        <w:r>
          <w:rPr>
            <w:rStyle w:val="Hyperlink"/>
          </w:rPr>
          <w:t xml:space="preserve">https://betowa.sena.edu.co/</w:t>
        </w:r>
      </w:hyperlink>
    </w:p>
    <w:p>
      <w:pPr>
        <w:numPr>
          <w:ilvl w:val="0"/>
          <w:numId w:val="1024"/>
        </w:numPr>
        <w:pStyle w:val="Compact"/>
      </w:pPr>
      <w:r>
        <w:t xml:space="preserve">OIT/Cinterfor:</w:t>
      </w:r>
      <w:r>
        <w:t xml:space="preserve"> </w:t>
      </w:r>
      <w:hyperlink r:id="rId60">
        <w:r>
          <w:rPr>
            <w:rStyle w:val="Hyperlink"/>
          </w:rPr>
          <w:t xml:space="preserve">https://www.oitcinterfor.org/statsfp/paises</w:t>
        </w:r>
      </w:hyperlink>
    </w:p>
    <w:p>
      <w:pPr>
        <w:numPr>
          <w:ilvl w:val="0"/>
          <w:numId w:val="1024"/>
        </w:numPr>
        <w:pStyle w:val="Compact"/>
      </w:pPr>
      <w:r>
        <w:t xml:space="preserve">U.S. Copyright Office for visual artists:</w:t>
      </w:r>
      <w:r>
        <w:t xml:space="preserve"> </w:t>
      </w:r>
      <w:hyperlink r:id="rId61">
        <w:hyperlink r:id="rId61">
          <w:r>
            <w:rPr>
              <w:rStyle w:val="Hyperlink"/>
            </w:rPr>
            <w:t xml:space="preserve">Source link</w:t>
          </w:r>
        </w:hyperlink>
      </w:hyperlink>
    </w:p>
    <w:p>
      <w:pPr>
        <w:numPr>
          <w:ilvl w:val="0"/>
          <w:numId w:val="1024"/>
        </w:numPr>
        <w:pStyle w:val="Compact"/>
      </w:pPr>
      <w:r>
        <w:t xml:space="preserve">WCAG 2.2:</w:t>
      </w:r>
      <w:r>
        <w:t xml:space="preserve"> </w:t>
      </w:r>
      <w:hyperlink r:id="rId62">
        <w:r>
          <w:rPr>
            <w:rStyle w:val="Hyperlink"/>
          </w:rPr>
          <w:t xml:space="preserve">https://www.w3.org/TR/WCAG22/</w:t>
        </w:r>
      </w:hyperlink>
    </w:p>
    <w:p>
      <w:pPr>
        <w:numPr>
          <w:ilvl w:val="0"/>
          <w:numId w:val="1024"/>
        </w:numPr>
        <w:pStyle w:val="Compact"/>
      </w:pPr>
      <w:r>
        <w:t xml:space="preserve">CISA Secure Our World:</w:t>
      </w:r>
      <w:r>
        <w:t xml:space="preserve"> </w:t>
      </w:r>
      <w:hyperlink r:id="rId63">
        <w:r>
          <w:rPr>
            <w:rStyle w:val="Hyperlink"/>
          </w:rPr>
          <w:t xml:space="preserve">https://www.cisa.gov/secure-our-world</w:t>
        </w:r>
      </w:hyperlink>
    </w:p>
    <w:p>
      <w:pPr>
        <w:numPr>
          <w:ilvl w:val="0"/>
          <w:numId w:val="1024"/>
        </w:numPr>
        <w:pStyle w:val="Compact"/>
      </w:pPr>
      <w:r>
        <w:t xml:space="preserve">NIST AI RMF:</w:t>
      </w:r>
      <w:r>
        <w:t xml:space="preserve"> </w:t>
      </w:r>
      <w:hyperlink r:id="rId64">
        <w:hyperlink r:id="rId64">
          <w:r>
            <w:rPr>
              <w:rStyle w:val="Hyperlink"/>
            </w:rPr>
            <w:t xml:space="preserve">Source link</w:t>
          </w:r>
        </w:hyperlink>
      </w:hyperlink>
    </w:p>
    <w:bookmarkEnd w:id="65"/>
    <w:bookmarkStart w:id="66" w:name="aviso-importante"/>
    <w:p>
      <w:pPr>
        <w:pStyle w:val="Heading2"/>
      </w:pPr>
      <w:r>
        <w:t xml:space="preserve">Aviso importante</w:t>
      </w:r>
    </w:p>
    <w:p>
      <w:pPr>
        <w:pStyle w:val="FirstParagraph"/>
      </w:pPr>
      <w:r>
        <w:t xml:space="preserve">Esta guía brinda información general educativa y de planificación profesional. No garantiza empleo, ingresos, admisión, financiamiento, licencias, certificación, placement en apprenticeship, trabajo freelance, adquisición de clientes ni ningún otro resultado. Los requisitos y oportunidades cambian según empleador, jurisdicción, proveedor y momento.</w:t>
      </w:r>
    </w:p>
    <w:p>
      <w:pPr>
        <w:pStyle w:val="BodyText"/>
      </w:pPr>
      <w:r>
        <w:t xml:space="preserve">Esta guía no proporciona asesoría legal, autorización de derechos de autor, certificación de accesibilidad, certificación de ciberseguridad, asesoría financiera ni acreditación profesional. Verifique decisiones importantes mediante fuentes oficiales vigentes y profesionales calificados.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2026-08-21T23:26:40Z</dcterms:created>
  <dcterms:modified xsi:type="dcterms:W3CDTF">2026-08-21T23:26:40Z</dcterms:modified>
</cp:coreProperties>
</file>

<file path=docProps/custom.xml><?xml version="1.0" encoding="utf-8"?>
<Properties xmlns="http://schemas.openxmlformats.org/officeDocument/2006/custom-properties" xmlns:vt="http://schemas.openxmlformats.org/officeDocument/2006/docPropsVTypes"/>
</file>