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62fef8a1b2b8893352c557846788f851d4b5a62"/>
    <w:p>
      <w:pPr>
        <w:pStyle w:val="Heading1"/>
      </w:pPr>
      <w:r>
        <w:t xml:space="preserve">Guia de Oportunidades para Toda a Vida 79 — Especialista em redação técnica e documentação</w:t>
      </w:r>
    </w:p>
    <w:p>
      <w:pPr>
        <w:pStyle w:val="FirstParagraph"/>
      </w:pPr>
      <w:r>
        <w:rPr>
          <w:bCs/>
          <w:b/>
        </w:rPr>
        <w:t xml:space="preserve">Versão:</w:t>
      </w:r>
      <w:r>
        <w:t xml:space="preserve"> </w:t>
      </w:r>
      <w:r>
        <w:t xml:space="preserve">2.0, mestre de trabalho controlado</w:t>
      </w:r>
      <w:r>
        <w:br/>
      </w:r>
      <w:r>
        <w:rPr>
          <w:bCs/>
          <w:b/>
        </w:rPr>
        <w:t xml:space="preserve">Idioma:</w:t>
      </w:r>
      <w:r>
        <w:t xml:space="preserve"> </w:t>
      </w:r>
      <w:r>
        <w:t xml:space="preserve">português brasileiro (pt-BR)</w:t>
      </w:r>
      <w:r>
        <w:br/>
      </w:r>
      <w:r>
        <w:rPr>
          <w:bCs/>
          <w:b/>
        </w:rPr>
        <w:t xml:space="preserve">Fonte inglesa congelada:</w:t>
      </w:r>
      <w:r>
        <w:t xml:space="preserve"> </w:t>
      </w:r>
      <w:r>
        <w:t xml:space="preserve">blob</w:t>
      </w:r>
      <w:r>
        <w:t xml:space="preserve"> </w:t>
      </w:r>
      <w:r>
        <w:rPr>
          <w:rStyle w:val="VerbatimChar"/>
        </w:rPr>
        <w:t xml:space="preserve">2163c5b3b3372a6f2518f7e9e83cfd9801aa82e2</w:t>
      </w:r>
      <w:r>
        <w:br/>
      </w:r>
      <w:r>
        <w:rPr>
          <w:bCs/>
          <w:b/>
        </w:rPr>
        <w:t xml:space="preserve">Referência ocupacional dos EUA:</w:t>
      </w:r>
      <w:r>
        <w:t xml:space="preserve"> </w:t>
      </w:r>
      <w:r>
        <w:t xml:space="preserve">O*NET-SOC 27-3042.00 — Technical Writers</w:t>
      </w:r>
      <w:r>
        <w:br/>
      </w:r>
      <w:r>
        <w:rPr>
          <w:bCs/>
          <w:b/>
        </w:rPr>
        <w:t xml:space="preserve">Comparação do Canadá:</w:t>
      </w:r>
      <w:r>
        <w:t xml:space="preserve"> </w:t>
      </w:r>
      <w:r>
        <w:t xml:space="preserve">NOC 51112 — Technical writers</w:t>
      </w:r>
      <w:r>
        <w:br/>
      </w:r>
      <w:r>
        <w:rPr>
          <w:bCs/>
          <w:b/>
        </w:rPr>
        <w:t xml:space="preserve">Comparação da Colômbia:</w:t>
      </w:r>
      <w:r>
        <w:t xml:space="preserve"> </w:t>
      </w:r>
      <w:r>
        <w:t xml:space="preserve">CUOC 26410 — Autores y otros escritores, incluindo títulos ligados à redação técnica/documentação</w:t>
      </w:r>
      <w:r>
        <w:br/>
      </w:r>
      <w:r>
        <w:rPr>
          <w:bCs/>
          <w:b/>
        </w:rPr>
        <w:t xml:space="preserve">Data de revisão:</w:t>
      </w:r>
      <w:r>
        <w:t xml:space="preserve"> </w:t>
      </w:r>
      <w:r>
        <w:t xml:space="preserve">2026-08-21</w:t>
      </w:r>
    </w:p>
    <w:bookmarkStart w:id="20" w:name="o-que-é-esta-carreira"/>
    <w:p>
      <w:pPr>
        <w:pStyle w:val="Heading2"/>
      </w:pPr>
      <w:r>
        <w:t xml:space="preserve">O que é esta carreira</w:t>
      </w:r>
    </w:p>
    <w:p>
      <w:pPr>
        <w:pStyle w:val="FirstParagraph"/>
      </w:pPr>
      <w:r>
        <w:t xml:space="preserve">Profissionais de redação técnica e documentação transformam informação complexa e especializada em materiais que um público definido consegue usar com precisão e segurança. Podem produzir manuais de equipamentos, procedimentos, instruções de operação e manutenção, documentação de produtos, ajuda on-line, artigos de base de conhecimento, especificações, guias de instalação, solução de problemas, documentação para desenvolvedores e APIs, notas de versão, materiais de apoio a treinamento, documentação de políticas/processos e outros conteúdos técnicos controlados.</w:t>
      </w:r>
    </w:p>
    <w:p>
      <w:pPr>
        <w:pStyle w:val="BodyText"/>
      </w:pPr>
      <w:r>
        <w:t xml:space="preserve">O trabalho vai além de “escrever bem”. Uma boa pessoa redatora técnica identifica a fonte autorizada, entende o público e a tarefa, formula perguntas precisas, registra premissas, organiza informação, controla revisões, coordena revisão de especialistas no assunto, publica pelo sistema aprovado e atualiza a documentação quando o produto ou processo muda.</w:t>
      </w:r>
    </w:p>
    <w:p>
      <w:pPr>
        <w:pStyle w:val="BodyText"/>
      </w:pPr>
      <w:r>
        <w:t xml:space="preserve">Este guia usa</w:t>
      </w:r>
      <w:r>
        <w:t xml:space="preserve"> </w:t>
      </w:r>
      <w:r>
        <w:rPr>
          <w:bCs/>
          <w:b/>
        </w:rPr>
        <w:t xml:space="preserve">O*NET-SOC 27-3042.00 — Technical Writers</w:t>
      </w:r>
      <w:r>
        <w:t xml:space="preserve"> </w:t>
      </w:r>
      <w:r>
        <w:t xml:space="preserve">como principal referência dos Estados Unidos. O perfil de 2026 inclui organizar materiais para clareza e consistência terminológica, manter registros de revisão, editar material de outras pessoas, selecionar ilustrações, entrevistar pessoal técnico, desenvolver ajuda on-line, estudar desenhos/especificações/amostras e revisar material publicado para identificar atualizações necessárias.</w:t>
      </w:r>
    </w:p>
    <w:bookmarkEnd w:id="20"/>
    <w:bookmarkStart w:id="21" w:name="X2c05fbae5babdb3d1dd0f664c780b0c474b0096"/>
    <w:p>
      <w:pPr>
        <w:pStyle w:val="Heading2"/>
      </w:pPr>
      <w:r>
        <w:t xml:space="preserve">Por que esta função pode ser uma oportunidade</w:t>
      </w:r>
    </w:p>
    <w:p>
      <w:pPr>
        <w:pStyle w:val="FirstParagraph"/>
      </w:pPr>
      <w:r>
        <w:t xml:space="preserve">A documentação técnica existe onde pessoas precisam entender um produto, sistema, processo ou área especializada. Empregadores podem incluir empresas de software e tecnologia, manufatura, engenharia, governo, consultorias, organizações médicas ou científicas, serviços financeiros, telecomunicações, defesa/aeroespacial, utilities, treinamento e editoras.</w:t>
      </w:r>
    </w:p>
    <w:p>
      <w:pPr>
        <w:pStyle w:val="BodyText"/>
      </w:pPr>
      <w:r>
        <w:t xml:space="preserve">Experiências transferíveis podem vir de engenharia e operações técnicas, suporte de TI e administração de sistemas, desenvolvimento ou QA de software, atendimento ao cliente, manufatura e manutenção, saúde ou ciência, coordenação de projetos, compliance ou qualidade, design instrucional, jornalismo, escrita profissional, edição, gestão do conhecimento, análise de negócios, field service e treinamento.</w:t>
      </w:r>
    </w:p>
    <w:p>
      <w:pPr>
        <w:pStyle w:val="BodyText"/>
      </w:pPr>
      <w:r>
        <w:t xml:space="preserve">Conhecimento de domínio pode ser uma grande vantagem porque a pessoa redatora precisa perceber quando uma afirmação está incompleta ou exige escalonamento. Ainda assim, conhecimento de domínio não substitui aprovação formal dos responsáveis por engenharia, segurança, jurídico, medicina, regulação ou cibersegurança.</w:t>
      </w:r>
    </w:p>
    <w:bookmarkEnd w:id="21"/>
    <w:bookmarkStart w:id="26" w:name="Xa8f683ddb1d1d5eae9e02f76623346ec0aa4b32"/>
    <w:p>
      <w:pPr>
        <w:pStyle w:val="Heading2"/>
      </w:pPr>
      <w:r>
        <w:t xml:space="preserve">Redator técnico, especialista em documentação, editor técnico e especialista no assunto são funções diferentes</w:t>
      </w:r>
    </w:p>
    <w:bookmarkStart w:id="22" w:name="redator-ou-redatora-técnica"/>
    <w:p>
      <w:pPr>
        <w:pStyle w:val="Heading3"/>
      </w:pPr>
      <w:r>
        <w:t xml:space="preserve">Redator ou redatora técnica</w:t>
      </w:r>
    </w:p>
    <w:p>
      <w:pPr>
        <w:pStyle w:val="FirstParagraph"/>
      </w:pPr>
      <w:r>
        <w:t xml:space="preserve">Pode pesquisar temas técnicos, entrevistar especialistas (SME), redigir/revisar instruções, organizar conteúdo e terminologia, criar diagramas ou selecionar ilustrações, testar clareza, coordenar revisões, manter arquivos fonte/histórico e publicar por sistemas aprovados.</w:t>
      </w:r>
    </w:p>
    <w:bookmarkEnd w:id="22"/>
    <w:bookmarkStart w:id="23" w:name="especialista-em-documentação"/>
    <w:p>
      <w:pPr>
        <w:pStyle w:val="Heading3"/>
      </w:pPr>
      <w:r>
        <w:t xml:space="preserve">Especialista em documentação</w:t>
      </w:r>
    </w:p>
    <w:p>
      <w:pPr>
        <w:pStyle w:val="FirstParagraph"/>
      </w:pPr>
      <w:r>
        <w:t xml:space="preserve">Pode dar ênfase adicional a modelos e padrões, controle documental, metadados, repositórios, pacotes de release, registros de revisão, permissões, roteamento/aprovação, arquivamento/retenção conforme política e distribuição controlada.</w:t>
      </w:r>
    </w:p>
    <w:bookmarkEnd w:id="23"/>
    <w:bookmarkStart w:id="24" w:name="editor-ou-editora-técnica"/>
    <w:p>
      <w:pPr>
        <w:pStyle w:val="Heading3"/>
      </w:pPr>
      <w:r>
        <w:t xml:space="preserve">Editor ou editora técnica</w:t>
      </w:r>
    </w:p>
    <w:p>
      <w:pPr>
        <w:pStyle w:val="FirstParagraph"/>
      </w:pPr>
      <w:r>
        <w:t xml:space="preserve">Pode focar consistência, gramática e uso, terminologia, estrutura, guia de estilo, questões factuais que exigem SME e consistência entre documentos.</w:t>
      </w:r>
    </w:p>
    <w:bookmarkEnd w:id="24"/>
    <w:bookmarkStart w:id="25" w:name="especialista-no-assunto"/>
    <w:p>
      <w:pPr>
        <w:pStyle w:val="Heading3"/>
      </w:pPr>
      <w:r>
        <w:t xml:space="preserve">Especialista no assunto</w:t>
      </w:r>
    </w:p>
    <w:p>
      <w:pPr>
        <w:pStyle w:val="FirstParagraph"/>
      </w:pPr>
      <w:r>
        <w:t xml:space="preserve">O SME detém ou fornece o conhecimento especializado. A pessoa redatora deve questionar ambiguidades e pedir evidência, mas não substituir silenciosamente engenheiro, cientista, profissional clínico, advogado, especialista de segurança, product owner ou outra autoridade responsável.</w:t>
      </w:r>
    </w:p>
    <w:bookmarkEnd w:id="25"/>
    <w:bookmarkEnd w:id="26"/>
    <w:bookmarkStart w:id="27" w:name="autoridade-e-limites-profissionais"/>
    <w:p>
      <w:pPr>
        <w:pStyle w:val="Heading2"/>
      </w:pPr>
      <w:r>
        <w:t xml:space="preserve">Autoridade e limites profissionais</w:t>
      </w:r>
    </w:p>
    <w:p>
      <w:pPr>
        <w:pStyle w:val="FirstParagraph"/>
      </w:pPr>
      <w:r>
        <w:t xml:space="preserve">Um cargo de documentação</w:t>
      </w:r>
      <w:r>
        <w:t xml:space="preserve"> </w:t>
      </w:r>
      <w:r>
        <w:rPr>
          <w:bCs/>
          <w:b/>
        </w:rPr>
        <w:t xml:space="preserve">não</w:t>
      </w:r>
      <w:r>
        <w:t xml:space="preserve"> </w:t>
      </w:r>
      <w:r>
        <w:t xml:space="preserve">autoriza automaticamente uma pessoa a:</w:t>
      </w:r>
    </w:p>
    <w:p>
      <w:pPr>
        <w:numPr>
          <w:ilvl w:val="0"/>
          <w:numId w:val="1001"/>
        </w:numPr>
        <w:pStyle w:val="Compact"/>
      </w:pPr>
      <w:r>
        <w:t xml:space="preserve">aprovar projeto de engenharia;</w:t>
      </w:r>
    </w:p>
    <w:p>
      <w:pPr>
        <w:numPr>
          <w:ilvl w:val="0"/>
          <w:numId w:val="1001"/>
        </w:numPr>
        <w:pStyle w:val="Compact"/>
      </w:pPr>
      <w:r>
        <w:t xml:space="preserve">certificar que produto ou processo é seguro;</w:t>
      </w:r>
    </w:p>
    <w:p>
      <w:pPr>
        <w:numPr>
          <w:ilvl w:val="0"/>
          <w:numId w:val="1001"/>
        </w:numPr>
        <w:pStyle w:val="Compact"/>
      </w:pPr>
      <w:r>
        <w:t xml:space="preserve">determinar conformidade legal ou regulatória;</w:t>
      </w:r>
    </w:p>
    <w:p>
      <w:pPr>
        <w:numPr>
          <w:ilvl w:val="0"/>
          <w:numId w:val="1001"/>
        </w:numPr>
        <w:pStyle w:val="Compact"/>
      </w:pPr>
      <w:r>
        <w:t xml:space="preserve">prescrever tratamento médico;</w:t>
      </w:r>
    </w:p>
    <w:p>
      <w:pPr>
        <w:numPr>
          <w:ilvl w:val="0"/>
          <w:numId w:val="1001"/>
        </w:numPr>
        <w:pStyle w:val="Compact"/>
      </w:pPr>
      <w:r>
        <w:t xml:space="preserve">aprovar arquitetura de segurança ou divulgar informação restrita;</w:t>
      </w:r>
    </w:p>
    <w:p>
      <w:pPr>
        <w:numPr>
          <w:ilvl w:val="0"/>
          <w:numId w:val="1001"/>
        </w:numPr>
        <w:pStyle w:val="Compact"/>
      </w:pPr>
      <w:r>
        <w:t xml:space="preserve">alterar procedimento controlado sem aprovação requerida;</w:t>
      </w:r>
    </w:p>
    <w:p>
      <w:pPr>
        <w:numPr>
          <w:ilvl w:val="0"/>
          <w:numId w:val="1001"/>
        </w:numPr>
        <w:pStyle w:val="Compact"/>
      </w:pPr>
      <w:r>
        <w:t xml:space="preserve">inventar resultados de teste, especificações, tolerâncias, avisos ou intervalos de manutenção;</w:t>
      </w:r>
    </w:p>
    <w:p>
      <w:pPr>
        <w:numPr>
          <w:ilvl w:val="0"/>
          <w:numId w:val="1001"/>
        </w:numPr>
        <w:pStyle w:val="Compact"/>
      </w:pPr>
      <w:r>
        <w:t xml:space="preserve">remover aviso porque dificulta a leitura;</w:t>
      </w:r>
    </w:p>
    <w:p>
      <w:pPr>
        <w:numPr>
          <w:ilvl w:val="0"/>
          <w:numId w:val="1001"/>
        </w:numPr>
        <w:pStyle w:val="Compact"/>
      </w:pPr>
      <w:r>
        <w:t xml:space="preserve">aprovar release de software;</w:t>
      </w:r>
    </w:p>
    <w:p>
      <w:pPr>
        <w:numPr>
          <w:ilvl w:val="0"/>
          <w:numId w:val="1001"/>
        </w:numPr>
        <w:pStyle w:val="Compact"/>
      </w:pPr>
      <w:r>
        <w:t xml:space="preserve">definir por conta própria regras de retenção;</w:t>
      </w:r>
    </w:p>
    <w:p>
      <w:pPr>
        <w:numPr>
          <w:ilvl w:val="0"/>
          <w:numId w:val="1001"/>
        </w:numPr>
        <w:pStyle w:val="Compact"/>
      </w:pPr>
      <w:r>
        <w:t xml:space="preserve">divulgar informação confidencial, export-controlled, classificada, de clientes, funcionários ou proprietária;</w:t>
      </w:r>
    </w:p>
    <w:p>
      <w:pPr>
        <w:numPr>
          <w:ilvl w:val="0"/>
          <w:numId w:val="1001"/>
        </w:numPr>
        <w:pStyle w:val="Compact"/>
      </w:pPr>
      <w:r>
        <w:t xml:space="preserve">apresentar verificação automática como certificação legal de acessibilidade;</w:t>
      </w:r>
    </w:p>
    <w:p>
      <w:pPr>
        <w:numPr>
          <w:ilvl w:val="0"/>
          <w:numId w:val="1001"/>
        </w:numPr>
        <w:pStyle w:val="Compact"/>
      </w:pPr>
      <w:r>
        <w:t xml:space="preserve">tratar conteúdo técnico gerado por IA como autoridade sem verificação;</w:t>
      </w:r>
    </w:p>
    <w:p>
      <w:pPr>
        <w:numPr>
          <w:ilvl w:val="0"/>
          <w:numId w:val="1001"/>
        </w:numPr>
        <w:pStyle w:val="Compact"/>
      </w:pPr>
      <w:r>
        <w:t xml:space="preserve">traduzir conteúdo regulado/crítico à segurança e chamá-lo de tradução certificada sem revisão qualificada apropriada.</w:t>
      </w:r>
    </w:p>
    <w:p>
      <w:pPr>
        <w:pStyle w:val="FirstParagraph"/>
      </w:pPr>
      <w:r>
        <w:t xml:space="preserve">Quando a informação for consequente ou disputada, documente a pergunta e encaminhe à autoridade correta. Uma frase limpa não substitui um fato aprovado.</w:t>
      </w:r>
    </w:p>
    <w:bookmarkEnd w:id="27"/>
    <w:bookmarkStart w:id="28" w:name="responsabilidades-típicas"/>
    <w:p>
      <w:pPr>
        <w:pStyle w:val="Heading2"/>
      </w:pPr>
      <w:r>
        <w:t xml:space="preserve">Responsabilidades típicas</w:t>
      </w:r>
    </w:p>
    <w:p>
      <w:pPr>
        <w:pStyle w:val="FirstParagraph"/>
      </w:pPr>
      <w:r>
        <w:t xml:space="preserve">Conforme a organização, a função pode incluir identificar público e objetivo; reunir fontes aprovadas; entrevistar engenheiros, desenvolvedores, técnicos, gerentes de produto, analistas, cientistas ou outros SME; observar processos; estudar desenhos, especificações, tickets, requisitos, código, resultados de teste ou manuais dentro do acesso autorizado; criar arquitetura de informação; definir glossários; escrever procedimentos, conceitos, referência e troubleshooting; preparar diagramas/capturas; manter ajuda on-line e knowledge base; documentar APIs/comandos/configurações/código quando qualificado; editar material de terceiros; aplicar guias de estilo; controlar comentários, versões, links e consistência; coordenar acessibilidade; preparar web/PDF/DOCX; publicar em CMS ou docs-as-code; atualizar documentação; e retirar conteúdo obsoleto conforme política.</w:t>
      </w:r>
    </w:p>
    <w:bookmarkEnd w:id="28"/>
    <w:bookmarkStart w:id="38" w:name="ciclo-de-vida-da-documentação"/>
    <w:p>
      <w:pPr>
        <w:pStyle w:val="Heading2"/>
      </w:pPr>
      <w:r>
        <w:t xml:space="preserve">Ciclo de vida da documentação</w:t>
      </w:r>
    </w:p>
    <w:bookmarkStart w:id="29" w:name="X0bb3ce314ee148390cf6140816c3c6f8fdc5407"/>
    <w:p>
      <w:pPr>
        <w:pStyle w:val="Heading3"/>
      </w:pPr>
      <w:r>
        <w:t xml:space="preserve">1. Definir público e resultado</w:t>
      </w:r>
    </w:p>
    <w:p>
      <w:pPr>
        <w:pStyle w:val="FirstParagraph"/>
      </w:pPr>
      <w:r>
        <w:t xml:space="preserve">Esclareça quem usará o material, o que precisa entender/fazer, pré-requisitos, ambiente/produto/versão, restrições legais, de segurança, cibersegurança e acessibilidade, formato, proprietário/revisores, data de release e gatilho de atualização.</w:t>
      </w:r>
    </w:p>
    <w:bookmarkEnd w:id="29"/>
    <w:bookmarkStart w:id="30" w:name="Xc7df4776f96748fddeee7fb59b0d58e3705caa7"/>
    <w:p>
      <w:pPr>
        <w:pStyle w:val="Heading3"/>
      </w:pPr>
      <w:r>
        <w:t xml:space="preserve">2. Estabelecer a fonte de verdade</w:t>
      </w:r>
    </w:p>
    <w:p>
      <w:pPr>
        <w:pStyle w:val="FirstParagraph"/>
      </w:pPr>
      <w:r>
        <w:t xml:space="preserve">Identifique entradas autorizadas: especificações aprovadas, requisitos, desenhos, código/repositório, comportamento validado, resultados de teste, procedimentos controlados, políticas, referências oficiais e decisões de SME registradas pelo processo aprovado.</w:t>
      </w:r>
    </w:p>
    <w:p>
      <w:pPr>
        <w:pStyle w:val="BodyText"/>
      </w:pPr>
      <w:r>
        <w:t xml:space="preserve">Não trate documentos antigos como verdade automática; eles podem carregar erros.</w:t>
      </w:r>
    </w:p>
    <w:bookmarkEnd w:id="30"/>
    <w:bookmarkStart w:id="31" w:name="X0ea8a8459dc2bcb5692c733e679e2c9dcbb41e9"/>
    <w:p>
      <w:pPr>
        <w:pStyle w:val="Heading3"/>
      </w:pPr>
      <w:r>
        <w:t xml:space="preserve">3. Pesquisar e entrevistar SME</w:t>
      </w:r>
    </w:p>
    <w:p>
      <w:pPr>
        <w:pStyle w:val="FirstParagraph"/>
      </w:pPr>
      <w:r>
        <w:t xml:space="preserve">Pergunte qual é o estado inicial, pré-condições, entradas permitidas, diferenças por versão/local, possíveis falhas, avisos obrigatórios, critério de sucesso, autoridade de exceção, evidência de valores e informação que não deve ser publicada. Registre pendências em vez de adivinhar.</w:t>
      </w:r>
    </w:p>
    <w:bookmarkEnd w:id="31"/>
    <w:bookmarkStart w:id="36" w:name="X2d176e1844b0255b781ed88fc0196da496ba67d"/>
    <w:p>
      <w:pPr>
        <w:pStyle w:val="Heading3"/>
      </w:pPr>
      <w:r>
        <w:t xml:space="preserve">4. Projetar a informação</w:t>
      </w:r>
    </w:p>
    <w:bookmarkStart w:id="32" w:name="conceito"/>
    <w:p>
      <w:pPr>
        <w:pStyle w:val="Heading4"/>
      </w:pPr>
      <w:r>
        <w:t xml:space="preserve">Conceito</w:t>
      </w:r>
    </w:p>
    <w:p>
      <w:pPr>
        <w:pStyle w:val="FirstParagraph"/>
      </w:pPr>
      <w:r>
        <w:t xml:space="preserve">Explica o que algo é e por que importa.</w:t>
      </w:r>
    </w:p>
    <w:bookmarkEnd w:id="32"/>
    <w:bookmarkStart w:id="33" w:name="procedimentotarefa"/>
    <w:p>
      <w:pPr>
        <w:pStyle w:val="Heading4"/>
      </w:pPr>
      <w:r>
        <w:t xml:space="preserve">Procedimento/tarefa</w:t>
      </w:r>
    </w:p>
    <w:p>
      <w:pPr>
        <w:pStyle w:val="FirstParagraph"/>
      </w:pPr>
      <w:r>
        <w:t xml:space="preserve">Explica como alcançar um objetivo em sequência definida.</w:t>
      </w:r>
    </w:p>
    <w:bookmarkEnd w:id="33"/>
    <w:bookmarkStart w:id="34" w:name="referência"/>
    <w:p>
      <w:pPr>
        <w:pStyle w:val="Heading4"/>
      </w:pPr>
      <w:r>
        <w:t xml:space="preserve">Referência</w:t>
      </w:r>
    </w:p>
    <w:p>
      <w:pPr>
        <w:pStyle w:val="FirstParagraph"/>
      </w:pPr>
      <w:r>
        <w:t xml:space="preserve">Fornece dados precisos para consulta, como comandos, campos, parâmetros, limites e especificações.</w:t>
      </w:r>
    </w:p>
    <w:bookmarkEnd w:id="34"/>
    <w:bookmarkStart w:id="35" w:name="solução-de-problemas"/>
    <w:p>
      <w:pPr>
        <w:pStyle w:val="Heading4"/>
      </w:pPr>
      <w:r>
        <w:t xml:space="preserve">Solução de problemas</w:t>
      </w:r>
    </w:p>
    <w:p>
      <w:pPr>
        <w:pStyle w:val="FirstParagraph"/>
      </w:pPr>
      <w:r>
        <w:t xml:space="preserve">Ajuda a diagnosticar sintomas, causas e caminhos aprovados de recuperação.</w:t>
      </w:r>
    </w:p>
    <w:bookmarkEnd w:id="35"/>
    <w:bookmarkEnd w:id="36"/>
    <w:bookmarkStart w:id="37" w:name="Xec9fa92943c1eea3f03221c1fdda7d70c5224c7"/>
    <w:p>
      <w:pPr>
        <w:pStyle w:val="Heading3"/>
      </w:pPr>
      <w:r>
        <w:t xml:space="preserve">5. Redigir com clareza sem alterar o significado técnico</w:t>
      </w:r>
    </w:p>
    <w:p>
      <w:pPr>
        <w:pStyle w:val="FirstParagraph"/>
      </w:pPr>
      <w:r>
        <w:t xml:space="preserve">Use linguagem clara quando possível: objetivo logo no início, termos familiares tecnicamente corretos, definição de jargão inevitável, frases curtas para ações complexas, uma ação por passo quando a sequência importa, terminologia consistente, pré-requisitos antes do procedimento, avisos antes da ação de risco, resultado esperado e exemplos compatíveis.</w:t>
      </w:r>
    </w:p>
    <w:p>
      <w:pPr>
        <w:pStyle w:val="BodyText"/>
      </w:pPr>
      <w:r>
        <w:t xml:space="preserve">Linguagem simples</w:t>
      </w:r>
      <w:r>
        <w:t xml:space="preserve"> </w:t>
      </w:r>
      <w:r>
        <w:rPr>
          <w:bCs/>
          <w:b/>
        </w:rPr>
        <w:t xml:space="preserve">não</w:t>
      </w:r>
      <w:r>
        <w:t xml:space="preserve"> </w:t>
      </w:r>
      <w:r>
        <w:t xml:space="preserve">significa perder precisão.</w:t>
      </w:r>
    </w:p>
    <w:bookmarkEnd w:id="37"/>
    <w:bookmarkEnd w:id="38"/>
    <w:bookmarkStart w:id="39" w:name="Xf6b7722267528a2ff8ff137182611f37b9d9239"/>
    <w:p>
      <w:pPr>
        <w:pStyle w:val="Heading2"/>
      </w:pPr>
      <w:r>
        <w:t xml:space="preserve">Procedimentos, avisos e informação crítica de segurança</w:t>
      </w:r>
    </w:p>
    <w:p>
      <w:pPr>
        <w:pStyle w:val="FirstParagraph"/>
      </w:pPr>
      <w:r>
        <w:t xml:space="preserve">Um procedimento pode incluir propósito, escopo, pré-requisitos, ferramentas/permissões, avisos/precauções/notas conforme padrão da organização, passos numerados, resultados esperados, verificação, rollback/recuperação autorizada, escalonamento e versão aplicável.</w:t>
      </w:r>
    </w:p>
    <w:p>
      <w:pPr>
        <w:pStyle w:val="BodyText"/>
      </w:pPr>
      <w:r>
        <w:t xml:space="preserve">Em trabalho regulado ou crítico à segurança, use o sistema aprovado de perigos, avisos e revisão. Não determine sozinho gravidade ou risco aceitável sem responsabilidade formal e qualificação.</w:t>
      </w:r>
    </w:p>
    <w:bookmarkEnd w:id="39"/>
    <w:bookmarkStart w:id="40" w:name="documentação-de-software-e-apis"/>
    <w:p>
      <w:pPr>
        <w:pStyle w:val="Heading2"/>
      </w:pPr>
      <w:r>
        <w:t xml:space="preserve">Documentação de software e APIs</w:t>
      </w:r>
    </w:p>
    <w:p>
      <w:pPr>
        <w:pStyle w:val="FirstParagraph"/>
      </w:pPr>
      <w:r>
        <w:t xml:space="preserve">Pode incluir instalação, configuração, autenticação, guias de usuário/admin, CLI, endpoints e schemas de API, exemplos de request/response, SDK/código, erros, release notes, migração, troubleshooting e arquitetura aprovada para o público.</w:t>
      </w:r>
    </w:p>
    <w:p>
      <w:pPr>
        <w:pStyle w:val="BodyText"/>
      </w:pPr>
      <w:r>
        <w:t xml:space="preserve">Teste exemplos em ambiente apropriado quando possível. Nunca publique credenciais reais, chaves, tokens de produção, dados pessoais ou defaults inseguros.</w:t>
      </w:r>
    </w:p>
    <w:p>
      <w:pPr>
        <w:pStyle w:val="BodyText"/>
      </w:pPr>
      <w:r>
        <w:t xml:space="preserve">A documentação de API deve separar campos obrigatórios/opcionais, tipos, valores permitidos, autenticação, permissões, erros e versionamento. Engenharia continua responsável pela implementação, salvo se a pessoa também tiver esse papel.</w:t>
      </w:r>
    </w:p>
    <w:bookmarkEnd w:id="40"/>
    <w:bookmarkStart w:id="41" w:name="docs-as-code-e-controle-de-versão"/>
    <w:p>
      <w:pPr>
        <w:pStyle w:val="Heading2"/>
      </w:pPr>
      <w:r>
        <w:t xml:space="preserve">Docs-as-code e controle de versão</w:t>
      </w:r>
    </w:p>
    <w:p>
      <w:pPr>
        <w:pStyle w:val="FirstParagraph"/>
      </w:pPr>
      <w:r>
        <w:t xml:space="preserve">Fluxos docs-as-code podem usar Markdown, Git, branches e pull requests, issue trackers, lint/link/build checks, geradores estáticos e CI/CD documental.</w:t>
      </w:r>
    </w:p>
    <w:p>
      <w:pPr>
        <w:pStyle w:val="BodyText"/>
      </w:pPr>
      <w:r>
        <w:t xml:space="preserve">Benefícios: rastreabilidade, revisão por pares e builds reproduzíveis. Riscos: publicar da branch errada, expor conteúdo sensível, gerar saída quebrada ou confundir build bem-sucedido com precisão factual.</w:t>
      </w:r>
    </w:p>
    <w:p>
      <w:pPr>
        <w:pStyle w:val="BodyText"/>
      </w:pPr>
      <w:r>
        <w:t xml:space="preserve">Quem usa Git deve entender clone/pull/commit/push, branches, conflitos, pull requests, histórico, diffs, permissões e pipeline de documentação. Habilidades transferíveis importam mais que uma plataforma específica.</w:t>
      </w:r>
    </w:p>
    <w:bookmarkEnd w:id="41"/>
    <w:bookmarkStart w:id="42" w:name="autoria-estruturada-xml-e-reutilização"/>
    <w:p>
      <w:pPr>
        <w:pStyle w:val="Heading2"/>
      </w:pPr>
      <w:r>
        <w:t xml:space="preserve">Autoria estruturada, XML e reutilização</w:t>
      </w:r>
    </w:p>
    <w:p>
      <w:pPr>
        <w:pStyle w:val="FirstParagraph"/>
      </w:pPr>
      <w:r>
        <w:t xml:space="preserve">Programas grandes podem usar XML, schemas, tópicos/componentes, metadados, texto condicional, variáveis, single sourcing, reutilização e publicação automatizada. A reutilização aumenta consistência, mas também pode multiplicar um erro; conteúdo reutilizável precisa de dono e revisão claros.</w:t>
      </w:r>
    </w:p>
    <w:bookmarkEnd w:id="42"/>
    <w:bookmarkStart w:id="43" w:name="controle-de-revisão-e-documento"/>
    <w:p>
      <w:pPr>
        <w:pStyle w:val="Heading2"/>
      </w:pPr>
      <w:r>
        <w:t xml:space="preserve">Controle de revisão e documento</w:t>
      </w:r>
    </w:p>
    <w:p>
      <w:pPr>
        <w:pStyle w:val="FirstParagraph"/>
      </w:pPr>
      <w:r>
        <w:t xml:space="preserve">Um documento controlado deve permitir responder: qual versão é atual, o que mudou, por quê, quem revisou/aprovou, a quais versões se aplica, onde está a fonte autorizada e qual versão anterior não deve mais ser usada.</w:t>
      </w:r>
    </w:p>
    <w:p>
      <w:pPr>
        <w:pStyle w:val="BodyText"/>
      </w:pPr>
      <w:r>
        <w:t xml:space="preserve">Controles podem incluir ID, código de revisão, data efetiva, assinaturas, resumo de mudanças, histórico do repositório, tags de release e distribuição controlada.</w:t>
      </w:r>
    </w:p>
    <w:p>
      <w:pPr>
        <w:pStyle w:val="BodyText"/>
      </w:pPr>
      <w:r>
        <w:t xml:space="preserve">Não invente retenção ou destruição; siga política e requisitos aplicáveis.</w:t>
      </w:r>
    </w:p>
    <w:bookmarkEnd w:id="43"/>
    <w:bookmarkStart w:id="44" w:name="revisões-e-aprovações"/>
    <w:p>
      <w:pPr>
        <w:pStyle w:val="Heading2"/>
      </w:pPr>
      <w:r>
        <w:t xml:space="preserve">Revisões e aprovações</w:t>
      </w:r>
    </w:p>
    <w:p>
      <w:pPr>
        <w:pStyle w:val="FirstParagraph"/>
      </w:pPr>
      <w:r>
        <w:t xml:space="preserve">Revisão deve ser baseada em papel: SME técnico, product owner, especialista de segurança, jurídico/compliance, cibersegurança/privacidade, acessibilidade, editor/content lead, revisor de localização e controle documental. Registre comentários e resolução; “parece bom” em chat pode não satisfazer aprovação formal.</w:t>
      </w:r>
    </w:p>
    <w:bookmarkEnd w:id="44"/>
    <w:bookmarkStart w:id="45" w:name="ilustrações-capturas-e-diagramas"/>
    <w:p>
      <w:pPr>
        <w:pStyle w:val="Heading2"/>
      </w:pPr>
      <w:r>
        <w:t xml:space="preserve">Ilustrações, capturas e diagramas</w:t>
      </w:r>
    </w:p>
    <w:p>
      <w:pPr>
        <w:pStyle w:val="FirstParagraph"/>
      </w:pPr>
      <w:r>
        <w:t xml:space="preserve">Antes de publicar, confirme versão correta, remova informação sensível, verifique rótulos/unidades, use resolução suficiente, não dependa apenas de cor, forneça texto alternativo quando necessário, confirme copyright/licença e mantenha o arquivo fonte quando houver manutenção prevista.</w:t>
      </w:r>
    </w:p>
    <w:bookmarkEnd w:id="45"/>
    <w:bookmarkStart w:id="46" w:name="acessibilidade-em-documentação-técnica"/>
    <w:p>
      <w:pPr>
        <w:pStyle w:val="Heading2"/>
      </w:pPr>
      <w:r>
        <w:t xml:space="preserve">Acessibilidade em documentação técnica</w:t>
      </w:r>
    </w:p>
    <w:p>
      <w:pPr>
        <w:pStyle w:val="FirstParagraph"/>
      </w:pPr>
      <w:r>
        <w:t xml:space="preserve">Section508.gov fornece orientação federal atual para Word, PDF e outros produtos digitais. Práticas úteis: estilos reais de heading, estrutura significativa, listas nativas, links descritivos, alt text, tabelas simples e marcadas corretamente, idioma do documento, não depender só de cor e fornecer legendas/transcrições/descrições quando aplicável.</w:t>
      </w:r>
    </w:p>
    <w:p>
      <w:pPr>
        <w:pStyle w:val="BodyText"/>
      </w:pPr>
      <w:r>
        <w:t xml:space="preserve">Para documentação web, WCAG pode ser relevante conforme organização e jurisdição.</w:t>
      </w:r>
    </w:p>
    <w:p>
      <w:pPr>
        <w:pStyle w:val="BodyText"/>
      </w:pPr>
      <w:r>
        <w:t xml:space="preserve">Um checker automático ajuda, mas não prova acessibilidade completa. Pode ser necessária revisão humana e teste com tecnologia assistiva. Não declare certificação legal sem processo apropriado.</w:t>
      </w:r>
    </w:p>
    <w:bookmarkEnd w:id="46"/>
    <w:bookmarkStart w:id="47" w:name="linguagem-simples-e-legibilidade"/>
    <w:p>
      <w:pPr>
        <w:pStyle w:val="Heading2"/>
      </w:pPr>
      <w:r>
        <w:t xml:space="preserve">Linguagem simples e legibilidade</w:t>
      </w:r>
    </w:p>
    <w:p>
      <w:pPr>
        <w:pStyle w:val="FirstParagraph"/>
      </w:pPr>
      <w:r>
        <w:t xml:space="preserve">A orientação do Digital.gov prioriza público, organização lógica, informação importante primeiro e frases claras. Métricas são sinais, não prova. Termos controlados, linguagem regulatória e nomes exatos podem precisar permanecer.</w:t>
      </w:r>
    </w:p>
    <w:bookmarkEnd w:id="47"/>
    <w:bookmarkStart w:id="48" w:name="X4636b740db9b2d675a4a7c1e8c739054fa32ae1"/>
    <w:p>
      <w:pPr>
        <w:pStyle w:val="Heading2"/>
      </w:pPr>
      <w:r>
        <w:t xml:space="preserve">Privacidade, confidencialidade e cibersegurança</w:t>
      </w:r>
    </w:p>
    <w:p>
      <w:pPr>
        <w:pStyle w:val="FirstParagraph"/>
      </w:pPr>
      <w:r>
        <w:t xml:space="preserve">Redatores técnicos podem acessar diagramas de rede, credenciais, incidentes, vulnerabilidades, arquitetura interna, produtos inéditos, código fonte, dados de clientes e procedimentos de segurança.</w:t>
      </w:r>
    </w:p>
    <w:p>
      <w:pPr>
        <w:pStyle w:val="BodyText"/>
      </w:pPr>
      <w:r>
        <w:t xml:space="preserve">Práticas: sistemas e repositórios aprovados; MFA; gerenciamento aprovado de senhas; permissões por necessidade; remoção/redação de credenciais, tokens, chaves e dados pessoais; exemplos sintéticos; revisão de screenshots; avaliação de disclosure externo; reporte de phishing/malware/exposição; política de atualização/dispositivo; participação do responsável de segurança/privacidade antes de publicar conteúdo sensível.</w:t>
      </w:r>
    </w:p>
    <w:p>
      <w:pPr>
        <w:pStyle w:val="BodyText"/>
      </w:pPr>
      <w:r>
        <w:t xml:space="preserve">CISA Secure Our World enfatiza phishing, senhas/gerenciadores, MFA e atualizações. A pessoa redatora não deve inventar arquitetura de segurança nem autorizar divulgação.</w:t>
      </w:r>
    </w:p>
    <w:bookmarkEnd w:id="48"/>
    <w:bookmarkStart w:id="49" w:name="ia-responsável-na-redação-técnica"/>
    <w:p>
      <w:pPr>
        <w:pStyle w:val="Heading2"/>
      </w:pPr>
      <w:r>
        <w:t xml:space="preserve">IA responsável na redação técnica</w:t>
      </w:r>
    </w:p>
    <w:p>
      <w:pPr>
        <w:pStyle w:val="FirstParagraph"/>
      </w:pPr>
      <w:r>
        <w:t xml:space="preserve">Quando permitido, IA pode ajudar em tarefas de baixo risco: brainstorming de estrutura, inconsistências terminológicas, alternativas de linguagem simples, organização de notas não sensíveis, exemplos sintéticos, explicação de código para verificação posterior e sugestões de perguntas de teste.</w:t>
      </w:r>
    </w:p>
    <w:p>
      <w:pPr>
        <w:pStyle w:val="BodyText"/>
      </w:pPr>
      <w:r>
        <w:t xml:space="preserve">IA pode soar confiante e estar errada. Fluência não é evidência.</w:t>
      </w:r>
    </w:p>
    <w:p>
      <w:pPr>
        <w:pStyle w:val="BodyText"/>
      </w:pPr>
      <w:r>
        <w:t xml:space="preserve">Antes de aceitar conteúdo assistido, verifique fatos, versão, código/configuração, segurança, afirmações legais/regulatórias, privacidade, licença/proveniência, acessibilidade, terminologia, disclosure e autorização dos dados.</w:t>
      </w:r>
    </w:p>
    <w:p>
      <w:pPr>
        <w:pStyle w:val="BodyText"/>
      </w:pPr>
      <w:r>
        <w:t xml:space="preserve">Não envie código proprietário, credenciais, engenharia inédita, dados privados, incidentes ou informação regulada a IA não aprovada.</w:t>
      </w:r>
    </w:p>
    <w:p>
      <w:pPr>
        <w:pStyle w:val="BodyText"/>
      </w:pPr>
      <w:r>
        <w:t xml:space="preserve">O NIST AI RMF é orientação voluntária e o perfil de IA generativa trata riscos específicos. Regra prática:</w:t>
      </w:r>
      <w:r>
        <w:t xml:space="preserve"> </w:t>
      </w:r>
      <w:r>
        <w:rPr>
          <w:bCs/>
          <w:b/>
        </w:rPr>
        <w:t xml:space="preserve">IA pode ajudar a redigir, mas fontes e revisores humanos aprovados continuam sendo a autoridade.</w:t>
      </w:r>
    </w:p>
    <w:bookmarkEnd w:id="49"/>
    <w:bookmarkStart w:id="53" w:name="habilidades-valorizadas-por-empregadores"/>
    <w:p>
      <w:pPr>
        <w:pStyle w:val="Heading2"/>
      </w:pPr>
      <w:r>
        <w:t xml:space="preserve">Habilidades valorizadas por empregadores</w:t>
      </w:r>
    </w:p>
    <w:bookmarkStart w:id="50" w:name="escrita-e-edição"/>
    <w:p>
      <w:pPr>
        <w:pStyle w:val="Heading3"/>
      </w:pPr>
      <w:r>
        <w:t xml:space="preserve">Escrita e edição</w:t>
      </w:r>
    </w:p>
    <w:p>
      <w:pPr>
        <w:pStyle w:val="FirstParagraph"/>
      </w:pPr>
      <w:r>
        <w:t xml:space="preserve">Prosa técnica clara, gramática, instruções concisas, terminologia, adaptação ao público, revisão, guia de estilo e arquitetura de informação.</w:t>
      </w:r>
    </w:p>
    <w:bookmarkEnd w:id="50"/>
    <w:bookmarkStart w:id="51" w:name="pesquisa-e-colaboração"/>
    <w:p>
      <w:pPr>
        <w:pStyle w:val="Heading3"/>
      </w:pPr>
      <w:r>
        <w:t xml:space="preserve">Pesquisa e colaboração</w:t>
      </w:r>
    </w:p>
    <w:p>
      <w:pPr>
        <w:pStyle w:val="FirstParagraph"/>
      </w:pPr>
      <w:r>
        <w:t xml:space="preserve">Entrevistas a SME, escuta ativa, perguntas precisas, rastreabilidade, reconhecimento de incerteza, comentários e comunicação multifuncional.</w:t>
      </w:r>
    </w:p>
    <w:bookmarkEnd w:id="51"/>
    <w:bookmarkStart w:id="52" w:name="operações-técnicasdocumentais"/>
    <w:p>
      <w:pPr>
        <w:pStyle w:val="Heading3"/>
      </w:pPr>
      <w:r>
        <w:t xml:space="preserve">Operações técnicas/documentais</w:t>
      </w:r>
    </w:p>
    <w:p>
      <w:pPr>
        <w:pStyle w:val="FirstParagraph"/>
      </w:pPr>
      <w:r>
        <w:t xml:space="preserve">Controle de versão, gestão documental, CMS, Markdown/markup, modelos, XML quando relevante, diagramas/capturas, link checking, metadados, publicação, HTML/CSS básico e conhecimento de API/código quando necessário.</w:t>
      </w:r>
    </w:p>
    <w:p>
      <w:pPr>
        <w:pStyle w:val="BodyText"/>
      </w:pPr>
      <w:r>
        <w:t xml:space="preserve">Dados atuais de O*NET mostram Microsoft Office, Excel, PowerPoint, Word, SharePoint, Visio, Outlook, Confluence, XML, Jira e GitHub em anúncios. São sinais de demanda, não checklist universal.</w:t>
      </w:r>
    </w:p>
    <w:bookmarkEnd w:id="52"/>
    <w:bookmarkEnd w:id="53"/>
    <w:bookmarkStart w:id="54" w:name="educação-e-entrada--estados-unidos"/>
    <w:p>
      <w:pPr>
        <w:pStyle w:val="Heading2"/>
      </w:pPr>
      <w:r>
        <w:t xml:space="preserve">Educação e entrada — Estados Unidos</w:t>
      </w:r>
    </w:p>
    <w:p>
      <w:pPr>
        <w:pStyle w:val="FirstParagraph"/>
      </w:pPr>
      <w:r>
        <w:t xml:space="preserve">O*NET classifica Technical Writers em</w:t>
      </w:r>
      <w:r>
        <w:t xml:space="preserve"> </w:t>
      </w:r>
      <w:r>
        <w:rPr>
          <w:bCs/>
          <w:b/>
        </w:rPr>
        <w:t xml:space="preserve">Job Zone Four: Considerable Preparation Needed</w:t>
      </w:r>
      <w:r>
        <w:t xml:space="preserve">. A maioria das ocupações dessa zona exige bacharelado, embora algumas não, e experiência/conhecimento relevante costuma ser importante.</w:t>
      </w:r>
    </w:p>
    <w:p>
      <w:pPr>
        <w:pStyle w:val="BodyText"/>
      </w:pPr>
      <w:r>
        <w:t xml:space="preserve">Empregadores podem valorizar formação técnica/científica, formação em inglês/comunicação/technical communication com domínio técnico, certificado de escrita técnica, experiência de domínio com portfólio, documentação de software/API, qualidade/regulação e ferramentas de documentação/versionamento.</w:t>
      </w:r>
    </w:p>
    <w:p>
      <w:pPr>
        <w:pStyle w:val="BodyText"/>
      </w:pPr>
      <w:r>
        <w:t xml:space="preserve">Sequência de baixo custo:</w:t>
      </w:r>
    </w:p>
    <w:p>
      <w:pPr>
        <w:numPr>
          <w:ilvl w:val="0"/>
          <w:numId w:val="1002"/>
        </w:numPr>
        <w:pStyle w:val="Compact"/>
      </w:pPr>
      <w:r>
        <w:t xml:space="preserve">escolher um domínio técnico realista;</w:t>
      </w:r>
    </w:p>
    <w:p>
      <w:pPr>
        <w:numPr>
          <w:ilvl w:val="0"/>
          <w:numId w:val="1002"/>
        </w:numPr>
        <w:pStyle w:val="Compact"/>
      </w:pPr>
      <w:r>
        <w:t xml:space="preserve">estudar escrita baseada em tarefas, arquitetura e edição;</w:t>
      </w:r>
    </w:p>
    <w:p>
      <w:pPr>
        <w:numPr>
          <w:ilvl w:val="0"/>
          <w:numId w:val="1002"/>
        </w:numPr>
        <w:pStyle w:val="Compact"/>
      </w:pPr>
      <w:r>
        <w:t xml:space="preserve">aprender Markdown e controle de versão básico;</w:t>
      </w:r>
    </w:p>
    <w:p>
      <w:pPr>
        <w:numPr>
          <w:ilvl w:val="0"/>
          <w:numId w:val="1002"/>
        </w:numPr>
        <w:pStyle w:val="Compact"/>
      </w:pPr>
      <w:r>
        <w:t xml:space="preserve">criar how-to, referência e troubleshooting com informação pública/sintética;</w:t>
      </w:r>
    </w:p>
    <w:p>
      <w:pPr>
        <w:numPr>
          <w:ilvl w:val="0"/>
          <w:numId w:val="1002"/>
        </w:numPr>
        <w:pStyle w:val="Compact"/>
      </w:pPr>
      <w:r>
        <w:t xml:space="preserve">aprender estrutura acessível;</w:t>
      </w:r>
    </w:p>
    <w:p>
      <w:pPr>
        <w:numPr>
          <w:ilvl w:val="0"/>
          <w:numId w:val="1002"/>
        </w:numPr>
        <w:pStyle w:val="Compact"/>
      </w:pPr>
      <w:r>
        <w:t xml:space="preserve">praticar entrevista de SME e registro de fonte/aprovação;</w:t>
      </w:r>
    </w:p>
    <w:p>
      <w:pPr>
        <w:numPr>
          <w:ilvl w:val="0"/>
          <w:numId w:val="1002"/>
        </w:numPr>
        <w:pStyle w:val="Compact"/>
      </w:pPr>
      <w:r>
        <w:t xml:space="preserve">montar portfólio com histórico de revisão;</w:t>
      </w:r>
    </w:p>
    <w:p>
      <w:pPr>
        <w:numPr>
          <w:ilvl w:val="0"/>
          <w:numId w:val="1002"/>
        </w:numPr>
        <w:pStyle w:val="Compact"/>
      </w:pPr>
      <w:r>
        <w:t xml:space="preserve">candidatar-se a funções junior compatíveis com o domínio.</w:t>
      </w:r>
    </w:p>
    <w:bookmarkEnd w:id="54"/>
    <w:bookmarkStart w:id="55" w:name="Xfc00071d024eebf9704fdf7801d59d13aacdc56"/>
    <w:p>
      <w:pPr>
        <w:pStyle w:val="Heading2"/>
      </w:pPr>
      <w:r>
        <w:t xml:space="preserve">Financiamento, treinamento de baixo custo e aprendizagem no trabalho — Estados Unidos</w:t>
      </w:r>
    </w:p>
    <w:p>
      <w:pPr>
        <w:pStyle w:val="FirstParagraph"/>
      </w:pPr>
      <w:r>
        <w:t xml:space="preserve">CareerOneStop fornece diretórios estaduais de treinamento elegível para WIOA e Local Training Finder. Financiamento WIOA não é automático; elegibilidade e provedores variam. Confirme em um American Job Center.</w:t>
      </w:r>
    </w:p>
    <w:p>
      <w:pPr>
        <w:pStyle w:val="BodyText"/>
      </w:pPr>
      <w:r>
        <w:t xml:space="preserve">Buscas úteis: technical writing, professional writing, technical communication, business/scientific writing, information design, documentation, content strategy, API documentation, XML e instructional documentation.</w:t>
      </w:r>
    </w:p>
    <w:p>
      <w:pPr>
        <w:pStyle w:val="BodyText"/>
      </w:pPr>
      <w:r>
        <w:t xml:space="preserve">O*NET lista exemplos de títulos de Registered Apprenticeship</w:t>
      </w:r>
      <w:r>
        <w:t xml:space="preserve"> </w:t>
      </w:r>
      <w:r>
        <w:rPr>
          <w:bCs/>
          <w:b/>
        </w:rPr>
        <w:t xml:space="preserve">Technical Content Professional</w:t>
      </w:r>
      <w:r>
        <w:t xml:space="preserve"> </w:t>
      </w:r>
      <w:r>
        <w:t xml:space="preserve">e</w:t>
      </w:r>
      <w:r>
        <w:t xml:space="preserve"> </w:t>
      </w:r>
      <w:r>
        <w:rPr>
          <w:bCs/>
          <w:b/>
        </w:rPr>
        <w:t xml:space="preserve">Technical Writer (Nof)</w:t>
      </w:r>
      <w:r>
        <w:t xml:space="preserve">. Um título listado não garante vaga ativa. Verifique Apprenticeship.gov e parceiros locais.</w:t>
      </w:r>
    </w:p>
    <w:bookmarkEnd w:id="55"/>
    <w:bookmarkStart w:id="56" w:name="caminho-no-canadá"/>
    <w:p>
      <w:pPr>
        <w:pStyle w:val="Heading2"/>
      </w:pPr>
      <w:r>
        <w:t xml:space="preserve">Caminho no Canadá</w:t>
      </w:r>
    </w:p>
    <w:p>
      <w:pPr>
        <w:pStyle w:val="FirstParagraph"/>
      </w:pPr>
      <w:r>
        <w:t xml:space="preserve">Canada Job Bank identifica</w:t>
      </w:r>
      <w:r>
        <w:t xml:space="preserve"> </w:t>
      </w:r>
      <w:r>
        <w:rPr>
          <w:bCs/>
          <w:b/>
        </w:rPr>
        <w:t xml:space="preserve">Technical writers — NOC 51112</w:t>
      </w:r>
      <w:r>
        <w:t xml:space="preserve">. A descrição inclui escrever manuais e especificações, com atuação em governo, empresas, consultorias, editoras e trabalho autônomo.</w:t>
      </w:r>
    </w:p>
    <w:p>
      <w:pPr>
        <w:pStyle w:val="BodyText"/>
      </w:pPr>
      <w:r>
        <w:t xml:space="preserve">Job Bank diz que normalmente se requer diploma universitário na área de especialização, como ciência da computação ou engenharia, e que a ocupação</w:t>
      </w:r>
      <w:r>
        <w:t xml:space="preserve"> </w:t>
      </w:r>
      <w:r>
        <w:rPr>
          <w:bCs/>
          <w:b/>
        </w:rPr>
        <w:t xml:space="preserve">não é regulamentada no Canadá</w:t>
      </w:r>
      <w:r>
        <w:t xml:space="preserve">.</w:t>
      </w:r>
    </w:p>
    <w:p>
      <w:pPr>
        <w:pStyle w:val="BodyText"/>
      </w:pPr>
      <w:r>
        <w:t xml:space="preserve">Salários nacionais atuais:</w:t>
      </w:r>
    </w:p>
    <w:p>
      <w:pPr>
        <w:numPr>
          <w:ilvl w:val="0"/>
          <w:numId w:val="1003"/>
        </w:numPr>
        <w:pStyle w:val="Compact"/>
      </w:pPr>
      <w:r>
        <w:t xml:space="preserve">baixo:</w:t>
      </w:r>
      <w:r>
        <w:t xml:space="preserve"> </w:t>
      </w:r>
      <w:r>
        <w:rPr>
          <w:bCs/>
          <w:b/>
        </w:rPr>
        <w:t xml:space="preserve">C$27.00/hora</w:t>
      </w:r>
      <w:r>
        <w:t xml:space="preserve">;</w:t>
      </w:r>
    </w:p>
    <w:p>
      <w:pPr>
        <w:numPr>
          <w:ilvl w:val="0"/>
          <w:numId w:val="1003"/>
        </w:numPr>
        <w:pStyle w:val="Compact"/>
      </w:pPr>
      <w:r>
        <w:t xml:space="preserve">mediano:</w:t>
      </w:r>
      <w:r>
        <w:t xml:space="preserve"> </w:t>
      </w:r>
      <w:r>
        <w:rPr>
          <w:bCs/>
          <w:b/>
        </w:rPr>
        <w:t xml:space="preserve">C$36.06/hora</w:t>
      </w:r>
      <w:r>
        <w:t xml:space="preserve">;</w:t>
      </w:r>
    </w:p>
    <w:p>
      <w:pPr>
        <w:numPr>
          <w:ilvl w:val="0"/>
          <w:numId w:val="1003"/>
        </w:numPr>
        <w:pStyle w:val="Compact"/>
      </w:pPr>
      <w:r>
        <w:t xml:space="preserve">alto:</w:t>
      </w:r>
      <w:r>
        <w:t xml:space="preserve"> </w:t>
      </w:r>
      <w:r>
        <w:rPr>
          <w:bCs/>
          <w:b/>
        </w:rPr>
        <w:t xml:space="preserve">C$53.37/hora</w:t>
      </w:r>
      <w:r>
        <w:t xml:space="preserve">.</w:t>
      </w:r>
    </w:p>
    <w:p>
      <w:pPr>
        <w:pStyle w:val="FirstParagraph"/>
      </w:pPr>
      <w:r>
        <w:t xml:space="preserve">A semana típica é de</w:t>
      </w:r>
      <w:r>
        <w:t xml:space="preserve"> </w:t>
      </w:r>
      <w:r>
        <w:rPr>
          <w:bCs/>
          <w:b/>
        </w:rPr>
        <w:t xml:space="preserve">35 a 40 horas</w:t>
      </w:r>
      <w:r>
        <w:t xml:space="preserve">. Canada.ca oferece localizadores de treinamento, apoio estudantil, grants/loans, skills upgrading e experiência de trabalho. Verifique qualidade, custo e elegibilidade antes de pagar.</w:t>
      </w:r>
    </w:p>
    <w:bookmarkEnd w:id="56"/>
    <w:bookmarkStart w:id="58" w:name="caminho-na-colômbia"/>
    <w:p>
      <w:pPr>
        <w:pStyle w:val="Heading2"/>
      </w:pPr>
      <w:r>
        <w:t xml:space="preserve">Caminho na Colômbia</w:t>
      </w:r>
    </w:p>
    <w:p>
      <w:pPr>
        <w:pStyle w:val="FirstParagraph"/>
      </w:pPr>
      <w:r>
        <w:t xml:space="preserve">OCUPACOL identifica</w:t>
      </w:r>
      <w:r>
        <w:t xml:space="preserve"> </w:t>
      </w:r>
      <w:r>
        <w:rPr>
          <w:bCs/>
          <w:b/>
        </w:rPr>
        <w:t xml:space="preserve">CUOC 26410 — Autores y otros escritores</w:t>
      </w:r>
      <w:r>
        <w:t xml:space="preserve">, nível de competência 4, incluindo</w:t>
      </w:r>
      <w:r>
        <w:t xml:space="preserve"> </w:t>
      </w:r>
      <w:r>
        <w:rPr>
          <w:bCs/>
          <w:b/>
        </w:rPr>
        <w:t xml:space="preserve">Autor técnico, Comunicador técnico de manuales, Escritor de documentación, Escritor técnico e Redactor técnico</w:t>
      </w:r>
      <w:r>
        <w:t xml:space="preserve">. O perfil inclui pesquisar, documentar e escrever manuais e especificações.</w:t>
      </w:r>
    </w:p>
    <w:p>
      <w:pPr>
        <w:pStyle w:val="BodyText"/>
      </w:pPr>
      <w:r>
        <w:t xml:space="preserve">OCUPACOL mostra faixa salarial, mas avisa que os dados</w:t>
      </w:r>
      <w:r>
        <w:t xml:space="preserve"> </w:t>
      </w:r>
      <w:r>
        <w:rPr>
          <w:bCs/>
          <w:b/>
        </w:rPr>
        <w:t xml:space="preserve">não têm representatividade estatística</w:t>
      </w:r>
      <w:r>
        <w:t xml:space="preserve"> </w:t>
      </w:r>
      <w:r>
        <w:t xml:space="preserve">pela metodologia aplicada. Este guia não usa essa faixa como benchmark representativo atual.</w:t>
      </w:r>
    </w:p>
    <w:bookmarkStart w:id="57" w:name="sena"/>
    <w:p>
      <w:pPr>
        <w:pStyle w:val="Heading3"/>
      </w:pPr>
      <w:r>
        <w:t xml:space="preserve">SENA</w:t>
      </w:r>
    </w:p>
    <w:p>
      <w:pPr>
        <w:pStyle w:val="FirstParagraph"/>
      </w:pPr>
      <w:r>
        <w:t xml:space="preserve">SENA Betowa lista atualmente:</w:t>
      </w:r>
    </w:p>
    <w:p>
      <w:pPr>
        <w:numPr>
          <w:ilvl w:val="0"/>
          <w:numId w:val="1004"/>
        </w:numPr>
        <w:pStyle w:val="Compact"/>
      </w:pPr>
      <w:r>
        <w:rPr>
          <w:bCs/>
          <w:b/>
        </w:rPr>
        <w:t xml:space="preserve">Redacción y ortografía</w:t>
      </w:r>
      <w:r>
        <w:t xml:space="preserve"> </w:t>
      </w:r>
      <w:r>
        <w:t xml:space="preserve">— curso complementar especial de</w:t>
      </w:r>
      <w:r>
        <w:t xml:space="preserve"> </w:t>
      </w:r>
      <w:r>
        <w:rPr>
          <w:bCs/>
          <w:b/>
        </w:rPr>
        <w:t xml:space="preserve">48 horas</w:t>
      </w:r>
      <w:r>
        <w:t xml:space="preserve">;</w:t>
      </w:r>
    </w:p>
    <w:p>
      <w:pPr>
        <w:numPr>
          <w:ilvl w:val="0"/>
          <w:numId w:val="1004"/>
        </w:numPr>
        <w:pStyle w:val="Compact"/>
      </w:pPr>
      <w:r>
        <w:rPr>
          <w:bCs/>
          <w:b/>
        </w:rPr>
        <w:t xml:space="preserve">Habilidades cognitivas en lecto-escritura</w:t>
      </w:r>
      <w:r>
        <w:t xml:space="preserve"> </w:t>
      </w:r>
      <w:r>
        <w:t xml:space="preserve">— programa complementar virtual de</w:t>
      </w:r>
      <w:r>
        <w:t xml:space="preserve"> </w:t>
      </w:r>
      <w:r>
        <w:rPr>
          <w:bCs/>
          <w:b/>
        </w:rPr>
        <w:t xml:space="preserve">48 horas</w:t>
      </w:r>
      <w:r>
        <w:t xml:space="preserve">.</w:t>
      </w:r>
    </w:p>
    <w:p>
      <w:pPr>
        <w:pStyle w:val="FirstParagraph"/>
      </w:pPr>
      <w:r>
        <w:t xml:space="preserve">São fundamentos úteis, não uma qualificação completa. Também são necessários conhecimento de domínio, verificação de fontes, entrevistas de SME, arquitetura documental, controle de versão/revisão, acessibilidade e publicação.</w:t>
      </w:r>
    </w:p>
    <w:p>
      <w:pPr>
        <w:pStyle w:val="BodyText"/>
      </w:pPr>
      <w:r>
        <w:t xml:space="preserve">Turmas, município, modalidade, patrocínio e vagas mudam. Betowa é a autoridade de matrícula.</w:t>
      </w:r>
    </w:p>
    <w:bookmarkEnd w:id="57"/>
    <w:bookmarkEnd w:id="58"/>
    <w:bookmarkStart w:id="59" w:name="caminho-na-américa-latina-e-caribe"/>
    <w:p>
      <w:pPr>
        <w:pStyle w:val="Heading2"/>
      </w:pPr>
      <w:r>
        <w:t xml:space="preserve">Caminho na América Latina e Caribe</w:t>
      </w:r>
    </w:p>
    <w:p>
      <w:pPr>
        <w:pStyle w:val="FirstParagraph"/>
      </w:pPr>
      <w:r>
        <w:t xml:space="preserve">OIT/Cinterfor mantém informação de países e instituições de formação profissional. Use o diretório para localizar a instituição nacional relevante e depois confirme programas, credenciais, modalidade, custo, elegibilidade e matrícula diretamente.</w:t>
      </w:r>
    </w:p>
    <w:p>
      <w:pPr>
        <w:pStyle w:val="BodyText"/>
      </w:pPr>
      <w:r>
        <w:t xml:space="preserve">O diretório não garante treinamento ou financiamento de redação técnica em todos os países.</w:t>
      </w:r>
    </w:p>
    <w:bookmarkEnd w:id="59"/>
    <w:bookmarkStart w:id="64" w:name="pesquisa-de-rendimentos-e-perspectiva"/>
    <w:p>
      <w:pPr>
        <w:pStyle w:val="Heading2"/>
      </w:pPr>
      <w:r>
        <w:t xml:space="preserve">Pesquisa de rendimentos e perspectiva</w:t>
      </w:r>
    </w:p>
    <w:bookmarkStart w:id="60" w:name="estados-unidos--dados-oficiais"/>
    <w:p>
      <w:pPr>
        <w:pStyle w:val="Heading3"/>
      </w:pPr>
      <w:r>
        <w:t xml:space="preserve">Estados Unidos — dados oficiais</w:t>
      </w:r>
    </w:p>
    <w:p>
      <w:pPr>
        <w:pStyle w:val="FirstParagraph"/>
      </w:pPr>
      <w:r>
        <w:t xml:space="preserve">Valores nacionais BLS/O*NET 2025:</w:t>
      </w:r>
    </w:p>
    <w:p>
      <w:pPr>
        <w:numPr>
          <w:ilvl w:val="0"/>
          <w:numId w:val="1005"/>
        </w:numPr>
        <w:pStyle w:val="Compact"/>
      </w:pPr>
      <w:r>
        <w:t xml:space="preserve">percentil 10:</w:t>
      </w:r>
      <w:r>
        <w:t xml:space="preserve"> </w:t>
      </w:r>
      <w:r>
        <w:rPr>
          <w:bCs/>
          <w:b/>
        </w:rPr>
        <w:t xml:space="preserve">US$57,440/ano</w:t>
      </w:r>
      <w:r>
        <w:t xml:space="preserve"> </w:t>
      </w:r>
      <w:r>
        <w:t xml:space="preserve">ou</w:t>
      </w:r>
      <w:r>
        <w:t xml:space="preserve"> </w:t>
      </w:r>
      <w:r>
        <w:rPr>
          <w:bCs/>
          <w:b/>
        </w:rPr>
        <w:t xml:space="preserve">US$27.62/hora</w:t>
      </w:r>
      <w:r>
        <w:t xml:space="preserve">;</w:t>
      </w:r>
    </w:p>
    <w:p>
      <w:pPr>
        <w:numPr>
          <w:ilvl w:val="0"/>
          <w:numId w:val="1005"/>
        </w:numPr>
        <w:pStyle w:val="Compact"/>
      </w:pPr>
      <w:r>
        <w:t xml:space="preserve">percentil 25:</w:t>
      </w:r>
      <w:r>
        <w:t xml:space="preserve"> </w:t>
      </w:r>
      <w:r>
        <w:rPr>
          <w:bCs/>
          <w:b/>
        </w:rPr>
        <w:t xml:space="preserve">US$70,880/ano</w:t>
      </w:r>
      <w:r>
        <w:t xml:space="preserve"> </w:t>
      </w:r>
      <w:r>
        <w:t xml:space="preserve">ou</w:t>
      </w:r>
      <w:r>
        <w:t xml:space="preserve"> </w:t>
      </w:r>
      <w:r>
        <w:rPr>
          <w:bCs/>
          <w:b/>
        </w:rPr>
        <w:t xml:space="preserve">US$34.08/hora</w:t>
      </w:r>
      <w:r>
        <w:t xml:space="preserve">;</w:t>
      </w:r>
    </w:p>
    <w:p>
      <w:pPr>
        <w:numPr>
          <w:ilvl w:val="0"/>
          <w:numId w:val="1005"/>
        </w:numPr>
        <w:pStyle w:val="Compact"/>
      </w:pPr>
      <w:r>
        <w:t xml:space="preserve">mediana:</w:t>
      </w:r>
      <w:r>
        <w:t xml:space="preserve"> </w:t>
      </w:r>
      <w:r>
        <w:rPr>
          <w:bCs/>
          <w:b/>
        </w:rPr>
        <w:t xml:space="preserve">US$90,390/ano</w:t>
      </w:r>
      <w:r>
        <w:t xml:space="preserve"> </w:t>
      </w:r>
      <w:r>
        <w:t xml:space="preserve">ou</w:t>
      </w:r>
      <w:r>
        <w:t xml:space="preserve"> </w:t>
      </w:r>
      <w:r>
        <w:rPr>
          <w:bCs/>
          <w:b/>
        </w:rPr>
        <w:t xml:space="preserve">US$43.46/hora</w:t>
      </w:r>
      <w:r>
        <w:t xml:space="preserve">;</w:t>
      </w:r>
    </w:p>
    <w:p>
      <w:pPr>
        <w:numPr>
          <w:ilvl w:val="0"/>
          <w:numId w:val="1005"/>
        </w:numPr>
        <w:pStyle w:val="Compact"/>
      </w:pPr>
      <w:r>
        <w:t xml:space="preserve">percentil 75:</w:t>
      </w:r>
      <w:r>
        <w:t xml:space="preserve"> </w:t>
      </w:r>
      <w:r>
        <w:rPr>
          <w:bCs/>
          <w:b/>
        </w:rPr>
        <w:t xml:space="preserve">US$115,510/ano</w:t>
      </w:r>
      <w:r>
        <w:t xml:space="preserve"> </w:t>
      </w:r>
      <w:r>
        <w:t xml:space="preserve">ou</w:t>
      </w:r>
      <w:r>
        <w:t xml:space="preserve"> </w:t>
      </w:r>
      <w:r>
        <w:rPr>
          <w:bCs/>
          <w:b/>
        </w:rPr>
        <w:t xml:space="preserve">US$55.53/hora</w:t>
      </w:r>
      <w:r>
        <w:t xml:space="preserve">;</w:t>
      </w:r>
    </w:p>
    <w:p>
      <w:pPr>
        <w:numPr>
          <w:ilvl w:val="0"/>
          <w:numId w:val="1005"/>
        </w:numPr>
        <w:pStyle w:val="Compact"/>
      </w:pPr>
      <w:r>
        <w:t xml:space="preserve">percentil 90:</w:t>
      </w:r>
      <w:r>
        <w:t xml:space="preserve"> </w:t>
      </w:r>
      <w:r>
        <w:rPr>
          <w:bCs/>
          <w:b/>
        </w:rPr>
        <w:t xml:space="preserve">US$145,270/ano</w:t>
      </w:r>
      <w:r>
        <w:t xml:space="preserve"> </w:t>
      </w:r>
      <w:r>
        <w:t xml:space="preserve">ou</w:t>
      </w:r>
      <w:r>
        <w:t xml:space="preserve"> </w:t>
      </w:r>
      <w:r>
        <w:rPr>
          <w:bCs/>
          <w:b/>
        </w:rPr>
        <w:t xml:space="preserve">US$69.84/hora</w:t>
      </w:r>
      <w:r>
        <w:t xml:space="preserve">.</w:t>
      </w:r>
    </w:p>
    <w:p>
      <w:pPr>
        <w:pStyle w:val="FirstParagraph"/>
      </w:pPr>
      <w:r>
        <w:t xml:space="preserve">Projeções BLS/O*NET:</w:t>
      </w:r>
    </w:p>
    <w:p>
      <w:pPr>
        <w:numPr>
          <w:ilvl w:val="0"/>
          <w:numId w:val="1006"/>
        </w:numPr>
        <w:pStyle w:val="Compact"/>
      </w:pPr>
      <w:r>
        <w:t xml:space="preserve">emprego em 2024:</w:t>
      </w:r>
      <w:r>
        <w:t xml:space="preserve"> </w:t>
      </w:r>
      <w:r>
        <w:rPr>
          <w:bCs/>
          <w:b/>
        </w:rPr>
        <w:t xml:space="preserve">56,400</w:t>
      </w:r>
      <w:r>
        <w:t xml:space="preserve">;</w:t>
      </w:r>
    </w:p>
    <w:p>
      <w:pPr>
        <w:numPr>
          <w:ilvl w:val="0"/>
          <w:numId w:val="1006"/>
        </w:numPr>
        <w:pStyle w:val="Compact"/>
      </w:pPr>
      <w:r>
        <w:t xml:space="preserve">projetado para 2034:</w:t>
      </w:r>
      <w:r>
        <w:t xml:space="preserve"> </w:t>
      </w:r>
      <w:r>
        <w:rPr>
          <w:bCs/>
          <w:b/>
        </w:rPr>
        <w:t xml:space="preserve">56,900</w:t>
      </w:r>
      <w:r>
        <w:t xml:space="preserve">;</w:t>
      </w:r>
    </w:p>
    <w:p>
      <w:pPr>
        <w:numPr>
          <w:ilvl w:val="0"/>
          <w:numId w:val="1006"/>
        </w:numPr>
        <w:pStyle w:val="Compact"/>
      </w:pPr>
      <w:r>
        <w:t xml:space="preserve">crescimento 2024–2034:</w:t>
      </w:r>
      <w:r>
        <w:t xml:space="preserve"> </w:t>
      </w:r>
      <w:r>
        <w:rPr>
          <w:bCs/>
          <w:b/>
        </w:rPr>
        <w:t xml:space="preserve">1%</w:t>
      </w:r>
      <w:r>
        <w:t xml:space="preserve">, mais lento que a média;</w:t>
      </w:r>
    </w:p>
    <w:p>
      <w:pPr>
        <w:numPr>
          <w:ilvl w:val="0"/>
          <w:numId w:val="1006"/>
        </w:numPr>
        <w:pStyle w:val="Compact"/>
      </w:pPr>
      <w:r>
        <w:t xml:space="preserve">aberturas anuais projetadas:</w:t>
      </w:r>
      <w:r>
        <w:t xml:space="preserve"> </w:t>
      </w:r>
      <w:r>
        <w:rPr>
          <w:bCs/>
          <w:b/>
        </w:rPr>
        <w:t xml:space="preserve">4,500</w:t>
      </w:r>
      <w:r>
        <w:t xml:space="preserve">.</w:t>
      </w:r>
    </w:p>
    <w:p>
      <w:pPr>
        <w:pStyle w:val="FirstParagraph"/>
      </w:pPr>
      <w:r>
        <w:t xml:space="preserve">Crescimento líquido lento não significa ausência de contratação; reposições fazem parte da projeção.</w:t>
      </w:r>
    </w:p>
    <w:bookmarkEnd w:id="60"/>
    <w:bookmarkStart w:id="61" w:name="X9d1b3b1465e2535644553a9bc9c92a376bf0807"/>
    <w:p>
      <w:pPr>
        <w:pStyle w:val="Heading3"/>
      </w:pPr>
      <w:r>
        <w:t xml:space="preserve">Estados Unidos — estimativa não governamental atual</w:t>
      </w:r>
    </w:p>
    <w:p>
      <w:pPr>
        <w:pStyle w:val="FirstParagraph"/>
      </w:pPr>
      <w:r>
        <w:t xml:space="preserve">Indeed reportou cerca de</w:t>
      </w:r>
      <w:r>
        <w:t xml:space="preserve"> </w:t>
      </w:r>
      <w:r>
        <w:rPr>
          <w:bCs/>
          <w:b/>
        </w:rPr>
        <w:t xml:space="preserve">US$38.81/hora</w:t>
      </w:r>
      <w:r>
        <w:t xml:space="preserve"> </w:t>
      </w:r>
      <w:r>
        <w:t xml:space="preserve">de salário-base médio para Technical Writers, com faixa exibida de aproximadamente</w:t>
      </w:r>
      <w:r>
        <w:t xml:space="preserve"> </w:t>
      </w:r>
      <w:r>
        <w:rPr>
          <w:bCs/>
          <w:b/>
        </w:rPr>
        <w:t xml:space="preserve">US$24.15–US$62.37/hora</w:t>
      </w:r>
      <w:r>
        <w:t xml:space="preserve">, baseada em cerca de</w:t>
      </w:r>
      <w:r>
        <w:t xml:space="preserve"> </w:t>
      </w:r>
      <w:r>
        <w:rPr>
          <w:bCs/>
          <w:b/>
        </w:rPr>
        <w:t xml:space="preserve">2.5 mil salários</w:t>
      </w:r>
      <w:r>
        <w:t xml:space="preserve"> </w:t>
      </w:r>
      <w:r>
        <w:t xml:space="preserve">de anúncios dos</w:t>
      </w:r>
      <w:r>
        <w:t xml:space="preserve"> </w:t>
      </w:r>
      <w:r>
        <w:rPr>
          <w:bCs/>
          <w:b/>
        </w:rPr>
        <w:t xml:space="preserve">36 meses</w:t>
      </w:r>
      <w:r>
        <w:t xml:space="preserve"> </w:t>
      </w:r>
      <w:r>
        <w:t xml:space="preserve">anteriores, atualizada em</w:t>
      </w:r>
      <w:r>
        <w:t xml:space="preserve"> </w:t>
      </w:r>
      <w:r>
        <w:rPr>
          <w:bCs/>
          <w:b/>
        </w:rPr>
        <w:t xml:space="preserve">2 de agosto de 2026</w:t>
      </w:r>
      <w:r>
        <w:t xml:space="preserve">.</w:t>
      </w:r>
    </w:p>
    <w:p>
      <w:pPr>
        <w:pStyle w:val="BodyText"/>
      </w:pPr>
      <w:r>
        <w:t xml:space="preserve">É contexto de mercado, não benchmark oficial nem oferta garantida.</w:t>
      </w:r>
    </w:p>
    <w:bookmarkEnd w:id="61"/>
    <w:bookmarkStart w:id="62" w:name="canadá--contexto-oficial-job-bank"/>
    <w:p>
      <w:pPr>
        <w:pStyle w:val="Heading3"/>
      </w:pPr>
      <w:r>
        <w:t xml:space="preserve">Canadá — contexto oficial Job Bank</w:t>
      </w:r>
    </w:p>
    <w:p>
      <w:pPr>
        <w:pStyle w:val="FirstParagraph"/>
      </w:pPr>
      <w:r>
        <w:t xml:space="preserve">Salários nacionais:</w:t>
      </w:r>
      <w:r>
        <w:t xml:space="preserve"> </w:t>
      </w:r>
      <w:r>
        <w:rPr>
          <w:bCs/>
          <w:b/>
        </w:rPr>
        <w:t xml:space="preserve">C$27.00 / C$36.06 / C$53.37 por hora</w:t>
      </w:r>
      <w:r>
        <w:t xml:space="preserve"> </w:t>
      </w:r>
      <w:r>
        <w:t xml:space="preserve">(baixo/mediano/alto), referência 2023–2024 e atualização de 19 de novembro de 2025.</w:t>
      </w:r>
    </w:p>
    <w:bookmarkEnd w:id="62"/>
    <w:bookmarkStart w:id="63" w:name="colômbia"/>
    <w:p>
      <w:pPr>
        <w:pStyle w:val="Heading3"/>
      </w:pPr>
      <w:r>
        <w:t xml:space="preserve">Colômbia</w:t>
      </w:r>
    </w:p>
    <w:p>
      <w:pPr>
        <w:pStyle w:val="FirstParagraph"/>
      </w:pPr>
      <w:r>
        <w:t xml:space="preserve">Use anúncios e ofertas atuais para pesquisar remuneração local. A faixa OCUPACOL de CUOC 26410 está marcada como não representativa e não é usada aqui como salário representativo.</w:t>
      </w:r>
    </w:p>
    <w:bookmarkEnd w:id="63"/>
    <w:bookmarkEnd w:id="64"/>
    <w:bookmarkStart w:id="65" w:name="construir-um-portfólio-ético"/>
    <w:p>
      <w:pPr>
        <w:pStyle w:val="Heading2"/>
      </w:pPr>
      <w:r>
        <w:t xml:space="preserve">Construir um portfólio ético</w:t>
      </w:r>
    </w:p>
    <w:p>
      <w:pPr>
        <w:pStyle w:val="FirstParagraph"/>
      </w:pPr>
      <w:r>
        <w:t xml:space="preserve">Projetos úteis: guia de instalação de produto open-source ou fictício, troubleshooting, referência curta de API pública de demonstração, SOP fictício de baixo risco, artigo de knowledge base, release note/migração simulada, revisão antes/depois com justificativa e amostra DOCX/PDF acessível.</w:t>
      </w:r>
    </w:p>
    <w:p>
      <w:pPr>
        <w:pStyle w:val="BodyText"/>
      </w:pPr>
      <w:r>
        <w:t xml:space="preserve">Para cada projeto, indique público, fonte de verdade, premissas, seu papel, ferramentas, método de revisão/teste, acessibilidade, redactions de segurança/privacidade, mudanças após revisão e o que exigiria de um SME antes de publicação real.</w:t>
      </w:r>
    </w:p>
    <w:p>
      <w:pPr>
        <w:pStyle w:val="BodyText"/>
      </w:pPr>
      <w:r>
        <w:t xml:space="preserve">Nunca invente aprovação de engenharia, teste, user study, certificação, achado de compliance ou determinação de segurança. Não publique material confidencial de empregadores/clientes anteriores.</w:t>
      </w:r>
    </w:p>
    <w:bookmarkEnd w:id="65"/>
    <w:bookmarkStart w:id="70" w:name="plano-de-ação-de-30-dias"/>
    <w:p>
      <w:pPr>
        <w:pStyle w:val="Heading2"/>
      </w:pPr>
      <w:r>
        <w:t xml:space="preserve">Plano de ação de 30 dias</w:t>
      </w:r>
    </w:p>
    <w:bookmarkStart w:id="66" w:name="semana-1--fundamentos"/>
    <w:p>
      <w:pPr>
        <w:pStyle w:val="Heading3"/>
      </w:pPr>
      <w:r>
        <w:t xml:space="preserve">Semana 1 — Fundamentos</w:t>
      </w:r>
    </w:p>
    <w:p>
      <w:pPr>
        <w:numPr>
          <w:ilvl w:val="0"/>
          <w:numId w:val="1007"/>
        </w:numPr>
        <w:pStyle w:val="Compact"/>
      </w:pPr>
      <w:r>
        <w:t xml:space="preserve">Escolha um domínio técnico.</w:t>
      </w:r>
    </w:p>
    <w:p>
      <w:pPr>
        <w:numPr>
          <w:ilvl w:val="0"/>
          <w:numId w:val="1007"/>
        </w:numPr>
        <w:pStyle w:val="Compact"/>
      </w:pPr>
      <w:r>
        <w:t xml:space="preserve">Estude análise de público/tarefa e tipos de conteúdo.</w:t>
      </w:r>
    </w:p>
    <w:p>
      <w:pPr>
        <w:numPr>
          <w:ilvl w:val="0"/>
          <w:numId w:val="1007"/>
        </w:numPr>
        <w:pStyle w:val="Compact"/>
      </w:pPr>
      <w:r>
        <w:t xml:space="preserve">Pratique passos concisos e terminologia consistente.</w:t>
      </w:r>
    </w:p>
    <w:p>
      <w:pPr>
        <w:numPr>
          <w:ilvl w:val="0"/>
          <w:numId w:val="1007"/>
        </w:numPr>
        <w:pStyle w:val="Compact"/>
      </w:pPr>
      <w:r>
        <w:t xml:space="preserve">Aprenda Markdown e Git básico.</w:t>
      </w:r>
    </w:p>
    <w:p>
      <w:pPr>
        <w:numPr>
          <w:ilvl w:val="0"/>
          <w:numId w:val="1007"/>
        </w:numPr>
        <w:pStyle w:val="Compact"/>
      </w:pPr>
      <w:r>
        <w:t xml:space="preserve">Revise linguagem simples e acessibilidade.</w:t>
      </w:r>
    </w:p>
    <w:bookmarkEnd w:id="66"/>
    <w:bookmarkStart w:id="67" w:name="semana-2--amostra-controlada"/>
    <w:p>
      <w:pPr>
        <w:pStyle w:val="Heading3"/>
      </w:pPr>
      <w:r>
        <w:t xml:space="preserve">Semana 2 — Amostra controlada</w:t>
      </w:r>
    </w:p>
    <w:p>
      <w:pPr>
        <w:numPr>
          <w:ilvl w:val="0"/>
          <w:numId w:val="1008"/>
        </w:numPr>
        <w:pStyle w:val="Compact"/>
      </w:pPr>
      <w:r>
        <w:t xml:space="preserve">Escolha produto/processo público, open-source ou fictício.</w:t>
      </w:r>
    </w:p>
    <w:p>
      <w:pPr>
        <w:numPr>
          <w:ilvl w:val="0"/>
          <w:numId w:val="1008"/>
        </w:numPr>
        <w:pStyle w:val="Compact"/>
      </w:pPr>
      <w:r>
        <w:t xml:space="preserve">Identifique fontes.</w:t>
      </w:r>
    </w:p>
    <w:p>
      <w:pPr>
        <w:numPr>
          <w:ilvl w:val="0"/>
          <w:numId w:val="1008"/>
        </w:numPr>
        <w:pStyle w:val="Compact"/>
      </w:pPr>
      <w:r>
        <w:t xml:space="preserve">Escreva página conceitual e procedimento.</w:t>
      </w:r>
    </w:p>
    <w:p>
      <w:pPr>
        <w:numPr>
          <w:ilvl w:val="0"/>
          <w:numId w:val="1008"/>
        </w:numPr>
        <w:pStyle w:val="Compact"/>
      </w:pPr>
      <w:r>
        <w:t xml:space="preserve">Adicione troubleshooting e log de fontes/revisões.</w:t>
      </w:r>
    </w:p>
    <w:p>
      <w:pPr>
        <w:numPr>
          <w:ilvl w:val="0"/>
          <w:numId w:val="1008"/>
        </w:numPr>
        <w:pStyle w:val="Compact"/>
      </w:pPr>
      <w:r>
        <w:t xml:space="preserve">Teste com segurança cada passo possível.</w:t>
      </w:r>
    </w:p>
    <w:bookmarkEnd w:id="67"/>
    <w:bookmarkStart w:id="68" w:name="semana-3--revisão-e-acessibilidade"/>
    <w:p>
      <w:pPr>
        <w:pStyle w:val="Heading3"/>
      </w:pPr>
      <w:r>
        <w:t xml:space="preserve">Semana 3 — Revisão e acessibilidade</w:t>
      </w:r>
    </w:p>
    <w:p>
      <w:pPr>
        <w:numPr>
          <w:ilvl w:val="0"/>
          <w:numId w:val="1009"/>
        </w:numPr>
        <w:pStyle w:val="Compact"/>
      </w:pPr>
      <w:r>
        <w:t xml:space="preserve">Peça revisão técnica.</w:t>
      </w:r>
    </w:p>
    <w:p>
      <w:pPr>
        <w:numPr>
          <w:ilvl w:val="0"/>
          <w:numId w:val="1009"/>
        </w:numPr>
        <w:pStyle w:val="Compact"/>
      </w:pPr>
      <w:r>
        <w:t xml:space="preserve">Peça a uma pessoa não especialista para apontar ambiguidades.</w:t>
      </w:r>
    </w:p>
    <w:p>
      <w:pPr>
        <w:numPr>
          <w:ilvl w:val="0"/>
          <w:numId w:val="1009"/>
        </w:numPr>
        <w:pStyle w:val="Compact"/>
      </w:pPr>
      <w:r>
        <w:t xml:space="preserve">Corrija e registre a revisão.</w:t>
      </w:r>
    </w:p>
    <w:p>
      <w:pPr>
        <w:numPr>
          <w:ilvl w:val="0"/>
          <w:numId w:val="1009"/>
        </w:numPr>
        <w:pStyle w:val="Compact"/>
      </w:pPr>
      <w:r>
        <w:t xml:space="preserve">Verifique headings, links, alt text, tabelas e saída.</w:t>
      </w:r>
    </w:p>
    <w:p>
      <w:pPr>
        <w:numPr>
          <w:ilvl w:val="0"/>
          <w:numId w:val="1009"/>
        </w:numPr>
        <w:pStyle w:val="Compact"/>
      </w:pPr>
      <w:r>
        <w:t xml:space="preserve">Remova informação sensível desnecessária.</w:t>
      </w:r>
    </w:p>
    <w:bookmarkEnd w:id="68"/>
    <w:bookmarkStart w:id="69" w:name="semana-4--portfólio-e-vagas"/>
    <w:p>
      <w:pPr>
        <w:pStyle w:val="Heading3"/>
      </w:pPr>
      <w:r>
        <w:t xml:space="preserve">Semana 4 — Portfólio e vagas</w:t>
      </w:r>
    </w:p>
    <w:p>
      <w:pPr>
        <w:numPr>
          <w:ilvl w:val="0"/>
          <w:numId w:val="1010"/>
        </w:numPr>
        <w:pStyle w:val="Compact"/>
      </w:pPr>
      <w:r>
        <w:t xml:space="preserve">Transforme o projeto em case curto.</w:t>
      </w:r>
    </w:p>
    <w:p>
      <w:pPr>
        <w:numPr>
          <w:ilvl w:val="0"/>
          <w:numId w:val="1010"/>
        </w:numPr>
        <w:pStyle w:val="Compact"/>
      </w:pPr>
      <w:r>
        <w:t xml:space="preserve">Pesquise pelo menos 10 vagas-alvo.</w:t>
      </w:r>
    </w:p>
    <w:p>
      <w:pPr>
        <w:numPr>
          <w:ilvl w:val="0"/>
          <w:numId w:val="1010"/>
        </w:numPr>
        <w:pStyle w:val="Compact"/>
      </w:pPr>
      <w:r>
        <w:t xml:space="preserve">Monte tabela de gaps de habilidades.</w:t>
      </w:r>
    </w:p>
    <w:p>
      <w:pPr>
        <w:numPr>
          <w:ilvl w:val="0"/>
          <w:numId w:val="1010"/>
        </w:numPr>
        <w:pStyle w:val="Compact"/>
      </w:pPr>
      <w:r>
        <w:t xml:space="preserve">Adicione um projeto para a habilidade repetida que falta.</w:t>
      </w:r>
    </w:p>
    <w:p>
      <w:pPr>
        <w:numPr>
          <w:ilvl w:val="0"/>
          <w:numId w:val="1010"/>
        </w:numPr>
        <w:pStyle w:val="Compact"/>
      </w:pPr>
      <w:r>
        <w:t xml:space="preserve">Atualize currículo/portfólio apenas com evidência demonstrável.</w:t>
      </w:r>
    </w:p>
    <w:p>
      <w:pPr>
        <w:numPr>
          <w:ilvl w:val="0"/>
          <w:numId w:val="1010"/>
        </w:numPr>
        <w:pStyle w:val="Compact"/>
      </w:pPr>
      <w:r>
        <w:t xml:space="preserve">Candidate-se seletivamente a funções compatíveis.</w:t>
      </w:r>
    </w:p>
    <w:bookmarkEnd w:id="69"/>
    <w:bookmarkEnd w:id="70"/>
    <w:bookmarkStart w:id="71" w:name="antes-de-publicar-documentação-técnica"/>
    <w:p>
      <w:pPr>
        <w:pStyle w:val="Heading2"/>
      </w:pPr>
      <w:r>
        <w:t xml:space="preserve">Antes de publicar documentação técnica</w:t>
      </w:r>
    </w:p>
    <w:p>
      <w:pPr>
        <w:pStyle w:val="FirstParagraph"/>
      </w:pPr>
      <w:r>
        <w:t xml:space="preserve">Confirme público e versão; fonte autorizada; perguntas de SME fechadas ou bloqueadas; valores, unidades, comandos e parâmetros verificados; pré-requisitos e permissões; avisos antes da ação; sequência correta; resultado/verificação quando útil; recuperação/escalonamento aprovado; ausência de segredos em screenshots/exemplos; links funcionando; acessibilidade revisada; comentários resolvidos; aprovações registradas; metadados/versionamento corretos; e conteúdo substituído retirado segundo política.</w:t>
      </w:r>
    </w:p>
    <w:bookmarkEnd w:id="71"/>
    <w:bookmarkStart w:id="72" w:name="perguntas-antes-de-pagar-por-treinamento"/>
    <w:p>
      <w:pPr>
        <w:pStyle w:val="Heading2"/>
      </w:pPr>
      <w:r>
        <w:t xml:space="preserve">Perguntas antes de pagar por treinamento</w:t>
      </w:r>
    </w:p>
    <w:p>
      <w:pPr>
        <w:numPr>
          <w:ilvl w:val="0"/>
          <w:numId w:val="1011"/>
        </w:numPr>
        <w:pStyle w:val="Compact"/>
      </w:pPr>
      <w:r>
        <w:t xml:space="preserve">O programa ensina verificação de fontes técnicas, não apenas gramática?</w:t>
      </w:r>
    </w:p>
    <w:p>
      <w:pPr>
        <w:numPr>
          <w:ilvl w:val="0"/>
          <w:numId w:val="1011"/>
        </w:numPr>
        <w:pStyle w:val="Compact"/>
      </w:pPr>
      <w:r>
        <w:t xml:space="preserve">Vou praticar entrevistas de SME e ciclos de revisão?</w:t>
      </w:r>
    </w:p>
    <w:p>
      <w:pPr>
        <w:numPr>
          <w:ilvl w:val="0"/>
          <w:numId w:val="1011"/>
        </w:numPr>
        <w:pStyle w:val="Compact"/>
      </w:pPr>
      <w:r>
        <w:t xml:space="preserve">Cobre procedimentos, referência, troubleshooting e ajuda on-line?</w:t>
      </w:r>
    </w:p>
    <w:p>
      <w:pPr>
        <w:numPr>
          <w:ilvl w:val="0"/>
          <w:numId w:val="1011"/>
        </w:numPr>
        <w:pStyle w:val="Compact"/>
      </w:pPr>
      <w:r>
        <w:t xml:space="preserve">Cobre controle de versão ou documento?</w:t>
      </w:r>
    </w:p>
    <w:p>
      <w:pPr>
        <w:numPr>
          <w:ilvl w:val="0"/>
          <w:numId w:val="1011"/>
        </w:numPr>
        <w:pStyle w:val="Compact"/>
      </w:pPr>
      <w:r>
        <w:t xml:space="preserve">Inclui prática de acessibilidade em documentos/web?</w:t>
      </w:r>
    </w:p>
    <w:p>
      <w:pPr>
        <w:numPr>
          <w:ilvl w:val="0"/>
          <w:numId w:val="1011"/>
        </w:numPr>
        <w:pStyle w:val="Compact"/>
      </w:pPr>
      <w:r>
        <w:t xml:space="preserve">Vou produzir portfólio que posso mostrar legalmente?</w:t>
      </w:r>
    </w:p>
    <w:p>
      <w:pPr>
        <w:numPr>
          <w:ilvl w:val="0"/>
          <w:numId w:val="1011"/>
        </w:numPr>
        <w:pStyle w:val="Compact"/>
      </w:pPr>
      <w:r>
        <w:t xml:space="preserve">Inclui Markdown, conteúdo estruturado, XML ou docs-as-code quando relevante?</w:t>
      </w:r>
    </w:p>
    <w:p>
      <w:pPr>
        <w:numPr>
          <w:ilvl w:val="0"/>
          <w:numId w:val="1011"/>
        </w:numPr>
        <w:pStyle w:val="Compact"/>
      </w:pPr>
      <w:r>
        <w:t xml:space="preserve">Inclui API/software se essa for minha especialidade?</w:t>
      </w:r>
    </w:p>
    <w:p>
      <w:pPr>
        <w:numPr>
          <w:ilvl w:val="0"/>
          <w:numId w:val="1011"/>
        </w:numPr>
        <w:pStyle w:val="Compact"/>
      </w:pPr>
      <w:r>
        <w:t xml:space="preserve">Ferramentas estão incluídas no custo?</w:t>
      </w:r>
    </w:p>
    <w:p>
      <w:pPr>
        <w:numPr>
          <w:ilvl w:val="0"/>
          <w:numId w:val="1011"/>
        </w:numPr>
        <w:pStyle w:val="Compact"/>
      </w:pPr>
      <w:r>
        <w:t xml:space="preserve">Estágio/work-based learning é real e documentado?</w:t>
      </w:r>
    </w:p>
    <w:p>
      <w:pPr>
        <w:numPr>
          <w:ilvl w:val="0"/>
          <w:numId w:val="1011"/>
        </w:numPr>
        <w:pStyle w:val="Compact"/>
      </w:pPr>
      <w:r>
        <w:t xml:space="preserve">O financiamento está aprovado ou só potencialmente elegível?</w:t>
      </w:r>
    </w:p>
    <w:p>
      <w:pPr>
        <w:numPr>
          <w:ilvl w:val="0"/>
          <w:numId w:val="1011"/>
        </w:numPr>
        <w:pStyle w:val="Compact"/>
      </w:pPr>
      <w:r>
        <w:t xml:space="preserve">Que evidência sustenta alegações de emprego ou salário?</w:t>
      </w:r>
    </w:p>
    <w:bookmarkEnd w:id="72"/>
    <w:bookmarkStart w:id="96" w:name="X59cc95cfe79c1d5e18de4b9d0b40e72893ca7cd"/>
    <w:p>
      <w:pPr>
        <w:pStyle w:val="Heading2"/>
      </w:pPr>
      <w:r>
        <w:t xml:space="preserve">Fontes a verificar antes de decisões importantes</w:t>
      </w:r>
    </w:p>
    <w:p>
      <w:pPr>
        <w:numPr>
          <w:ilvl w:val="0"/>
          <w:numId w:val="1012"/>
        </w:numPr>
        <w:pStyle w:val="Compact"/>
      </w:pPr>
      <w:r>
        <w:t xml:space="preserve">O*NET Technical Writers:</w:t>
      </w:r>
      <w:r>
        <w:t xml:space="preserve"> </w:t>
      </w:r>
      <w:hyperlink r:id="rId73">
        <w:hyperlink r:id="rId73">
          <w:r>
            <w:rPr>
              <w:rStyle w:val="Hyperlink"/>
            </w:rPr>
            <w:t xml:space="preserve">Source link</w:t>
          </w:r>
        </w:hyperlink>
      </w:hyperlink>
    </w:p>
    <w:p>
      <w:pPr>
        <w:numPr>
          <w:ilvl w:val="0"/>
          <w:numId w:val="1012"/>
        </w:numPr>
        <w:pStyle w:val="Compact"/>
      </w:pPr>
      <w:r>
        <w:t xml:space="preserve">O*NET resumo:</w:t>
      </w:r>
      <w:r>
        <w:t xml:space="preserve"> </w:t>
      </w:r>
      <w:hyperlink r:id="rId74">
        <w:hyperlink r:id="rId74">
          <w:r>
            <w:rPr>
              <w:rStyle w:val="Hyperlink"/>
            </w:rPr>
            <w:t xml:space="preserve">Source link</w:t>
          </w:r>
        </w:hyperlink>
      </w:hyperlink>
    </w:p>
    <w:p>
      <w:pPr>
        <w:numPr>
          <w:ilvl w:val="0"/>
          <w:numId w:val="1012"/>
        </w:numPr>
        <w:pStyle w:val="Compact"/>
      </w:pPr>
      <w:r>
        <w:t xml:space="preserve">O*NET tendências:</w:t>
      </w:r>
      <w:r>
        <w:t xml:space="preserve"> </w:t>
      </w:r>
      <w:hyperlink r:id="rId75">
        <w:hyperlink r:id="rId75">
          <w:r>
            <w:rPr>
              <w:rStyle w:val="Hyperlink"/>
            </w:rPr>
            <w:t xml:space="preserve">Source link</w:t>
          </w:r>
        </w:hyperlink>
      </w:hyperlink>
    </w:p>
    <w:p>
      <w:pPr>
        <w:numPr>
          <w:ilvl w:val="0"/>
          <w:numId w:val="1012"/>
        </w:numPr>
        <w:pStyle w:val="Compact"/>
      </w:pPr>
      <w:r>
        <w:t xml:space="preserve">O*NET/BLS salários:</w:t>
      </w:r>
      <w:r>
        <w:t xml:space="preserve"> </w:t>
      </w:r>
      <w:hyperlink r:id="rId76">
        <w:hyperlink r:id="rId76">
          <w:r>
            <w:rPr>
              <w:rStyle w:val="Hyperlink"/>
            </w:rPr>
            <w:t xml:space="preserve">Source link</w:t>
          </w:r>
        </w:hyperlink>
      </w:hyperlink>
    </w:p>
    <w:p>
      <w:pPr>
        <w:numPr>
          <w:ilvl w:val="0"/>
          <w:numId w:val="1012"/>
        </w:numPr>
        <w:pStyle w:val="Compact"/>
      </w:pPr>
      <w:r>
        <w:t xml:space="preserve">Indeed EUA:</w:t>
      </w:r>
      <w:r>
        <w:t xml:space="preserve"> </w:t>
      </w:r>
      <w:hyperlink r:id="rId77">
        <w:hyperlink r:id="rId77">
          <w:r>
            <w:rPr>
              <w:rStyle w:val="Hyperlink"/>
            </w:rPr>
            <w:t xml:space="preserve">Source link</w:t>
          </w:r>
        </w:hyperlink>
      </w:hyperlink>
    </w:p>
    <w:p>
      <w:pPr>
        <w:numPr>
          <w:ilvl w:val="0"/>
          <w:numId w:val="1012"/>
        </w:numPr>
        <w:pStyle w:val="Compact"/>
      </w:pPr>
      <w:r>
        <w:t xml:space="preserve">O*NET demanda de software:</w:t>
      </w:r>
      <w:r>
        <w:t xml:space="preserve"> </w:t>
      </w:r>
      <w:hyperlink r:id="rId78">
        <w:hyperlink r:id="rId78">
          <w:r>
            <w:rPr>
              <w:rStyle w:val="Hyperlink"/>
            </w:rPr>
            <w:t xml:space="preserve">Source link</w:t>
          </w:r>
        </w:hyperlink>
      </w:hyperlink>
    </w:p>
    <w:p>
      <w:pPr>
        <w:numPr>
          <w:ilvl w:val="0"/>
          <w:numId w:val="1012"/>
        </w:numPr>
        <w:pStyle w:val="Compact"/>
      </w:pPr>
      <w:r>
        <w:t xml:space="preserve">CareerOneStop WIOA:</w:t>
      </w:r>
      <w:r>
        <w:t xml:space="preserve"> </w:t>
      </w:r>
      <w:hyperlink r:id="rId79">
        <w:hyperlink r:id="rId79">
          <w:r>
            <w:rPr>
              <w:rStyle w:val="Hyperlink"/>
            </w:rPr>
            <w:t xml:space="preserve">Source link</w:t>
          </w:r>
        </w:hyperlink>
      </w:hyperlink>
    </w:p>
    <w:p>
      <w:pPr>
        <w:numPr>
          <w:ilvl w:val="0"/>
          <w:numId w:val="1012"/>
        </w:numPr>
        <w:pStyle w:val="Compact"/>
      </w:pPr>
      <w:r>
        <w:t xml:space="preserve">CareerOneStop treinamento:</w:t>
      </w:r>
      <w:r>
        <w:t xml:space="preserve"> </w:t>
      </w:r>
      <w:hyperlink r:id="rId80">
        <w:hyperlink r:id="rId80">
          <w:r>
            <w:rPr>
              <w:rStyle w:val="Hyperlink"/>
            </w:rPr>
            <w:t xml:space="preserve">Source link</w:t>
          </w:r>
        </w:hyperlink>
      </w:hyperlink>
    </w:p>
    <w:p>
      <w:pPr>
        <w:numPr>
          <w:ilvl w:val="0"/>
          <w:numId w:val="1012"/>
        </w:numPr>
        <w:pStyle w:val="Compact"/>
      </w:pPr>
      <w:r>
        <w:t xml:space="preserve">Canada Job Bank resumo:</w:t>
      </w:r>
      <w:r>
        <w:t xml:space="preserve"> </w:t>
      </w:r>
      <w:hyperlink r:id="rId81">
        <w:hyperlink r:id="rId81">
          <w:r>
            <w:rPr>
              <w:rStyle w:val="Hyperlink"/>
            </w:rPr>
            <w:t xml:space="preserve">Source link</w:t>
          </w:r>
        </w:hyperlink>
      </w:hyperlink>
    </w:p>
    <w:p>
      <w:pPr>
        <w:numPr>
          <w:ilvl w:val="0"/>
          <w:numId w:val="1012"/>
        </w:numPr>
        <w:pStyle w:val="Compact"/>
      </w:pPr>
      <w:r>
        <w:t xml:space="preserve">Canada Job Bank requisitos:</w:t>
      </w:r>
      <w:r>
        <w:t xml:space="preserve"> </w:t>
      </w:r>
      <w:hyperlink r:id="rId82">
        <w:hyperlink r:id="rId82">
          <w:r>
            <w:rPr>
              <w:rStyle w:val="Hyperlink"/>
            </w:rPr>
            <w:t xml:space="preserve">Source link</w:t>
          </w:r>
        </w:hyperlink>
      </w:hyperlink>
    </w:p>
    <w:p>
      <w:pPr>
        <w:numPr>
          <w:ilvl w:val="0"/>
          <w:numId w:val="1012"/>
        </w:numPr>
        <w:pStyle w:val="Compact"/>
      </w:pPr>
      <w:r>
        <w:t xml:space="preserve">Canada Job Bank salários:</w:t>
      </w:r>
      <w:r>
        <w:t xml:space="preserve"> </w:t>
      </w:r>
      <w:hyperlink r:id="rId83">
        <w:hyperlink r:id="rId83">
          <w:r>
            <w:rPr>
              <w:rStyle w:val="Hyperlink"/>
            </w:rPr>
            <w:t xml:space="preserve">Source link</w:t>
          </w:r>
        </w:hyperlink>
      </w:hyperlink>
    </w:p>
    <w:p>
      <w:pPr>
        <w:numPr>
          <w:ilvl w:val="0"/>
          <w:numId w:val="1012"/>
        </w:numPr>
        <w:pStyle w:val="Compact"/>
      </w:pPr>
      <w:r>
        <w:t xml:space="preserve">Canada treinamento:</w:t>
      </w:r>
      <w:r>
        <w:t xml:space="preserve"> </w:t>
      </w:r>
      <w:hyperlink r:id="rId84">
        <w:hyperlink r:id="rId84">
          <w:r>
            <w:rPr>
              <w:rStyle w:val="Hyperlink"/>
            </w:rPr>
            <w:t xml:space="preserve">Source link</w:t>
          </w:r>
        </w:hyperlink>
      </w:hyperlink>
    </w:p>
    <w:p>
      <w:pPr>
        <w:numPr>
          <w:ilvl w:val="0"/>
          <w:numId w:val="1012"/>
        </w:numPr>
        <w:pStyle w:val="Compact"/>
      </w:pPr>
      <w:r>
        <w:t xml:space="preserve">Colômbia OCUPACOL CUOC 26410:</w:t>
      </w:r>
      <w:r>
        <w:t xml:space="preserve"> </w:t>
      </w:r>
      <w:hyperlink r:id="rId85">
        <w:hyperlink r:id="rId85">
          <w:r>
            <w:rPr>
              <w:rStyle w:val="Hyperlink"/>
            </w:rPr>
            <w:t xml:space="preserve">Source link</w:t>
          </w:r>
        </w:hyperlink>
      </w:hyperlink>
    </w:p>
    <w:p>
      <w:pPr>
        <w:numPr>
          <w:ilvl w:val="0"/>
          <w:numId w:val="1012"/>
        </w:numPr>
        <w:pStyle w:val="Compact"/>
      </w:pPr>
      <w:r>
        <w:t xml:space="preserve">SENA Redacción y ortografía:</w:t>
      </w:r>
      <w:r>
        <w:t xml:space="preserve"> </w:t>
      </w:r>
      <w:hyperlink r:id="rId86">
        <w:hyperlink r:id="rId86">
          <w:r>
            <w:rPr>
              <w:rStyle w:val="Hyperlink"/>
            </w:rPr>
            <w:t xml:space="preserve">Source link</w:t>
          </w:r>
        </w:hyperlink>
      </w:hyperlink>
    </w:p>
    <w:p>
      <w:pPr>
        <w:numPr>
          <w:ilvl w:val="0"/>
          <w:numId w:val="1012"/>
        </w:numPr>
        <w:pStyle w:val="Compact"/>
      </w:pPr>
      <w:r>
        <w:t xml:space="preserve">SENA Habilidades cognitivas en lecto-escritura:</w:t>
      </w:r>
      <w:r>
        <w:t xml:space="preserve"> </w:t>
      </w:r>
      <w:hyperlink r:id="rId87">
        <w:hyperlink r:id="rId87">
          <w:r>
            <w:rPr>
              <w:rStyle w:val="Hyperlink"/>
            </w:rPr>
            <w:t xml:space="preserve">Source link</w:t>
          </w:r>
        </w:hyperlink>
      </w:hyperlink>
    </w:p>
    <w:p>
      <w:pPr>
        <w:numPr>
          <w:ilvl w:val="0"/>
          <w:numId w:val="1012"/>
        </w:numPr>
        <w:pStyle w:val="Compact"/>
      </w:pPr>
      <w:r>
        <w:t xml:space="preserve">OIT/Cinterfor:</w:t>
      </w:r>
      <w:r>
        <w:t xml:space="preserve"> </w:t>
      </w:r>
      <w:hyperlink r:id="rId88">
        <w:r>
          <w:rPr>
            <w:rStyle w:val="Hyperlink"/>
          </w:rPr>
          <w:t xml:space="preserve">https://www.oitcinterfor.org/statsfp/paises</w:t>
        </w:r>
      </w:hyperlink>
    </w:p>
    <w:p>
      <w:pPr>
        <w:numPr>
          <w:ilvl w:val="0"/>
          <w:numId w:val="1012"/>
        </w:numPr>
        <w:pStyle w:val="Compact"/>
      </w:pPr>
      <w:r>
        <w:t xml:space="preserve">Digital.gov plain language:</w:t>
      </w:r>
      <w:r>
        <w:t xml:space="preserve"> </w:t>
      </w:r>
      <w:hyperlink r:id="rId89">
        <w:r>
          <w:rPr>
            <w:rStyle w:val="Hyperlink"/>
          </w:rPr>
          <w:t xml:space="preserve">https://digital.gov/guides/plain-language</w:t>
        </w:r>
      </w:hyperlink>
    </w:p>
    <w:p>
      <w:pPr>
        <w:numPr>
          <w:ilvl w:val="0"/>
          <w:numId w:val="1012"/>
        </w:numPr>
        <w:pStyle w:val="Compact"/>
      </w:pPr>
      <w:r>
        <w:t xml:space="preserve">Section508.gov:</w:t>
      </w:r>
      <w:r>
        <w:t xml:space="preserve"> </w:t>
      </w:r>
      <w:hyperlink r:id="rId90">
        <w:r>
          <w:rPr>
            <w:rStyle w:val="Hyperlink"/>
          </w:rPr>
          <w:t xml:space="preserve">https://www.section508.gov/create/</w:t>
        </w:r>
      </w:hyperlink>
    </w:p>
    <w:p>
      <w:pPr>
        <w:numPr>
          <w:ilvl w:val="0"/>
          <w:numId w:val="1012"/>
        </w:numPr>
        <w:pStyle w:val="Compact"/>
      </w:pPr>
      <w:r>
        <w:t xml:space="preserve">Section508.gov documentos:</w:t>
      </w:r>
      <w:r>
        <w:t xml:space="preserve"> </w:t>
      </w:r>
      <w:hyperlink r:id="rId91">
        <w:r>
          <w:rPr>
            <w:rStyle w:val="Hyperlink"/>
          </w:rPr>
          <w:t xml:space="preserve">https://www.section508.gov/test/documents/</w:t>
        </w:r>
      </w:hyperlink>
    </w:p>
    <w:p>
      <w:pPr>
        <w:numPr>
          <w:ilvl w:val="0"/>
          <w:numId w:val="1012"/>
        </w:numPr>
        <w:pStyle w:val="Compact"/>
      </w:pPr>
      <w:r>
        <w:t xml:space="preserve">WCAG 2.2:</w:t>
      </w:r>
      <w:r>
        <w:t xml:space="preserve"> </w:t>
      </w:r>
      <w:hyperlink r:id="rId92">
        <w:r>
          <w:rPr>
            <w:rStyle w:val="Hyperlink"/>
          </w:rPr>
          <w:t xml:space="preserve">https://www.w3.org/TR/WCAG22/</w:t>
        </w:r>
      </w:hyperlink>
    </w:p>
    <w:p>
      <w:pPr>
        <w:numPr>
          <w:ilvl w:val="0"/>
          <w:numId w:val="1012"/>
        </w:numPr>
        <w:pStyle w:val="Compact"/>
      </w:pPr>
      <w:r>
        <w:t xml:space="preserve">CISA Secure Our World:</w:t>
      </w:r>
      <w:r>
        <w:t xml:space="preserve"> </w:t>
      </w:r>
      <w:hyperlink r:id="rId93">
        <w:r>
          <w:rPr>
            <w:rStyle w:val="Hyperlink"/>
          </w:rPr>
          <w:t xml:space="preserve">https://www.cisa.gov/secure-our-world</w:t>
        </w:r>
      </w:hyperlink>
    </w:p>
    <w:p>
      <w:pPr>
        <w:numPr>
          <w:ilvl w:val="0"/>
          <w:numId w:val="1012"/>
        </w:numPr>
        <w:pStyle w:val="Compact"/>
      </w:pPr>
      <w:r>
        <w:t xml:space="preserve">NIST AI RMF:</w:t>
      </w:r>
      <w:r>
        <w:t xml:space="preserve"> </w:t>
      </w:r>
      <w:hyperlink r:id="rId94">
        <w:hyperlink r:id="rId94">
          <w:r>
            <w:rPr>
              <w:rStyle w:val="Hyperlink"/>
            </w:rPr>
            <w:t xml:space="preserve">Source link</w:t>
          </w:r>
        </w:hyperlink>
      </w:hyperlink>
    </w:p>
    <w:p>
      <w:pPr>
        <w:numPr>
          <w:ilvl w:val="0"/>
          <w:numId w:val="1012"/>
        </w:numPr>
        <w:pStyle w:val="Compact"/>
      </w:pPr>
      <w:r>
        <w:t xml:space="preserve">NIST perfil de IA generativa:</w:t>
      </w:r>
      <w:r>
        <w:t xml:space="preserve"> </w:t>
      </w:r>
      <w:hyperlink r:id="rId95">
        <w:hyperlink r:id="rId95">
          <w:r>
            <w:rPr>
              <w:rStyle w:val="Hyperlink"/>
            </w:rPr>
            <w:t xml:space="preserve">Source link</w:t>
          </w:r>
        </w:hyperlink>
      </w:hyperlink>
    </w:p>
    <w:bookmarkEnd w:id="96"/>
    <w:bookmarkStart w:id="97" w:name="aviso-importante"/>
    <w:p>
      <w:pPr>
        <w:pStyle w:val="Heading2"/>
      </w:pPr>
      <w:r>
        <w:t xml:space="preserve">Aviso importante</w:t>
      </w:r>
    </w:p>
    <w:p>
      <w:pPr>
        <w:pStyle w:val="FirstParagraph"/>
      </w:pPr>
      <w:r>
        <w:t xml:space="preserve">Este guia fornece informação geral de educação e planejamento de carreira. Não garante emprego, renda, admissão, financiamento, licença, certificação, colocação em apprenticeship, trabalho freelancer, aquisição de clientes, promoção ou outro resultado. Requisitos, remuneração, ferramentas, padrões e oportunidades mudam por empregador, jurisdição e tempo.</w:t>
      </w:r>
    </w:p>
    <w:p>
      <w:pPr>
        <w:pStyle w:val="BodyText"/>
      </w:pPr>
      <w:r>
        <w:t xml:space="preserve">Este guia não oferece aconselhamento jurídico, médico, de engenharia, segurança, regulação, cibersegurança, gestão documental ou finanças; também não fornece tradução certificada, certificação de acessibilidade ou acreditação profissional. Verifique qualquer afirmação técnica consequente com o responsável autorizado e fontes oficiais atuais antes de publicar ou usar operacionalmente.</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7" Target="https://betowa.sena.edu.co/oferta/habilidades-cognitivas-en-lecto-escritura?modality=V" TargetMode="External" /><Relationship Type="http://schemas.openxmlformats.org/officeDocument/2006/relationships/hyperlink" Id="rId86" Target="https://betowa.sena.edu.co/oferta/redaccion-y-ortografia?programId=140814" TargetMode="External" /><Relationship Type="http://schemas.openxmlformats.org/officeDocument/2006/relationships/hyperlink" Id="rId89" Target="https://digital.gov/guides/plain-language" TargetMode="External" /><Relationship Type="http://schemas.openxmlformats.org/officeDocument/2006/relationships/hyperlink" Id="rId85" Target="https://ocupacol.mintrabajo.gov.co/Profile/OccupationalProfile/26410" TargetMode="External" /><Relationship Type="http://schemas.openxmlformats.org/officeDocument/2006/relationships/hyperlink" Id="rId84" Target="https://www.canada.ca/en/services/jobs/training.html" TargetMode="External" /><Relationship Type="http://schemas.openxmlformats.org/officeDocument/2006/relationships/hyperlink" Id="rId80" Target="https://www.careeronestop.org/FindTraining/find-training.aspx"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93" Target="https://www.cisa.gov/secure-our-world" TargetMode="External" /><Relationship Type="http://schemas.openxmlformats.org/officeDocument/2006/relationships/hyperlink" Id="rId77" Target="https://www.indeed.com/career/technical-writer/salaries" TargetMode="External" /><Relationship Type="http://schemas.openxmlformats.org/officeDocument/2006/relationships/hyperlink" Id="rId82" Target="https://www.jobbank.gc.ca/marketreport/requirements/20923/ca" TargetMode="External" /><Relationship Type="http://schemas.openxmlformats.org/officeDocument/2006/relationships/hyperlink" Id="rId81" Target="https://www.jobbank.gc.ca/marketreport/summary-occupation/20923/ca" TargetMode="External" /><Relationship Type="http://schemas.openxmlformats.org/officeDocument/2006/relationships/hyperlink" Id="rId83" Target="https://www.jobbank.gc.ca/marketreport/wages-occupation/20923/ca" TargetMode="External" /><Relationship Type="http://schemas.openxmlformats.org/officeDocument/2006/relationships/hyperlink" Id="rId94" Target="https://www.nist.gov/itl/ai-risk-management-framework" TargetMode="External" /><Relationship Type="http://schemas.openxmlformats.org/officeDocument/2006/relationships/hyperlink" Id="rId95" Target="https://www.nist.gov/publications/artificial-intelligence-risk-management-framework-generative-artificial-intelligence" TargetMode="External" /><Relationship Type="http://schemas.openxmlformats.org/officeDocument/2006/relationships/hyperlink" Id="rId88" Target="https://www.oitcinterfor.org/statsfp/paises" TargetMode="External" /><Relationship Type="http://schemas.openxmlformats.org/officeDocument/2006/relationships/hyperlink" Id="rId78" Target="https://www.onetonline.org/link/demand/27-3042.00" TargetMode="External" /><Relationship Type="http://schemas.openxmlformats.org/officeDocument/2006/relationships/hyperlink" Id="rId73" Target="https://www.onetonline.org/link/details/27-3042.00" TargetMode="External" /><Relationship Type="http://schemas.openxmlformats.org/officeDocument/2006/relationships/hyperlink" Id="rId75" Target="https://www.onetonline.org/link/localtrends/27-3042.00" TargetMode="External" /><Relationship Type="http://schemas.openxmlformats.org/officeDocument/2006/relationships/hyperlink" Id="rId76" Target="https://www.onetonline.org/link/localwages/27-3042.00" TargetMode="External" /><Relationship Type="http://schemas.openxmlformats.org/officeDocument/2006/relationships/hyperlink" Id="rId74" Target="https://www.onetonline.org/link/summary/27-3042.00" TargetMode="External" /><Relationship Type="http://schemas.openxmlformats.org/officeDocument/2006/relationships/hyperlink" Id="rId90" Target="https://www.section508.gov/create/" TargetMode="External" /><Relationship Type="http://schemas.openxmlformats.org/officeDocument/2006/relationships/hyperlink" Id="rId91" Target="https://www.section508.gov/test/documents/" TargetMode="External" /><Relationship Type="http://schemas.openxmlformats.org/officeDocument/2006/relationships/hyperlink" Id="rId92"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87" Target="https://betowa.sena.edu.co/oferta/habilidades-cognitivas-en-lecto-escritura?modality=V" TargetMode="External" /><Relationship Type="http://schemas.openxmlformats.org/officeDocument/2006/relationships/hyperlink" Id="rId86" Target="https://betowa.sena.edu.co/oferta/redaccion-y-ortografia?programId=140814" TargetMode="External" /><Relationship Type="http://schemas.openxmlformats.org/officeDocument/2006/relationships/hyperlink" Id="rId89" Target="https://digital.gov/guides/plain-language" TargetMode="External" /><Relationship Type="http://schemas.openxmlformats.org/officeDocument/2006/relationships/hyperlink" Id="rId85" Target="https://ocupacol.mintrabajo.gov.co/Profile/OccupationalProfile/26410" TargetMode="External" /><Relationship Type="http://schemas.openxmlformats.org/officeDocument/2006/relationships/hyperlink" Id="rId84" Target="https://www.canada.ca/en/services/jobs/training.html" TargetMode="External" /><Relationship Type="http://schemas.openxmlformats.org/officeDocument/2006/relationships/hyperlink" Id="rId80" Target="https://www.careeronestop.org/FindTraining/find-training.aspx"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93" Target="https://www.cisa.gov/secure-our-world" TargetMode="External" /><Relationship Type="http://schemas.openxmlformats.org/officeDocument/2006/relationships/hyperlink" Id="rId77" Target="https://www.indeed.com/career/technical-writer/salaries" TargetMode="External" /><Relationship Type="http://schemas.openxmlformats.org/officeDocument/2006/relationships/hyperlink" Id="rId82" Target="https://www.jobbank.gc.ca/marketreport/requirements/20923/ca" TargetMode="External" /><Relationship Type="http://schemas.openxmlformats.org/officeDocument/2006/relationships/hyperlink" Id="rId81" Target="https://www.jobbank.gc.ca/marketreport/summary-occupation/20923/ca" TargetMode="External" /><Relationship Type="http://schemas.openxmlformats.org/officeDocument/2006/relationships/hyperlink" Id="rId83" Target="https://www.jobbank.gc.ca/marketreport/wages-occupation/20923/ca" TargetMode="External" /><Relationship Type="http://schemas.openxmlformats.org/officeDocument/2006/relationships/hyperlink" Id="rId94" Target="https://www.nist.gov/itl/ai-risk-management-framework" TargetMode="External" /><Relationship Type="http://schemas.openxmlformats.org/officeDocument/2006/relationships/hyperlink" Id="rId95" Target="https://www.nist.gov/publications/artificial-intelligence-risk-management-framework-generative-artificial-intelligence" TargetMode="External" /><Relationship Type="http://schemas.openxmlformats.org/officeDocument/2006/relationships/hyperlink" Id="rId88" Target="https://www.oitcinterfor.org/statsfp/paises" TargetMode="External" /><Relationship Type="http://schemas.openxmlformats.org/officeDocument/2006/relationships/hyperlink" Id="rId78" Target="https://www.onetonline.org/link/demand/27-3042.00" TargetMode="External" /><Relationship Type="http://schemas.openxmlformats.org/officeDocument/2006/relationships/hyperlink" Id="rId73" Target="https://www.onetonline.org/link/details/27-3042.00" TargetMode="External" /><Relationship Type="http://schemas.openxmlformats.org/officeDocument/2006/relationships/hyperlink" Id="rId75" Target="https://www.onetonline.org/link/localtrends/27-3042.00" TargetMode="External" /><Relationship Type="http://schemas.openxmlformats.org/officeDocument/2006/relationships/hyperlink" Id="rId76" Target="https://www.onetonline.org/link/localwages/27-3042.00" TargetMode="External" /><Relationship Type="http://schemas.openxmlformats.org/officeDocument/2006/relationships/hyperlink" Id="rId74" Target="https://www.onetonline.org/link/summary/27-3042.00" TargetMode="External" /><Relationship Type="http://schemas.openxmlformats.org/officeDocument/2006/relationships/hyperlink" Id="rId90" Target="https://www.section508.gov/create/" TargetMode="External" /><Relationship Type="http://schemas.openxmlformats.org/officeDocument/2006/relationships/hyperlink" Id="rId91" Target="https://www.section508.gov/test/documents/" TargetMode="External" /><Relationship Type="http://schemas.openxmlformats.org/officeDocument/2006/relationships/hyperlink" Id="rId92"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2026-08-22T02:37:30Z</dcterms:created>
  <dcterms:modified xsi:type="dcterms:W3CDTF">2026-08-22T02:37:30Z</dcterms:modified>
</cp:coreProperties>
</file>

<file path=docProps/custom.xml><?xml version="1.0" encoding="utf-8"?>
<Properties xmlns="http://schemas.openxmlformats.org/officeDocument/2006/custom-properties" xmlns:vt="http://schemas.openxmlformats.org/officeDocument/2006/docPropsVTypes"/>
</file>