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a81f065def17f19f6d49e7441040f8b5dbb6666"/>
    <w:p>
      <w:pPr>
        <w:pStyle w:val="Heading1"/>
      </w:pPr>
      <w:r>
        <w:t xml:space="preserve">Guide 59 — Social and Human Service Assistant</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Social and human service assistants help people identify needs, navigate services, complete routine processes, connect with community resources, and follow through on support plans. They may work in nonprofit organizations, government agencies, family-service programs, shelters, disability services, behavioral-health programs, rehabilitation settings, senior services, housing programs, youth programs, community organizations, and related human-service environments.</w:t>
      </w:r>
    </w:p>
    <w:p>
      <w:pPr>
        <w:pStyle w:val="BodyText"/>
      </w:pPr>
      <w:r>
        <w:t xml:space="preserve">This guide focuses on</w:t>
      </w:r>
      <w:r>
        <w:t xml:space="preserve"> </w:t>
      </w:r>
      <w:r>
        <w:rPr>
          <w:bCs/>
          <w:b/>
        </w:rPr>
        <w:t xml:space="preserve">support-level and navigation work</w:t>
      </w:r>
      <w:r>
        <w:t xml:space="preserve">. It does not treat social and human service assistant, licensed social worker, psychotherapist, counselor, psychologist, case manager, attorney, benefits adjudicator, or emergency responder as interchangeable roles.</w:t>
      </w:r>
    </w:p>
    <w:p>
      <w:pPr>
        <w:pStyle w:val="BodyText"/>
      </w:pPr>
      <w:r>
        <w:t xml:space="preserve">In the United States, O*NET classifies Social and Human Service Assistants as</w:t>
      </w:r>
      <w:r>
        <w:t xml:space="preserve"> </w:t>
      </w:r>
      <w:r>
        <w:rPr>
          <w:bCs/>
          <w:b/>
        </w:rPr>
        <w:t xml:space="preserve">21-1093.00</w:t>
      </w:r>
      <w:r>
        <w:t xml:space="preserve">. In Canada, the closest broad comparison is</w:t>
      </w:r>
      <w:r>
        <w:t xml:space="preserve"> </w:t>
      </w:r>
      <w:r>
        <w:rPr>
          <w:bCs/>
          <w:b/>
        </w:rPr>
        <w:t xml:space="preserve">Social and community service workers, NOC 42201</w:t>
      </w:r>
      <w:r>
        <w:t xml:space="preserve">. In Colombia, SENA's occupational classification identifies</w:t>
      </w:r>
      <w:r>
        <w:t xml:space="preserve"> </w:t>
      </w:r>
      <w:r>
        <w:rPr>
          <w:bCs/>
          <w:b/>
        </w:rPr>
        <w:t xml:space="preserve">CNO 4211 — Asistentes en servicios social y comunitario</w:t>
      </w:r>
      <w:r>
        <w:t xml:space="preserve">.</w:t>
      </w:r>
    </w:p>
    <w:p>
      <w:pPr>
        <w:pStyle w:val="BodyText"/>
      </w:pPr>
      <w:r>
        <w:t xml:space="preserve">Job titles and legal boundaries vary by jurisdiction and employer. Always compare the actual duties, supervision model, credential requirements, and local rules before accepting a role or paying for training.</w:t>
      </w:r>
    </w:p>
    <w:bookmarkEnd w:id="20"/>
    <w:bookmarkStart w:id="21" w:name="what-you-may-do"/>
    <w:p>
      <w:pPr>
        <w:pStyle w:val="Heading2"/>
      </w:pPr>
      <w:r>
        <w:t xml:space="preserve">What you may do</w:t>
      </w:r>
    </w:p>
    <w:p>
      <w:pPr>
        <w:pStyle w:val="FirstParagraph"/>
      </w:pPr>
      <w:r>
        <w:t xml:space="preserve">Depending on the organization, training, supervision, and local rules, duties may include:</w:t>
      </w:r>
    </w:p>
    <w:p>
      <w:pPr>
        <w:numPr>
          <w:ilvl w:val="0"/>
          <w:numId w:val="1001"/>
        </w:numPr>
        <w:pStyle w:val="Compact"/>
      </w:pPr>
      <w:r>
        <w:t xml:space="preserve">interviewing clients to gather routine background and service information;</w:t>
      </w:r>
    </w:p>
    <w:p>
      <w:pPr>
        <w:numPr>
          <w:ilvl w:val="0"/>
          <w:numId w:val="1001"/>
        </w:numPr>
        <w:pStyle w:val="Compact"/>
      </w:pPr>
      <w:r>
        <w:t xml:space="preserve">helping people identify practical needs and available community resources;</w:t>
      </w:r>
    </w:p>
    <w:p>
      <w:pPr>
        <w:numPr>
          <w:ilvl w:val="0"/>
          <w:numId w:val="1001"/>
        </w:numPr>
        <w:pStyle w:val="Compact"/>
      </w:pPr>
      <w:r>
        <w:t xml:space="preserve">explaining how to contact housing, food, transportation, disability, employment, health, family, aging, youth, legal-aid, or other referral services;</w:t>
      </w:r>
    </w:p>
    <w:p>
      <w:pPr>
        <w:numPr>
          <w:ilvl w:val="0"/>
          <w:numId w:val="1001"/>
        </w:numPr>
        <w:pStyle w:val="Compact"/>
      </w:pPr>
      <w:r>
        <w:t xml:space="preserve">helping clients complete routine forms or organize documents without making regulated eligibility decisions;</w:t>
      </w:r>
    </w:p>
    <w:p>
      <w:pPr>
        <w:numPr>
          <w:ilvl w:val="0"/>
          <w:numId w:val="1001"/>
        </w:numPr>
        <w:pStyle w:val="Compact"/>
      </w:pPr>
      <w:r>
        <w:t xml:space="preserve">providing information about application steps, appointments, program procedures, and required documentation;</w:t>
      </w:r>
    </w:p>
    <w:p>
      <w:pPr>
        <w:numPr>
          <w:ilvl w:val="0"/>
          <w:numId w:val="1001"/>
        </w:numPr>
        <w:pStyle w:val="Compact"/>
      </w:pPr>
      <w:r>
        <w:t xml:space="preserve">assisting clients with service navigation and follow-up;</w:t>
      </w:r>
    </w:p>
    <w:p>
      <w:pPr>
        <w:numPr>
          <w:ilvl w:val="0"/>
          <w:numId w:val="1001"/>
        </w:numPr>
        <w:pStyle w:val="Compact"/>
      </w:pPr>
      <w:r>
        <w:t xml:space="preserve">maintaining case notes, contact logs, referral records, schedules, and routine documentation;</w:t>
      </w:r>
    </w:p>
    <w:p>
      <w:pPr>
        <w:numPr>
          <w:ilvl w:val="0"/>
          <w:numId w:val="1001"/>
        </w:numPr>
        <w:pStyle w:val="Compact"/>
      </w:pPr>
      <w:r>
        <w:t xml:space="preserve">supporting workshops, outreach activities, community events, life-skills programs, or educational sessions;</w:t>
      </w:r>
    </w:p>
    <w:p>
      <w:pPr>
        <w:numPr>
          <w:ilvl w:val="0"/>
          <w:numId w:val="1001"/>
        </w:numPr>
        <w:pStyle w:val="Compact"/>
      </w:pPr>
      <w:r>
        <w:t xml:space="preserve">coordinating non-clinical logistics with service providers, family members, community partners, or supervisors when authorized;</w:t>
      </w:r>
    </w:p>
    <w:p>
      <w:pPr>
        <w:numPr>
          <w:ilvl w:val="0"/>
          <w:numId w:val="1001"/>
        </w:numPr>
        <w:pStyle w:val="Compact"/>
      </w:pPr>
      <w:r>
        <w:t xml:space="preserve">monitoring whether agreed referrals or service steps were completed and reporting barriers;</w:t>
      </w:r>
    </w:p>
    <w:p>
      <w:pPr>
        <w:numPr>
          <w:ilvl w:val="0"/>
          <w:numId w:val="1001"/>
        </w:numPr>
        <w:pStyle w:val="Compact"/>
      </w:pPr>
      <w:r>
        <w:t xml:space="preserve">supporting people in shelters, group homes, rehabilitation programs, family-service programs, or other structured environments under employer procedures;</w:t>
      </w:r>
    </w:p>
    <w:p>
      <w:pPr>
        <w:numPr>
          <w:ilvl w:val="0"/>
          <w:numId w:val="1001"/>
        </w:numPr>
        <w:pStyle w:val="Compact"/>
      </w:pPr>
      <w:r>
        <w:t xml:space="preserve">helping clients locate employment, transportation, housing, food, childcare, disability, aging, or other practical supports;</w:t>
      </w:r>
    </w:p>
    <w:p>
      <w:pPr>
        <w:numPr>
          <w:ilvl w:val="0"/>
          <w:numId w:val="1001"/>
        </w:numPr>
        <w:pStyle w:val="Compact"/>
      </w:pPr>
      <w:r>
        <w:t xml:space="preserve">assisting with intake, scheduling, reception, records, or program administration; and</w:t>
      </w:r>
    </w:p>
    <w:p>
      <w:pPr>
        <w:numPr>
          <w:ilvl w:val="0"/>
          <w:numId w:val="1001"/>
        </w:numPr>
        <w:pStyle w:val="Compact"/>
      </w:pPr>
      <w:r>
        <w:t xml:space="preserve">escalating safety, crisis, abuse, neglect, exploitation, medical, legal, or clinical concerns to qualified personnel under established procedures.</w:t>
      </w:r>
    </w:p>
    <w:p>
      <w:pPr>
        <w:pStyle w:val="FirstParagraph"/>
      </w:pPr>
      <w:r>
        <w:t xml:space="preserve">The role often requires patience, accurate documentation, practical problem solving, and the ability to support people without taking over decisions that belong to the client or to a regulated professional.</w:t>
      </w:r>
    </w:p>
    <w:bookmarkEnd w:id="21"/>
    <w:bookmarkStart w:id="22" w:name="what-this-role-must-not-be-presented-as"/>
    <w:p>
      <w:pPr>
        <w:pStyle w:val="Heading2"/>
      </w:pPr>
      <w:r>
        <w:t xml:space="preserve">What this role must not be presented as</w:t>
      </w:r>
    </w:p>
    <w:p>
      <w:pPr>
        <w:pStyle w:val="FirstParagraph"/>
      </w:pPr>
      <w:r>
        <w:t xml:space="preserve">A support role does not automatically authorize you to perform licensed, clinical, legal, or adjudicative work.</w:t>
      </w:r>
    </w:p>
    <w:p>
      <w:pPr>
        <w:pStyle w:val="BodyText"/>
      </w:pPr>
      <w:r>
        <w:t xml:space="preserve">Do not independently:</w:t>
      </w:r>
    </w:p>
    <w:p>
      <w:pPr>
        <w:numPr>
          <w:ilvl w:val="0"/>
          <w:numId w:val="1002"/>
        </w:numPr>
        <w:pStyle w:val="Compact"/>
      </w:pPr>
      <w:r>
        <w:t xml:space="preserve">diagnose a mental-health, substance-use, developmental, or medical condition;</w:t>
      </w:r>
    </w:p>
    <w:p>
      <w:pPr>
        <w:numPr>
          <w:ilvl w:val="0"/>
          <w:numId w:val="1002"/>
        </w:numPr>
        <w:pStyle w:val="Compact"/>
      </w:pPr>
      <w:r>
        <w:t xml:space="preserve">provide psychotherapy or clinical counseling unless separately licensed and authorized;</w:t>
      </w:r>
    </w:p>
    <w:p>
      <w:pPr>
        <w:numPr>
          <w:ilvl w:val="0"/>
          <w:numId w:val="1002"/>
        </w:numPr>
        <w:pStyle w:val="Compact"/>
      </w:pPr>
      <w:r>
        <w:t xml:space="preserve">make legal determinations or provide legal advice;</w:t>
      </w:r>
    </w:p>
    <w:p>
      <w:pPr>
        <w:numPr>
          <w:ilvl w:val="0"/>
          <w:numId w:val="1002"/>
        </w:numPr>
        <w:pStyle w:val="Compact"/>
      </w:pPr>
      <w:r>
        <w:t xml:space="preserve">decide whether a person is legally eligible for a government benefit when that authority belongs to an agency or authorized official;</w:t>
      </w:r>
    </w:p>
    <w:p>
      <w:pPr>
        <w:numPr>
          <w:ilvl w:val="0"/>
          <w:numId w:val="1002"/>
        </w:numPr>
        <w:pStyle w:val="Compact"/>
      </w:pPr>
      <w:r>
        <w:t xml:space="preserve">promise housing, financial assistance, immigration status, disability benefits, treatment outcomes, or emergency assistance you do not control;</w:t>
      </w:r>
    </w:p>
    <w:p>
      <w:pPr>
        <w:numPr>
          <w:ilvl w:val="0"/>
          <w:numId w:val="1002"/>
        </w:numPr>
        <w:pStyle w:val="Compact"/>
      </w:pPr>
      <w:r>
        <w:t xml:space="preserve">make a safeguarding decision that must legally be made by a qualified professional or designated authority;</w:t>
      </w:r>
    </w:p>
    <w:p>
      <w:pPr>
        <w:numPr>
          <w:ilvl w:val="0"/>
          <w:numId w:val="1002"/>
        </w:numPr>
        <w:pStyle w:val="Compact"/>
      </w:pPr>
      <w:r>
        <w:t xml:space="preserve">represent yourself as a licensed social worker, therapist, psychologist, attorney, nurse, physician, or other regulated professional unless you actually hold that credential; or</w:t>
      </w:r>
    </w:p>
    <w:p>
      <w:pPr>
        <w:numPr>
          <w:ilvl w:val="0"/>
          <w:numId w:val="1002"/>
        </w:numPr>
        <w:pStyle w:val="Compact"/>
      </w:pPr>
      <w:r>
        <w:t xml:space="preserve">ignore employer escalation procedures because you believe you can handle a crisis alone.</w:t>
      </w:r>
    </w:p>
    <w:p>
      <w:pPr>
        <w:pStyle w:val="FirstParagraph"/>
      </w:pPr>
      <w:r>
        <w:t xml:space="preserve">When the boundary is unclear, stop and ask the responsible supervisor.</w:t>
      </w:r>
    </w:p>
    <w:bookmarkEnd w:id="22"/>
    <w:bookmarkStart w:id="23" w:name="work-environment-and-emotional-demands"/>
    <w:p>
      <w:pPr>
        <w:pStyle w:val="Heading2"/>
      </w:pPr>
      <w:r>
        <w:t xml:space="preserve">Work environment and emotional demands</w:t>
      </w:r>
    </w:p>
    <w:p>
      <w:pPr>
        <w:pStyle w:val="FirstParagraph"/>
      </w:pPr>
      <w:r>
        <w:t xml:space="preserve">Human-service work can be meaningful, but it can also involve stress, urgency, incomplete resources, and exposure to difficult life circumstances. Work may occur in offices, shelters, community centers, schools, rehabilitation programs, residential facilities, outreach programs, government agencies, nonprofit organizations, or client-facing service environments.</w:t>
      </w:r>
    </w:p>
    <w:p>
      <w:pPr>
        <w:pStyle w:val="BodyText"/>
      </w:pPr>
      <w:r>
        <w:t xml:space="preserve">Common demands can include:</w:t>
      </w:r>
    </w:p>
    <w:p>
      <w:pPr>
        <w:numPr>
          <w:ilvl w:val="0"/>
          <w:numId w:val="1003"/>
        </w:numPr>
        <w:pStyle w:val="Compact"/>
      </w:pPr>
      <w:r>
        <w:t xml:space="preserve">frequent conversations with people experiencing stress, poverty, disability, family conflict, housing instability, trauma, unemployment, illness, substance-use problems, or other serious challenges;</w:t>
      </w:r>
    </w:p>
    <w:p>
      <w:pPr>
        <w:numPr>
          <w:ilvl w:val="0"/>
          <w:numId w:val="1003"/>
        </w:numPr>
        <w:pStyle w:val="Compact"/>
      </w:pPr>
      <w:r>
        <w:t xml:space="preserve">handling multiple referrals, deadlines, appointments, and documentation tasks;</w:t>
      </w:r>
    </w:p>
    <w:p>
      <w:pPr>
        <w:numPr>
          <w:ilvl w:val="0"/>
          <w:numId w:val="1003"/>
        </w:numPr>
        <w:pStyle w:val="Compact"/>
      </w:pPr>
      <w:r>
        <w:t xml:space="preserve">working with clients who are frustrated, frightened, angry, confused, or distrustful;</w:t>
      </w:r>
    </w:p>
    <w:p>
      <w:pPr>
        <w:numPr>
          <w:ilvl w:val="0"/>
          <w:numId w:val="1003"/>
        </w:numPr>
        <w:pStyle w:val="Compact"/>
      </w:pPr>
      <w:r>
        <w:t xml:space="preserve">evening or weekend schedules in some programs;</w:t>
      </w:r>
    </w:p>
    <w:p>
      <w:pPr>
        <w:numPr>
          <w:ilvl w:val="0"/>
          <w:numId w:val="1003"/>
        </w:numPr>
        <w:pStyle w:val="Compact"/>
      </w:pPr>
      <w:r>
        <w:t xml:space="preserve">community or field visits in some roles;</w:t>
      </w:r>
    </w:p>
    <w:p>
      <w:pPr>
        <w:numPr>
          <w:ilvl w:val="0"/>
          <w:numId w:val="1003"/>
        </w:numPr>
        <w:pStyle w:val="Compact"/>
      </w:pPr>
      <w:r>
        <w:t xml:space="preserve">repeated exposure to distressing stories or crisis situations;</w:t>
      </w:r>
    </w:p>
    <w:p>
      <w:pPr>
        <w:numPr>
          <w:ilvl w:val="0"/>
          <w:numId w:val="1003"/>
        </w:numPr>
        <w:pStyle w:val="Compact"/>
      </w:pPr>
      <w:r>
        <w:t xml:space="preserve">balancing empathy with professional boundaries; and</w:t>
      </w:r>
    </w:p>
    <w:p>
      <w:pPr>
        <w:numPr>
          <w:ilvl w:val="0"/>
          <w:numId w:val="1003"/>
        </w:numPr>
        <w:pStyle w:val="Compact"/>
      </w:pPr>
      <w:r>
        <w:t xml:space="preserve">working within limited program capacity or eligibility rules.</w:t>
      </w:r>
    </w:p>
    <w:p>
      <w:pPr>
        <w:pStyle w:val="FirstParagraph"/>
      </w:pPr>
      <w:r>
        <w:t xml:space="preserve">Healthy boundaries, supervision, debriefing, workload management, and use of employee-support resources can be important for long-term sustainability in this field.</w:t>
      </w:r>
    </w:p>
    <w:bookmarkEnd w:id="23"/>
    <w:bookmarkStart w:id="24" w:name="X95b40112b65f700af01c88cb98f28e55c33cd3a"/>
    <w:p>
      <w:pPr>
        <w:pStyle w:val="Heading2"/>
      </w:pPr>
      <w:r>
        <w:t xml:space="preserve">Crisis, safeguarding, and emergency boundaries</w:t>
      </w:r>
    </w:p>
    <w:p>
      <w:pPr>
        <w:pStyle w:val="FirstParagraph"/>
      </w:pPr>
      <w:r>
        <w:t xml:space="preserve">Some clients may disclose or show signs of abuse, neglect, exploitation, self-harm risk, violence risk, trafficking, homelessness, medical danger, or other urgent problems.</w:t>
      </w:r>
    </w:p>
    <w:p>
      <w:pPr>
        <w:pStyle w:val="BodyText"/>
      </w:pPr>
      <w:r>
        <w:t xml:space="preserve">Your job is not to invent a response. Follow the employer's approved protocol and local law.</w:t>
      </w:r>
    </w:p>
    <w:p>
      <w:pPr>
        <w:pStyle w:val="BodyText"/>
      </w:pPr>
      <w:r>
        <w:t xml:space="preserve">Depending on the situation, this may require:</w:t>
      </w:r>
    </w:p>
    <w:p>
      <w:pPr>
        <w:numPr>
          <w:ilvl w:val="0"/>
          <w:numId w:val="1004"/>
        </w:numPr>
        <w:pStyle w:val="Compact"/>
      </w:pPr>
      <w:r>
        <w:t xml:space="preserve">contacting a supervisor or designated safeguarding lead;</w:t>
      </w:r>
    </w:p>
    <w:p>
      <w:pPr>
        <w:numPr>
          <w:ilvl w:val="0"/>
          <w:numId w:val="1004"/>
        </w:numPr>
        <w:pStyle w:val="Compact"/>
      </w:pPr>
      <w:r>
        <w:t xml:space="preserve">using an approved crisis-response pathway;</w:t>
      </w:r>
    </w:p>
    <w:p>
      <w:pPr>
        <w:numPr>
          <w:ilvl w:val="0"/>
          <w:numId w:val="1004"/>
        </w:numPr>
        <w:pStyle w:val="Compact"/>
      </w:pPr>
      <w:r>
        <w:t xml:space="preserve">contacting emergency services when required;</w:t>
      </w:r>
    </w:p>
    <w:p>
      <w:pPr>
        <w:numPr>
          <w:ilvl w:val="0"/>
          <w:numId w:val="1004"/>
        </w:numPr>
        <w:pStyle w:val="Compact"/>
      </w:pPr>
      <w:r>
        <w:t xml:space="preserve">making a legally required report through the correct channel if your role is covered by mandatory-reporting rules;</w:t>
      </w:r>
    </w:p>
    <w:p>
      <w:pPr>
        <w:numPr>
          <w:ilvl w:val="0"/>
          <w:numId w:val="1004"/>
        </w:numPr>
        <w:pStyle w:val="Compact"/>
      </w:pPr>
      <w:r>
        <w:t xml:space="preserve">documenting facts accurately and promptly; and</w:t>
      </w:r>
    </w:p>
    <w:p>
      <w:pPr>
        <w:numPr>
          <w:ilvl w:val="0"/>
          <w:numId w:val="1004"/>
        </w:numPr>
        <w:pStyle w:val="Compact"/>
      </w:pPr>
      <w:r>
        <w:t xml:space="preserve">avoiding promises of confidentiality that conflict with legal or safety obligations.</w:t>
      </w:r>
    </w:p>
    <w:p>
      <w:pPr>
        <w:pStyle w:val="FirstParagraph"/>
      </w:pPr>
      <w:r>
        <w:t xml:space="preserve">Mandatory-reporting rules vary by jurisdiction, setting, client population, and professional role. Training material and AI tools are not substitutes for current local policy and law.</w:t>
      </w:r>
    </w:p>
    <w:bookmarkEnd w:id="24"/>
    <w:bookmarkStart w:id="25" w:name="X6972b6202574c3130e34be053bf7207600e9adf"/>
    <w:p>
      <w:pPr>
        <w:pStyle w:val="Heading2"/>
      </w:pPr>
      <w:r>
        <w:t xml:space="preserve">Privacy, confidentiality, and documentation</w:t>
      </w:r>
    </w:p>
    <w:p>
      <w:pPr>
        <w:pStyle w:val="FirstParagraph"/>
      </w:pPr>
      <w:r>
        <w:t xml:space="preserve">Human-service workers may encounter highly sensitive information, including names, addresses, dates of birth, family information, disability information, health information, mental-health information, immigration details, benefits records, housing status, employment history, legal matters, and crisis information.</w:t>
      </w:r>
    </w:p>
    <w:p>
      <w:pPr>
        <w:pStyle w:val="BodyText"/>
      </w:pPr>
      <w:r>
        <w:t xml:space="preserve">Follow employer rules for:</w:t>
      </w:r>
    </w:p>
    <w:p>
      <w:pPr>
        <w:numPr>
          <w:ilvl w:val="0"/>
          <w:numId w:val="1005"/>
        </w:numPr>
        <w:pStyle w:val="Compact"/>
      </w:pPr>
      <w:r>
        <w:t xml:space="preserve">collecting only information needed for the authorized purpose;</w:t>
      </w:r>
    </w:p>
    <w:p>
      <w:pPr>
        <w:numPr>
          <w:ilvl w:val="0"/>
          <w:numId w:val="1005"/>
        </w:numPr>
        <w:pStyle w:val="Compact"/>
      </w:pPr>
      <w:r>
        <w:t xml:space="preserve">verifying identity before disclosing protected information;</w:t>
      </w:r>
    </w:p>
    <w:p>
      <w:pPr>
        <w:numPr>
          <w:ilvl w:val="0"/>
          <w:numId w:val="1005"/>
        </w:numPr>
        <w:pStyle w:val="Compact"/>
      </w:pPr>
      <w:r>
        <w:t xml:space="preserve">secure records and approved case-management systems;</w:t>
      </w:r>
    </w:p>
    <w:p>
      <w:pPr>
        <w:numPr>
          <w:ilvl w:val="0"/>
          <w:numId w:val="1005"/>
        </w:numPr>
        <w:pStyle w:val="Compact"/>
      </w:pPr>
      <w:r>
        <w:t xml:space="preserve">role-based access;</w:t>
      </w:r>
    </w:p>
    <w:p>
      <w:pPr>
        <w:numPr>
          <w:ilvl w:val="0"/>
          <w:numId w:val="1005"/>
        </w:numPr>
        <w:pStyle w:val="Compact"/>
      </w:pPr>
      <w:r>
        <w:t xml:space="preserve">passwords and multifactor authentication;</w:t>
      </w:r>
    </w:p>
    <w:p>
      <w:pPr>
        <w:numPr>
          <w:ilvl w:val="0"/>
          <w:numId w:val="1005"/>
        </w:numPr>
        <w:pStyle w:val="Compact"/>
      </w:pPr>
      <w:r>
        <w:t xml:space="preserve">sharing information only with authorized recipients;</w:t>
      </w:r>
    </w:p>
    <w:p>
      <w:pPr>
        <w:numPr>
          <w:ilvl w:val="0"/>
          <w:numId w:val="1005"/>
        </w:numPr>
        <w:pStyle w:val="Compact"/>
      </w:pPr>
      <w:r>
        <w:t xml:space="preserve">private conversations and appropriate physical spaces;</w:t>
      </w:r>
    </w:p>
    <w:p>
      <w:pPr>
        <w:numPr>
          <w:ilvl w:val="0"/>
          <w:numId w:val="1005"/>
        </w:numPr>
        <w:pStyle w:val="Compact"/>
      </w:pPr>
      <w:r>
        <w:t xml:space="preserve">retention and destruction requirements;</w:t>
      </w:r>
    </w:p>
    <w:p>
      <w:pPr>
        <w:numPr>
          <w:ilvl w:val="0"/>
          <w:numId w:val="1005"/>
        </w:numPr>
        <w:pStyle w:val="Compact"/>
      </w:pPr>
      <w:r>
        <w:t xml:space="preserve">incident reporting; and</w:t>
      </w:r>
    </w:p>
    <w:p>
      <w:pPr>
        <w:numPr>
          <w:ilvl w:val="0"/>
          <w:numId w:val="1005"/>
        </w:numPr>
        <w:pStyle w:val="Compact"/>
      </w:pPr>
      <w:r>
        <w:t xml:space="preserve">use of personal devices, messaging apps, email, cloud services, and AI tools.</w:t>
      </w:r>
    </w:p>
    <w:p>
      <w:pPr>
        <w:pStyle w:val="FirstParagraph"/>
      </w:pPr>
      <w:r>
        <w:t xml:space="preserve">Write case notes that are factual, relevant, respectful, and proportionate. Distinguish what you observed, what the client reported, and what another professional concluded.</w:t>
      </w:r>
    </w:p>
    <w:bookmarkEnd w:id="25"/>
    <w:bookmarkStart w:id="26" w:name="skills-employers-may-value"/>
    <w:p>
      <w:pPr>
        <w:pStyle w:val="Heading2"/>
      </w:pPr>
      <w:r>
        <w:t xml:space="preserve">Skills employers may value</w:t>
      </w:r>
    </w:p>
    <w:p>
      <w:pPr>
        <w:pStyle w:val="FirstParagraph"/>
      </w:pPr>
      <w:r>
        <w:t xml:space="preserve">Employers often value:</w:t>
      </w:r>
    </w:p>
    <w:p>
      <w:pPr>
        <w:numPr>
          <w:ilvl w:val="0"/>
          <w:numId w:val="1006"/>
        </w:numPr>
        <w:pStyle w:val="Compact"/>
      </w:pPr>
      <w:r>
        <w:t xml:space="preserve">active listening;</w:t>
      </w:r>
    </w:p>
    <w:p>
      <w:pPr>
        <w:numPr>
          <w:ilvl w:val="0"/>
          <w:numId w:val="1006"/>
        </w:numPr>
        <w:pStyle w:val="Compact"/>
      </w:pPr>
      <w:r>
        <w:t xml:space="preserve">respectful communication;</w:t>
      </w:r>
    </w:p>
    <w:p>
      <w:pPr>
        <w:numPr>
          <w:ilvl w:val="0"/>
          <w:numId w:val="1006"/>
        </w:numPr>
        <w:pStyle w:val="Compact"/>
      </w:pPr>
      <w:r>
        <w:t xml:space="preserve">empathy with clear boundaries;</w:t>
      </w:r>
    </w:p>
    <w:p>
      <w:pPr>
        <w:numPr>
          <w:ilvl w:val="0"/>
          <w:numId w:val="1006"/>
        </w:numPr>
        <w:pStyle w:val="Compact"/>
      </w:pPr>
      <w:r>
        <w:t xml:space="preserve">accurate recordkeeping;</w:t>
      </w:r>
    </w:p>
    <w:p>
      <w:pPr>
        <w:numPr>
          <w:ilvl w:val="0"/>
          <w:numId w:val="1006"/>
        </w:numPr>
        <w:pStyle w:val="Compact"/>
      </w:pPr>
      <w:r>
        <w:t xml:space="preserve">organization and follow-through;</w:t>
      </w:r>
    </w:p>
    <w:p>
      <w:pPr>
        <w:numPr>
          <w:ilvl w:val="0"/>
          <w:numId w:val="1006"/>
        </w:numPr>
        <w:pStyle w:val="Compact"/>
      </w:pPr>
      <w:r>
        <w:t xml:space="preserve">practical problem solving;</w:t>
      </w:r>
    </w:p>
    <w:p>
      <w:pPr>
        <w:numPr>
          <w:ilvl w:val="0"/>
          <w:numId w:val="1006"/>
        </w:numPr>
        <w:pStyle w:val="Compact"/>
      </w:pPr>
      <w:r>
        <w:t xml:space="preserve">knowledge of local community resources;</w:t>
      </w:r>
    </w:p>
    <w:p>
      <w:pPr>
        <w:numPr>
          <w:ilvl w:val="0"/>
          <w:numId w:val="1006"/>
        </w:numPr>
        <w:pStyle w:val="Compact"/>
      </w:pPr>
      <w:r>
        <w:t xml:space="preserve">ability to explain procedures in plain language;</w:t>
      </w:r>
    </w:p>
    <w:p>
      <w:pPr>
        <w:numPr>
          <w:ilvl w:val="0"/>
          <w:numId w:val="1006"/>
        </w:numPr>
        <w:pStyle w:val="Compact"/>
      </w:pPr>
      <w:r>
        <w:t xml:space="preserve">cultural humility and disability-inclusive communication;</w:t>
      </w:r>
    </w:p>
    <w:p>
      <w:pPr>
        <w:numPr>
          <w:ilvl w:val="0"/>
          <w:numId w:val="1006"/>
        </w:numPr>
        <w:pStyle w:val="Compact"/>
      </w:pPr>
      <w:r>
        <w:t xml:space="preserve">reliability and punctuality;</w:t>
      </w:r>
    </w:p>
    <w:p>
      <w:pPr>
        <w:numPr>
          <w:ilvl w:val="0"/>
          <w:numId w:val="1006"/>
        </w:numPr>
        <w:pStyle w:val="Compact"/>
      </w:pPr>
      <w:r>
        <w:t xml:space="preserve">teamwork with professionals and community partners;</w:t>
      </w:r>
    </w:p>
    <w:p>
      <w:pPr>
        <w:numPr>
          <w:ilvl w:val="0"/>
          <w:numId w:val="1006"/>
        </w:numPr>
        <w:pStyle w:val="Compact"/>
      </w:pPr>
      <w:r>
        <w:t xml:space="preserve">calm escalation in difficult situations;</w:t>
      </w:r>
    </w:p>
    <w:p>
      <w:pPr>
        <w:numPr>
          <w:ilvl w:val="0"/>
          <w:numId w:val="1006"/>
        </w:numPr>
        <w:pStyle w:val="Compact"/>
      </w:pPr>
      <w:r>
        <w:t xml:space="preserve">basic digital skills; and</w:t>
      </w:r>
    </w:p>
    <w:p>
      <w:pPr>
        <w:numPr>
          <w:ilvl w:val="0"/>
          <w:numId w:val="1006"/>
        </w:numPr>
        <w:pStyle w:val="Compact"/>
      </w:pPr>
      <w:r>
        <w:t xml:space="preserve">confidentiality and appropriate handling of sensitive information.</w:t>
      </w:r>
    </w:p>
    <w:p>
      <w:pPr>
        <w:pStyle w:val="FirstParagraph"/>
      </w:pPr>
      <w:r>
        <w:t xml:space="preserve">Bilingual or multilingual ability may be valuable in some communities, but do not claim professional interpretation or translation credentials you do not have.</w:t>
      </w:r>
    </w:p>
    <w:bookmarkEnd w:id="26"/>
    <w:bookmarkStart w:id="31" w:name="education-and-entry-pathways"/>
    <w:p>
      <w:pPr>
        <w:pStyle w:val="Heading2"/>
      </w:pPr>
      <w:r>
        <w:t xml:space="preserve">Education and entry pathways</w:t>
      </w:r>
    </w:p>
    <w:bookmarkStart w:id="27" w:name="united-states"/>
    <w:p>
      <w:pPr>
        <w:pStyle w:val="Heading3"/>
      </w:pPr>
      <w:r>
        <w:t xml:space="preserve">United States</w:t>
      </w:r>
    </w:p>
    <w:p>
      <w:pPr>
        <w:pStyle w:val="FirstParagraph"/>
      </w:pPr>
      <w:r>
        <w:t xml:space="preserve">O*NET classifies Social and Human Service Assistants as</w:t>
      </w:r>
      <w:r>
        <w:t xml:space="preserve"> </w:t>
      </w:r>
      <w:r>
        <w:rPr>
          <w:bCs/>
          <w:b/>
        </w:rPr>
        <w:t xml:space="preserve">21-1093.00</w:t>
      </w:r>
      <w:r>
        <w:t xml:space="preserve">. The U.S. Bureau of Labor Statistics states that workers typically need at least a</w:t>
      </w:r>
      <w:r>
        <w:t xml:space="preserve"> </w:t>
      </w:r>
      <w:r>
        <w:rPr>
          <w:bCs/>
          <w:b/>
        </w:rPr>
        <w:t xml:space="preserve">high school diploma or equivalent</w:t>
      </w:r>
      <w:r>
        <w:t xml:space="preserve">, although employers may require or prefer additional education for some settings. Short-term on-the-job training is common.</w:t>
      </w:r>
    </w:p>
    <w:p>
      <w:pPr>
        <w:pStyle w:val="BodyText"/>
      </w:pPr>
      <w:r>
        <w:t xml:space="preserve">A practical entry sequence is:</w:t>
      </w:r>
    </w:p>
    <w:p>
      <w:pPr>
        <w:numPr>
          <w:ilvl w:val="0"/>
          <w:numId w:val="1007"/>
        </w:numPr>
        <w:pStyle w:val="Compact"/>
      </w:pPr>
      <w:r>
        <w:t xml:space="preserve">Review local postings for social and human service assistant, human services assistant, case aide, social services assistant, family service assistant, outreach assistant, community support, shelter support, and related titles.</w:t>
      </w:r>
    </w:p>
    <w:p>
      <w:pPr>
        <w:numPr>
          <w:ilvl w:val="0"/>
          <w:numId w:val="1007"/>
        </w:numPr>
        <w:pStyle w:val="Compact"/>
      </w:pPr>
      <w:r>
        <w:t xml:space="preserve">Record recurring requirements for education, driving, background checks, documentation systems, crisis training, population experience, or language ability.</w:t>
      </w:r>
    </w:p>
    <w:p>
      <w:pPr>
        <w:numPr>
          <w:ilvl w:val="0"/>
          <w:numId w:val="1007"/>
        </w:numPr>
        <w:pStyle w:val="Compact"/>
      </w:pPr>
      <w:r>
        <w:t xml:space="preserve">Build transferable experience through supervised volunteer work, community programs, customer service, caregiving, administrative support, disability services, youth programs, senior services, or related environments.</w:t>
      </w:r>
    </w:p>
    <w:p>
      <w:pPr>
        <w:numPr>
          <w:ilvl w:val="0"/>
          <w:numId w:val="1007"/>
        </w:numPr>
        <w:pStyle w:val="Compact"/>
      </w:pPr>
      <w:r>
        <w:t xml:space="preserve">Use public or low-cost training to strengthen documentation, communication, trauma awareness, safeguarding, digital skills, and community-resource knowledge.</w:t>
      </w:r>
    </w:p>
    <w:p>
      <w:pPr>
        <w:numPr>
          <w:ilvl w:val="0"/>
          <w:numId w:val="1007"/>
        </w:numPr>
        <w:pStyle w:val="Compact"/>
      </w:pPr>
      <w:r>
        <w:t xml:space="preserve">Apply to roles that match your actual training and experience.</w:t>
      </w:r>
    </w:p>
    <w:p>
      <w:pPr>
        <w:numPr>
          <w:ilvl w:val="0"/>
          <w:numId w:val="1007"/>
        </w:numPr>
        <w:pStyle w:val="Compact"/>
      </w:pPr>
      <w:r>
        <w:t xml:space="preserve">Consider additional college education only when it supports a clear local requirement or advancement path.</w:t>
      </w:r>
    </w:p>
    <w:p>
      <w:pPr>
        <w:pStyle w:val="FirstParagraph"/>
      </w:pPr>
      <w:r>
        <w:t xml:space="preserve">Do not assume that an expensive private human-services certificate is required merely because a school markets one.</w:t>
      </w:r>
    </w:p>
    <w:bookmarkEnd w:id="27"/>
    <w:bookmarkStart w:id="28" w:name="canada"/>
    <w:p>
      <w:pPr>
        <w:pStyle w:val="Heading3"/>
      </w:pPr>
      <w:r>
        <w:t xml:space="preserve">Canada</w:t>
      </w:r>
    </w:p>
    <w:p>
      <w:pPr>
        <w:pStyle w:val="FirstParagraph"/>
      </w:pPr>
      <w:r>
        <w:t xml:space="preserve">Government of Canada Job Bank maps Social and community service workers to</w:t>
      </w:r>
      <w:r>
        <w:t xml:space="preserve"> </w:t>
      </w:r>
      <w:r>
        <w:rPr>
          <w:bCs/>
          <w:b/>
        </w:rPr>
        <w:t xml:space="preserve">NOC 42201</w:t>
      </w:r>
      <w:r>
        <w:t xml:space="preserve">. Typical requirements include a college or university program in social work, child and youth care, psychology, or another social-science or health-related discipline.</w:t>
      </w:r>
    </w:p>
    <w:p>
      <w:pPr>
        <w:pStyle w:val="BodyText"/>
      </w:pPr>
      <w:r>
        <w:t xml:space="preserve">Job Bank also notes that previous experience in a social-service environment as a volunteer or support worker may replace formal education for some occupations in the unit group.</w:t>
      </w:r>
    </w:p>
    <w:p>
      <w:pPr>
        <w:pStyle w:val="BodyText"/>
      </w:pPr>
      <w:r>
        <w:t xml:space="preserve">Some provinces may regulate particular social-service-worker titles or require registration. A generic community-support role and a regulated social-service-worker title are not automatically the same thing.</w:t>
      </w:r>
    </w:p>
    <w:p>
      <w:pPr>
        <w:pStyle w:val="BodyText"/>
      </w:pPr>
      <w:r>
        <w:t xml:space="preserve">Before enrolling, verify:</w:t>
      </w:r>
    </w:p>
    <w:p>
      <w:pPr>
        <w:numPr>
          <w:ilvl w:val="0"/>
          <w:numId w:val="1008"/>
        </w:numPr>
        <w:pStyle w:val="Compact"/>
      </w:pPr>
      <w:r>
        <w:t xml:space="preserve">the exact title you want;</w:t>
      </w:r>
    </w:p>
    <w:p>
      <w:pPr>
        <w:numPr>
          <w:ilvl w:val="0"/>
          <w:numId w:val="1008"/>
        </w:numPr>
        <w:pStyle w:val="Compact"/>
      </w:pPr>
      <w:r>
        <w:t xml:space="preserve">provincial requirements;</w:t>
      </w:r>
    </w:p>
    <w:p>
      <w:pPr>
        <w:numPr>
          <w:ilvl w:val="0"/>
          <w:numId w:val="1008"/>
        </w:numPr>
        <w:pStyle w:val="Compact"/>
      </w:pPr>
      <w:r>
        <w:t xml:space="preserve">whether the employer requires a diploma or degree;</w:t>
      </w:r>
    </w:p>
    <w:p>
      <w:pPr>
        <w:numPr>
          <w:ilvl w:val="0"/>
          <w:numId w:val="1008"/>
        </w:numPr>
        <w:pStyle w:val="Compact"/>
      </w:pPr>
      <w:r>
        <w:t xml:space="preserve">whether supervised experience can substitute for education; and</w:t>
      </w:r>
    </w:p>
    <w:p>
      <w:pPr>
        <w:numPr>
          <w:ilvl w:val="0"/>
          <w:numId w:val="1008"/>
        </w:numPr>
        <w:pStyle w:val="Compact"/>
      </w:pPr>
      <w:r>
        <w:t xml:space="preserve">whether registration is required for that title.</w:t>
      </w:r>
    </w:p>
    <w:bookmarkEnd w:id="28"/>
    <w:bookmarkStart w:id="29" w:name="colombia"/>
    <w:p>
      <w:pPr>
        <w:pStyle w:val="Heading3"/>
      </w:pPr>
      <w:r>
        <w:t xml:space="preserve">Colombia</w:t>
      </w:r>
    </w:p>
    <w:p>
      <w:pPr>
        <w:pStyle w:val="FirstParagraph"/>
      </w:pPr>
      <w:r>
        <w:t xml:space="preserve">SENA's National Occupational Classification identifies</w:t>
      </w:r>
      <w:r>
        <w:t xml:space="preserve"> </w:t>
      </w:r>
      <w:r>
        <w:rPr>
          <w:bCs/>
          <w:b/>
        </w:rPr>
        <w:t xml:space="preserve">CNO 4211 — Asistentes en servicios social y comunitario</w:t>
      </w:r>
      <w:r>
        <w:t xml:space="preserve">.</w:t>
      </w:r>
    </w:p>
    <w:p>
      <w:pPr>
        <w:pStyle w:val="BodyText"/>
      </w:pPr>
      <w:r>
        <w:t xml:space="preserve">Current SENA Agencia Pública de Empleo postings use titles such as:</w:t>
      </w:r>
    </w:p>
    <w:p>
      <w:pPr>
        <w:numPr>
          <w:ilvl w:val="0"/>
          <w:numId w:val="1009"/>
        </w:numPr>
        <w:pStyle w:val="Compact"/>
      </w:pPr>
      <w:r>
        <w:t xml:space="preserve">Auxiliar de servicio social y comunitario;</w:t>
      </w:r>
    </w:p>
    <w:p>
      <w:pPr>
        <w:numPr>
          <w:ilvl w:val="0"/>
          <w:numId w:val="1009"/>
        </w:numPr>
        <w:pStyle w:val="Compact"/>
      </w:pPr>
      <w:r>
        <w:t xml:space="preserve">Asistente de servicios sociales y comunitarios;</w:t>
      </w:r>
    </w:p>
    <w:p>
      <w:pPr>
        <w:numPr>
          <w:ilvl w:val="0"/>
          <w:numId w:val="1009"/>
        </w:numPr>
        <w:pStyle w:val="Compact"/>
      </w:pPr>
      <w:r>
        <w:t xml:space="preserve">Gestor comunitario; and</w:t>
      </w:r>
    </w:p>
    <w:p>
      <w:pPr>
        <w:numPr>
          <w:ilvl w:val="0"/>
          <w:numId w:val="1009"/>
        </w:numPr>
        <w:pStyle w:val="Compact"/>
      </w:pPr>
      <w:r>
        <w:t xml:space="preserve">Promotor social.</w:t>
      </w:r>
    </w:p>
    <w:p>
      <w:pPr>
        <w:pStyle w:val="FirstParagraph"/>
      </w:pPr>
      <w:r>
        <w:t xml:space="preserve">Current examples include referral support, institutional navigation, community-program logistics, routine documentation, assistance with service access, and work under institutional protocols in crisis or vulnerable-population settings.</w:t>
      </w:r>
    </w:p>
    <w:p>
      <w:pPr>
        <w:pStyle w:val="BodyText"/>
      </w:pPr>
      <w:r>
        <w:t xml:space="preserve">SENA Betowa also lists complementary public training that can strengthen adjacent skills. Examples include</w:t>
      </w:r>
      <w:r>
        <w:t xml:space="preserve"> </w:t>
      </w:r>
      <w:r>
        <w:rPr>
          <w:bCs/>
          <w:b/>
        </w:rPr>
        <w:t xml:space="preserve">Implementación de la política de participación social en salud</w:t>
      </w:r>
      <w:r>
        <w:t xml:space="preserve"> </w:t>
      </w:r>
      <w:r>
        <w:t xml:space="preserve">and</w:t>
      </w:r>
      <w:r>
        <w:t xml:space="preserve"> </w:t>
      </w:r>
      <w:r>
        <w:rPr>
          <w:bCs/>
          <w:b/>
        </w:rPr>
        <w:t xml:space="preserve">Desarrollo de habilidades para el bienestar familiar y comunitario</w:t>
      </w:r>
      <w:r>
        <w:t xml:space="preserve">.</w:t>
      </w:r>
    </w:p>
    <w:p>
      <w:pPr>
        <w:pStyle w:val="BodyText"/>
      </w:pPr>
      <w:r>
        <w:t xml:space="preserve">These are skill-building examples, not universal legal prerequisites for CNO 4211 and not substitutes for a professional social-work degree where professional practice requires one.</w:t>
      </w:r>
    </w:p>
    <w:bookmarkEnd w:id="29"/>
    <w:bookmarkStart w:id="30" w:name="latin-america-and-the-caribbean"/>
    <w:p>
      <w:pPr>
        <w:pStyle w:val="Heading3"/>
      </w:pPr>
      <w:r>
        <w:t xml:space="preserve">Latin America and the Caribbean</w:t>
      </w:r>
    </w:p>
    <w:p>
      <w:pPr>
        <w:pStyle w:val="FirstParagraph"/>
      </w:pPr>
      <w:r>
        <w:t xml:space="preserve">Training systems, title protection, professional social-work rules, and community-service pathways vary by country. OIT/Cinterfor maintains a regional network of vocational-training institutions and qualification systems that can help identify the appropriate national public training body.</w:t>
      </w:r>
    </w:p>
    <w:p>
      <w:pPr>
        <w:pStyle w:val="BodyText"/>
      </w:pPr>
      <w:r>
        <w:t xml:space="preserve">Use OIT/Cinterfor as a locator, then verify the exact program, title, cost, recognition, and legal scope directly with the national institution and local regulator.</w:t>
      </w:r>
    </w:p>
    <w:bookmarkEnd w:id="30"/>
    <w:bookmarkEnd w:id="31"/>
    <w:bookmarkStart w:id="32" w:name="X825e60f28aced09b895801e2e0c3e53f1f09502"/>
    <w:p>
      <w:pPr>
        <w:pStyle w:val="Heading2"/>
      </w:pPr>
      <w:r>
        <w:t xml:space="preserve">Free-first and low-cost training strategy</w:t>
      </w:r>
    </w:p>
    <w:p>
      <w:pPr>
        <w:pStyle w:val="FirstParagraph"/>
      </w:pPr>
      <w:r>
        <w:t xml:space="preserve">Before paying for training:</w:t>
      </w:r>
    </w:p>
    <w:p>
      <w:pPr>
        <w:numPr>
          <w:ilvl w:val="0"/>
          <w:numId w:val="1010"/>
        </w:numPr>
        <w:pStyle w:val="Compact"/>
      </w:pPr>
      <w:r>
        <w:t xml:space="preserve">Review 15–20 real job postings in your target area.</w:t>
      </w:r>
    </w:p>
    <w:p>
      <w:pPr>
        <w:numPr>
          <w:ilvl w:val="0"/>
          <w:numId w:val="1010"/>
        </w:numPr>
        <w:pStyle w:val="Compact"/>
      </w:pPr>
      <w:r>
        <w:t xml:space="preserve">Separate true requirements from preferred qualifications.</w:t>
      </w:r>
    </w:p>
    <w:p>
      <w:pPr>
        <w:numPr>
          <w:ilvl w:val="0"/>
          <w:numId w:val="1010"/>
        </w:numPr>
        <w:pStyle w:val="Compact"/>
      </w:pPr>
      <w:r>
        <w:t xml:space="preserve">Ask employers whether they provide paid onboarding or role-specific training.</w:t>
      </w:r>
    </w:p>
    <w:p>
      <w:pPr>
        <w:numPr>
          <w:ilvl w:val="0"/>
          <w:numId w:val="1010"/>
        </w:numPr>
        <w:pStyle w:val="Compact"/>
      </w:pPr>
      <w:r>
        <w:t xml:space="preserve">Use public workforce, community-college, vocational, or nonprofit training first where suitable.</w:t>
      </w:r>
    </w:p>
    <w:p>
      <w:pPr>
        <w:numPr>
          <w:ilvl w:val="0"/>
          <w:numId w:val="1010"/>
        </w:numPr>
        <w:pStyle w:val="Compact"/>
      </w:pPr>
      <w:r>
        <w:t xml:space="preserve">Compare total cost, schedule, transport, materials, exams, and unpaid placement requirements.</w:t>
      </w:r>
    </w:p>
    <w:p>
      <w:pPr>
        <w:numPr>
          <w:ilvl w:val="0"/>
          <w:numId w:val="1010"/>
        </w:numPr>
        <w:pStyle w:val="Compact"/>
      </w:pPr>
      <w:r>
        <w:t xml:space="preserve">Check whether employers actually recognize the credential.</w:t>
      </w:r>
    </w:p>
    <w:p>
      <w:pPr>
        <w:numPr>
          <w:ilvl w:val="0"/>
          <w:numId w:val="1010"/>
        </w:numPr>
        <w:pStyle w:val="Compact"/>
      </w:pPr>
      <w:r>
        <w:t xml:space="preserve">Get refund and job-placement claims in writing.</w:t>
      </w:r>
    </w:p>
    <w:p>
      <w:pPr>
        <w:numPr>
          <w:ilvl w:val="0"/>
          <w:numId w:val="1010"/>
        </w:numPr>
        <w:pStyle w:val="Compact"/>
      </w:pPr>
      <w:r>
        <w:t xml:space="preserve">Avoid debt for a credential that local employers do not request.</w:t>
      </w:r>
    </w:p>
    <w:bookmarkEnd w:id="32"/>
    <w:bookmarkStart w:id="37" w:name="funding-and-public-training-locators"/>
    <w:p>
      <w:pPr>
        <w:pStyle w:val="Heading2"/>
      </w:pPr>
      <w:r>
        <w:t xml:space="preserve">Funding and public training locators</w:t>
      </w:r>
    </w:p>
    <w:bookmarkStart w:id="33" w:name="united-states-1"/>
    <w:p>
      <w:pPr>
        <w:pStyle w:val="Heading3"/>
      </w:pPr>
      <w:r>
        <w:t xml:space="preserve">United States</w:t>
      </w:r>
    </w:p>
    <w:p>
      <w:pPr>
        <w:pStyle w:val="FirstParagraph"/>
      </w:pPr>
      <w:r>
        <w:t xml:space="preserve">CareerOneStop, sponsored by the U.S. Department of Labor, provides an</w:t>
      </w:r>
      <w:r>
        <w:t xml:space="preserve"> </w:t>
      </w:r>
      <w:r>
        <w:rPr>
          <w:bCs/>
          <w:b/>
        </w:rPr>
        <w:t xml:space="preserve">American Job Center</w:t>
      </w:r>
      <w:r>
        <w:t xml:space="preserve"> </w:t>
      </w:r>
      <w:r>
        <w:t xml:space="preserve">network and a</w:t>
      </w:r>
      <w:r>
        <w:t xml:space="preserve"> </w:t>
      </w:r>
      <w:r>
        <w:rPr>
          <w:bCs/>
          <w:b/>
        </w:rPr>
        <w:t xml:space="preserve">WIOA-Eligible Training Program Finder</w:t>
      </w:r>
      <w:r>
        <w:t xml:space="preserve">.</w:t>
      </w:r>
    </w:p>
    <w:p>
      <w:pPr>
        <w:pStyle w:val="BodyText"/>
      </w:pPr>
      <w:r>
        <w:t xml:space="preserve">WIOA training support may be available to eligible people, including some workers facing employment barriers. Eligibility, approved programs, local priorities, and available funds vary by area. Funding is</w:t>
      </w:r>
      <w:r>
        <w:t xml:space="preserve"> </w:t>
      </w:r>
      <w:r>
        <w:rPr>
          <w:bCs/>
          <w:b/>
        </w:rPr>
        <w:t xml:space="preserve">not guaranteed</w:t>
      </w:r>
      <w:r>
        <w:t xml:space="preserve">.</w:t>
      </w:r>
    </w:p>
    <w:p>
      <w:pPr>
        <w:pStyle w:val="BodyText"/>
      </w:pPr>
      <w:r>
        <w:t xml:space="preserve">CareerOneStop also provides tools to search local training, scholarships, certifications, licenses, and apprenticeships.</w:t>
      </w:r>
    </w:p>
    <w:bookmarkEnd w:id="33"/>
    <w:bookmarkStart w:id="34" w:name="apprenticeships-and-work-based-learning"/>
    <w:p>
      <w:pPr>
        <w:pStyle w:val="Heading3"/>
      </w:pPr>
      <w:r>
        <w:t xml:space="preserve">Apprenticeships and work-based learning</w:t>
      </w:r>
    </w:p>
    <w:p>
      <w:pPr>
        <w:pStyle w:val="FirstParagraph"/>
      </w:pPr>
      <w:r>
        <w:t xml:space="preserve">There is no universal national apprenticeship requirement for Social and Human Service Assistants. Registered Apprenticeship opportunities may exist in some human-service or adjacent occupations, but they vary by employer and location.</w:t>
      </w:r>
    </w:p>
    <w:p>
      <w:pPr>
        <w:pStyle w:val="BodyText"/>
      </w:pPr>
      <w:r>
        <w:t xml:space="preserve">Search Apprenticeship.gov for current openings rather than assuming a program exists locally.</w:t>
      </w:r>
    </w:p>
    <w:bookmarkEnd w:id="34"/>
    <w:bookmarkStart w:id="35" w:name="canada-1"/>
    <w:p>
      <w:pPr>
        <w:pStyle w:val="Heading3"/>
      </w:pPr>
      <w:r>
        <w:t xml:space="preserve">Canada</w:t>
      </w:r>
    </w:p>
    <w:p>
      <w:pPr>
        <w:pStyle w:val="FirstParagraph"/>
      </w:pPr>
      <w:r>
        <w:t xml:space="preserve">Canada does not have one national credential or funding program that applies to every NOC 42201 role. Compare community-college, university, public employment-service, provincial training, and employer-supported options in the province where you intend to work.</w:t>
      </w:r>
    </w:p>
    <w:p>
      <w:pPr>
        <w:pStyle w:val="BodyText"/>
      </w:pPr>
      <w:r>
        <w:t xml:space="preserve">If a program qualifies for public student aid or provincial support, confirm that eligibility with the responsible government program before enrolling.</w:t>
      </w:r>
    </w:p>
    <w:bookmarkEnd w:id="35"/>
    <w:bookmarkStart w:id="36" w:name="colombia-and-latin-america"/>
    <w:p>
      <w:pPr>
        <w:pStyle w:val="Heading3"/>
      </w:pPr>
      <w:r>
        <w:t xml:space="preserve">Colombia and Latin America</w:t>
      </w:r>
    </w:p>
    <w:p>
      <w:pPr>
        <w:pStyle w:val="FirstParagraph"/>
      </w:pPr>
      <w:r>
        <w:t xml:space="preserve">Start with SENA/Betowa and SENA's public employment services in Colombia. In other Latin American countries, use OIT/Cinterfor's network to identify the relevant national vocational-training institution, then confirm current offerings directly.</w:t>
      </w:r>
    </w:p>
    <w:bookmarkEnd w:id="36"/>
    <w:bookmarkEnd w:id="37"/>
    <w:bookmarkStart w:id="38" w:name="employer-support-and-work-based-learning"/>
    <w:p>
      <w:pPr>
        <w:pStyle w:val="Heading2"/>
      </w:pPr>
      <w:r>
        <w:t xml:space="preserve">Employer support and work-based learning</w:t>
      </w:r>
    </w:p>
    <w:p>
      <w:pPr>
        <w:pStyle w:val="FirstParagraph"/>
      </w:pPr>
      <w:r>
        <w:t xml:space="preserve">Ask employers about:</w:t>
      </w:r>
    </w:p>
    <w:p>
      <w:pPr>
        <w:numPr>
          <w:ilvl w:val="0"/>
          <w:numId w:val="1011"/>
        </w:numPr>
        <w:pStyle w:val="Compact"/>
      </w:pPr>
      <w:r>
        <w:t xml:space="preserve">paid orientation;</w:t>
      </w:r>
    </w:p>
    <w:p>
      <w:pPr>
        <w:numPr>
          <w:ilvl w:val="0"/>
          <w:numId w:val="1011"/>
        </w:numPr>
        <w:pStyle w:val="Compact"/>
      </w:pPr>
      <w:r>
        <w:t xml:space="preserve">supervised intake or case-aide training;</w:t>
      </w:r>
    </w:p>
    <w:p>
      <w:pPr>
        <w:numPr>
          <w:ilvl w:val="0"/>
          <w:numId w:val="1011"/>
        </w:numPr>
        <w:pStyle w:val="Compact"/>
      </w:pPr>
      <w:r>
        <w:t xml:space="preserve">safeguarding and mandatory-reporting training;</w:t>
      </w:r>
    </w:p>
    <w:p>
      <w:pPr>
        <w:numPr>
          <w:ilvl w:val="0"/>
          <w:numId w:val="1011"/>
        </w:numPr>
        <w:pStyle w:val="Compact"/>
      </w:pPr>
      <w:r>
        <w:t xml:space="preserve">trauma-informed practice training;</w:t>
      </w:r>
    </w:p>
    <w:p>
      <w:pPr>
        <w:numPr>
          <w:ilvl w:val="0"/>
          <w:numId w:val="1011"/>
        </w:numPr>
        <w:pStyle w:val="Compact"/>
      </w:pPr>
      <w:r>
        <w:t xml:space="preserve">documentation and case-management-system training;</w:t>
      </w:r>
    </w:p>
    <w:p>
      <w:pPr>
        <w:numPr>
          <w:ilvl w:val="0"/>
          <w:numId w:val="1011"/>
        </w:numPr>
        <w:pStyle w:val="Compact"/>
      </w:pPr>
      <w:r>
        <w:t xml:space="preserve">conflict de-escalation training;</w:t>
      </w:r>
    </w:p>
    <w:p>
      <w:pPr>
        <w:numPr>
          <w:ilvl w:val="0"/>
          <w:numId w:val="1011"/>
        </w:numPr>
        <w:pStyle w:val="Compact"/>
      </w:pPr>
      <w:r>
        <w:t xml:space="preserve">tuition assistance;</w:t>
      </w:r>
    </w:p>
    <w:p>
      <w:pPr>
        <w:numPr>
          <w:ilvl w:val="0"/>
          <w:numId w:val="1011"/>
        </w:numPr>
        <w:pStyle w:val="Compact"/>
      </w:pPr>
      <w:r>
        <w:t xml:space="preserve">certification or course reimbursement;</w:t>
      </w:r>
    </w:p>
    <w:p>
      <w:pPr>
        <w:numPr>
          <w:ilvl w:val="0"/>
          <w:numId w:val="1011"/>
        </w:numPr>
        <w:pStyle w:val="Compact"/>
      </w:pPr>
      <w:r>
        <w:t xml:space="preserve">language-learning support;</w:t>
      </w:r>
    </w:p>
    <w:p>
      <w:pPr>
        <w:numPr>
          <w:ilvl w:val="0"/>
          <w:numId w:val="1011"/>
        </w:numPr>
        <w:pStyle w:val="Compact"/>
      </w:pPr>
      <w:r>
        <w:t xml:space="preserve">cross-training in housing, disability, youth, aging, employment, or family services; and</w:t>
      </w:r>
    </w:p>
    <w:p>
      <w:pPr>
        <w:numPr>
          <w:ilvl w:val="0"/>
          <w:numId w:val="1011"/>
        </w:numPr>
        <w:pStyle w:val="Compact"/>
      </w:pPr>
      <w:r>
        <w:t xml:space="preserve">internal promotion pathways.</w:t>
      </w:r>
    </w:p>
    <w:p>
      <w:pPr>
        <w:pStyle w:val="FirstParagraph"/>
      </w:pPr>
      <w:r>
        <w:t xml:space="preserve">Get repayment obligations in writing before accepting employer-funded education.</w:t>
      </w:r>
    </w:p>
    <w:bookmarkEnd w:id="38"/>
    <w:bookmarkStart w:id="43" w:name="income-and-employment-outlook"/>
    <w:p>
      <w:pPr>
        <w:pStyle w:val="Heading2"/>
      </w:pPr>
      <w:r>
        <w:t xml:space="preserve">Income and employment outlook</w:t>
      </w:r>
    </w:p>
    <w:bookmarkStart w:id="39" w:name="united-states--official-data"/>
    <w:p>
      <w:pPr>
        <w:pStyle w:val="Heading3"/>
      </w:pPr>
      <w:r>
        <w:t xml:space="preserve">United States — official data</w:t>
      </w:r>
    </w:p>
    <w:p>
      <w:pPr>
        <w:pStyle w:val="FirstParagraph"/>
      </w:pPr>
      <w:r>
        <w:t xml:space="preserve">O*NET reports</w:t>
      </w:r>
      <w:r>
        <w:t xml:space="preserve"> </w:t>
      </w:r>
      <w:r>
        <w:rPr>
          <w:bCs/>
          <w:b/>
        </w:rPr>
        <w:t xml:space="preserve">2025 BLS wage data</w:t>
      </w:r>
      <w:r>
        <w:t xml:space="preserve"> </w:t>
      </w:r>
      <w:r>
        <w:t xml:space="preserve">for Social and Human Service Assistants, 21-1093.00:</w:t>
      </w:r>
    </w:p>
    <w:p>
      <w:pPr>
        <w:numPr>
          <w:ilvl w:val="0"/>
          <w:numId w:val="1012"/>
        </w:numPr>
        <w:pStyle w:val="Compact"/>
      </w:pPr>
      <w:r>
        <w:rPr>
          <w:bCs/>
          <w:b/>
        </w:rPr>
        <w:t xml:space="preserve">Median hourly wage: USD $22.08</w:t>
      </w:r>
    </w:p>
    <w:p>
      <w:pPr>
        <w:numPr>
          <w:ilvl w:val="0"/>
          <w:numId w:val="1012"/>
        </w:numPr>
        <w:pStyle w:val="Compact"/>
      </w:pPr>
      <w:r>
        <w:rPr>
          <w:bCs/>
          <w:b/>
        </w:rPr>
        <w:t xml:space="preserve">Median annual wage: USD $45,930</w:t>
      </w:r>
    </w:p>
    <w:p>
      <w:pPr>
        <w:pStyle w:val="FirstParagraph"/>
      </w:pPr>
      <w:r>
        <w:t xml:space="preserve">O*NET also reports approximately</w:t>
      </w:r>
      <w:r>
        <w:t xml:space="preserve"> </w:t>
      </w:r>
      <w:r>
        <w:rPr>
          <w:bCs/>
          <w:b/>
        </w:rPr>
        <w:t xml:space="preserve">449,600 workers in 2024</w:t>
      </w:r>
      <w:r>
        <w:t xml:space="preserve">, projected growth of</w:t>
      </w:r>
      <w:r>
        <w:t xml:space="preserve"> </w:t>
      </w:r>
      <w:r>
        <w:rPr>
          <w:bCs/>
          <w:b/>
        </w:rPr>
        <w:t xml:space="preserve">5% to 6% from 2024 to 2034</w:t>
      </w:r>
      <w:r>
        <w:t xml:space="preserve">, and approximately</w:t>
      </w:r>
      <w:r>
        <w:t xml:space="preserve"> </w:t>
      </w:r>
      <w:r>
        <w:rPr>
          <w:bCs/>
          <w:b/>
        </w:rPr>
        <w:t xml:space="preserve">50,600 openings per year</w:t>
      </w:r>
      <w:r>
        <w:t xml:space="preserve"> </w:t>
      </w:r>
      <w:r>
        <w:t xml:space="preserve">over the decade.</w:t>
      </w:r>
    </w:p>
    <w:p>
      <w:pPr>
        <w:pStyle w:val="BodyText"/>
      </w:pPr>
      <w:r>
        <w:t xml:space="preserve">These are national occupational figures. They are not guaranteed starting wages and can vary by employer, region, education, schedule, and population served.</w:t>
      </w:r>
    </w:p>
    <w:bookmarkEnd w:id="39"/>
    <w:bookmarkStart w:id="40" w:name="X2c362c12c4fe47174c6fa7d1b06bd3c448d643b"/>
    <w:p>
      <w:pPr>
        <w:pStyle w:val="Heading3"/>
      </w:pPr>
      <w:r>
        <w:t xml:space="preserve">United States — current private market estimate</w:t>
      </w:r>
    </w:p>
    <w:p>
      <w:pPr>
        <w:pStyle w:val="FirstParagraph"/>
      </w:pPr>
      <w:r>
        <w:t xml:space="preserve">Indeed reported an average base salary of approximately</w:t>
      </w:r>
      <w:r>
        <w:t xml:space="preserve"> </w:t>
      </w:r>
      <w:r>
        <w:rPr>
          <w:bCs/>
          <w:b/>
        </w:rPr>
        <w:t xml:space="preserve">USD $21.40 per hour</w:t>
      </w:r>
      <w:r>
        <w:t xml:space="preserve"> </w:t>
      </w:r>
      <w:r>
        <w:t xml:space="preserve">for the narrower title</w:t>
      </w:r>
      <w:r>
        <w:t xml:space="preserve"> </w:t>
      </w:r>
      <w:r>
        <w:rPr>
          <w:iCs/>
          <w:i/>
        </w:rPr>
        <w:t xml:space="preserve">Social Services Assistant</w:t>
      </w:r>
      <w:r>
        <w:t xml:space="preserve">, based on about 1,200 salaries from job postings over the preceding 36 months and updated</w:t>
      </w:r>
      <w:r>
        <w:t xml:space="preserve"> </w:t>
      </w:r>
      <w:r>
        <w:rPr>
          <w:bCs/>
          <w:b/>
        </w:rPr>
        <w:t xml:space="preserve">August 1, 2026</w:t>
      </w:r>
      <w:r>
        <w:t xml:space="preserve">.</w:t>
      </w:r>
    </w:p>
    <w:p>
      <w:pPr>
        <w:pStyle w:val="BodyText"/>
      </w:pPr>
      <w:r>
        <w:t xml:space="preserve">This is a</w:t>
      </w:r>
      <w:r>
        <w:t xml:space="preserve"> </w:t>
      </w:r>
      <w:r>
        <w:rPr>
          <w:bCs/>
          <w:b/>
        </w:rPr>
        <w:t xml:space="preserve">non-government job-posting estimate</w:t>
      </w:r>
      <w:r>
        <w:t xml:space="preserve">, not the official BLS/O*NET occupational median. Do not combine the two as if they were the same dataset.</w:t>
      </w:r>
    </w:p>
    <w:bookmarkEnd w:id="40"/>
    <w:bookmarkStart w:id="41" w:name="canada--official-data"/>
    <w:p>
      <w:pPr>
        <w:pStyle w:val="Heading3"/>
      </w:pPr>
      <w:r>
        <w:t xml:space="preserve">Canada — official data</w:t>
      </w:r>
    </w:p>
    <w:p>
      <w:pPr>
        <w:pStyle w:val="FirstParagraph"/>
      </w:pPr>
      <w:r>
        <w:t xml:space="preserve">Government of Canada Job Bank reports national wages for NOC 42201, updated</w:t>
      </w:r>
      <w:r>
        <w:t xml:space="preserve"> </w:t>
      </w:r>
      <w:r>
        <w:rPr>
          <w:bCs/>
          <w:b/>
        </w:rPr>
        <w:t xml:space="preserve">November 19, 2025</w:t>
      </w:r>
      <w:r>
        <w:t xml:space="preserve">, of approximately:</w:t>
      </w:r>
    </w:p>
    <w:p>
      <w:pPr>
        <w:numPr>
          <w:ilvl w:val="0"/>
          <w:numId w:val="1013"/>
        </w:numPr>
        <w:pStyle w:val="Compact"/>
      </w:pPr>
      <w:r>
        <w:rPr>
          <w:bCs/>
          <w:b/>
        </w:rPr>
        <w:t xml:space="preserve">CAD $19.00/hour low</w:t>
      </w:r>
    </w:p>
    <w:p>
      <w:pPr>
        <w:numPr>
          <w:ilvl w:val="0"/>
          <w:numId w:val="1013"/>
        </w:numPr>
        <w:pStyle w:val="Compact"/>
      </w:pPr>
      <w:r>
        <w:rPr>
          <w:bCs/>
          <w:b/>
        </w:rPr>
        <w:t xml:space="preserve">CAD $26.00/hour median</w:t>
      </w:r>
    </w:p>
    <w:p>
      <w:pPr>
        <w:numPr>
          <w:ilvl w:val="0"/>
          <w:numId w:val="1013"/>
        </w:numPr>
        <w:pStyle w:val="Compact"/>
      </w:pPr>
      <w:r>
        <w:rPr>
          <w:bCs/>
          <w:b/>
        </w:rPr>
        <w:t xml:space="preserve">CAD $36.06/hour high</w:t>
      </w:r>
    </w:p>
    <w:p>
      <w:pPr>
        <w:pStyle w:val="FirstParagraph"/>
      </w:pPr>
      <w:r>
        <w:t xml:space="preserve">The underlying wage reference period is 2023–2024. Provincial and regional wages vary materially.</w:t>
      </w:r>
    </w:p>
    <w:bookmarkEnd w:id="41"/>
    <w:bookmarkStart w:id="42" w:name="colombia-1"/>
    <w:p>
      <w:pPr>
        <w:pStyle w:val="Heading3"/>
      </w:pPr>
      <w:r>
        <w:t xml:space="preserve">Colombia</w:t>
      </w:r>
    </w:p>
    <w:p>
      <w:pPr>
        <w:pStyle w:val="FirstParagraph"/>
      </w:pPr>
      <w:r>
        <w:t xml:space="preserve">A directly comparable current national official wage series that maps cleanly to Guide 59 was not identified in the controlled research pass. Do not invent a national salary figure.</w:t>
      </w:r>
    </w:p>
    <w:p>
      <w:pPr>
        <w:pStyle w:val="BodyText"/>
      </w:pPr>
      <w:r>
        <w:t xml:space="preserve">Use current SENA Agencia Pública de Empleo and other verified local postings to evaluate compensation, schedule, contract type, and qualification expectations in the city or department where you plan to work.</w:t>
      </w:r>
    </w:p>
    <w:bookmarkEnd w:id="42"/>
    <w:bookmarkEnd w:id="43"/>
    <w:bookmarkStart w:id="44"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job postings. Record recurring titles, education, driving requirements, background checks, documentation systems, client populations, and schedules.</w:t>
      </w:r>
    </w:p>
    <w:p>
      <w:pPr>
        <w:pStyle w:val="BodyText"/>
      </w:pPr>
      <w:r>
        <w:rPr>
          <w:bCs/>
          <w:b/>
        </w:rPr>
        <w:t xml:space="preserve">Weeks 3–4:</w:t>
      </w:r>
      <w:r>
        <w:t xml:space="preserve"> </w:t>
      </w:r>
      <w:r>
        <w:t xml:space="preserve">Build a local resource map for housing, food, employment, disability, aging, youth, family, health, transport, legal-aid, and crisis services. Learn what each organization actually does and how referrals work.</w:t>
      </w:r>
    </w:p>
    <w:p>
      <w:pPr>
        <w:pStyle w:val="BodyText"/>
      </w:pPr>
      <w:r>
        <w:rPr>
          <w:bCs/>
          <w:b/>
        </w:rPr>
        <w:t xml:space="preserve">Weeks 5–6:</w:t>
      </w:r>
      <w:r>
        <w:t xml:space="preserve"> </w:t>
      </w:r>
      <w:r>
        <w:t xml:space="preserve">Practice active listening, plain-language explanation, objective note writing, professional boundaries, privacy, and basic case documentation using fictional scenarios.</w:t>
      </w:r>
    </w:p>
    <w:p>
      <w:pPr>
        <w:pStyle w:val="BodyText"/>
      </w:pPr>
      <w:r>
        <w:rPr>
          <w:bCs/>
          <w:b/>
        </w:rPr>
        <w:t xml:space="preserve">Weeks 7–8:</w:t>
      </w:r>
      <w:r>
        <w:t xml:space="preserve"> </w:t>
      </w:r>
      <w:r>
        <w:t xml:space="preserve">Complete available public or employer-recognized training in safeguarding, trauma awareness, de-escalation, disability inclusion, digital privacy, or community-resource navigation where appropriate.</w:t>
      </w:r>
    </w:p>
    <w:p>
      <w:pPr>
        <w:pStyle w:val="BodyText"/>
      </w:pPr>
      <w:r>
        <w:rPr>
          <w:bCs/>
          <w:b/>
        </w:rPr>
        <w:t xml:space="preserve">Weeks 9–10:</w:t>
      </w:r>
      <w:r>
        <w:t xml:space="preserve"> </w:t>
      </w:r>
      <w:r>
        <w:t xml:space="preserve">Build supervised experience through volunteering, community programs, customer-facing service, administrative support, shelters, disability services, youth programs, senior services, or other relevant environments.</w:t>
      </w:r>
    </w:p>
    <w:p>
      <w:pPr>
        <w:pStyle w:val="BodyText"/>
      </w:pPr>
      <w:r>
        <w:rPr>
          <w:bCs/>
          <w:b/>
        </w:rPr>
        <w:t xml:space="preserve">Weeks 11–12:</w:t>
      </w:r>
      <w:r>
        <w:t xml:space="preserve"> </w:t>
      </w:r>
      <w:r>
        <w:t xml:space="preserve">Apply to roles that match your actual education and experience. Prepare examples showing reliability, documentation, empathy, boundaries, resource navigation, and appropriate escalation.</w:t>
      </w:r>
    </w:p>
    <w:bookmarkEnd w:id="44"/>
    <w:bookmarkStart w:id="45"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4"/>
        </w:numPr>
        <w:pStyle w:val="Compact"/>
      </w:pPr>
      <w:r>
        <w:t xml:space="preserve">community volunteering;</w:t>
      </w:r>
    </w:p>
    <w:p>
      <w:pPr>
        <w:numPr>
          <w:ilvl w:val="0"/>
          <w:numId w:val="1014"/>
        </w:numPr>
        <w:pStyle w:val="Compact"/>
      </w:pPr>
      <w:r>
        <w:t xml:space="preserve">food banks or resource centers;</w:t>
      </w:r>
    </w:p>
    <w:p>
      <w:pPr>
        <w:numPr>
          <w:ilvl w:val="0"/>
          <w:numId w:val="1014"/>
        </w:numPr>
        <w:pStyle w:val="Compact"/>
      </w:pPr>
      <w:r>
        <w:t xml:space="preserve">housing or shelter support;</w:t>
      </w:r>
    </w:p>
    <w:p>
      <w:pPr>
        <w:numPr>
          <w:ilvl w:val="0"/>
          <w:numId w:val="1014"/>
        </w:numPr>
        <w:pStyle w:val="Compact"/>
      </w:pPr>
      <w:r>
        <w:t xml:space="preserve">disability-service programs;</w:t>
      </w:r>
    </w:p>
    <w:p>
      <w:pPr>
        <w:numPr>
          <w:ilvl w:val="0"/>
          <w:numId w:val="1014"/>
        </w:numPr>
        <w:pStyle w:val="Compact"/>
      </w:pPr>
      <w:r>
        <w:t xml:space="preserve">senior services;</w:t>
      </w:r>
    </w:p>
    <w:p>
      <w:pPr>
        <w:numPr>
          <w:ilvl w:val="0"/>
          <w:numId w:val="1014"/>
        </w:numPr>
        <w:pStyle w:val="Compact"/>
      </w:pPr>
      <w:r>
        <w:t xml:space="preserve">youth programs;</w:t>
      </w:r>
    </w:p>
    <w:p>
      <w:pPr>
        <w:numPr>
          <w:ilvl w:val="0"/>
          <w:numId w:val="1014"/>
        </w:numPr>
        <w:pStyle w:val="Compact"/>
      </w:pPr>
      <w:r>
        <w:t xml:space="preserve">customer service;</w:t>
      </w:r>
    </w:p>
    <w:p>
      <w:pPr>
        <w:numPr>
          <w:ilvl w:val="0"/>
          <w:numId w:val="1014"/>
        </w:numPr>
        <w:pStyle w:val="Compact"/>
      </w:pPr>
      <w:r>
        <w:t xml:space="preserve">healthcare administration;</w:t>
      </w:r>
    </w:p>
    <w:p>
      <w:pPr>
        <w:numPr>
          <w:ilvl w:val="0"/>
          <w:numId w:val="1014"/>
        </w:numPr>
        <w:pStyle w:val="Compact"/>
      </w:pPr>
      <w:r>
        <w:t xml:space="preserve">reception and scheduling;</w:t>
      </w:r>
    </w:p>
    <w:p>
      <w:pPr>
        <w:numPr>
          <w:ilvl w:val="0"/>
          <w:numId w:val="1014"/>
        </w:numPr>
        <w:pStyle w:val="Compact"/>
      </w:pPr>
      <w:r>
        <w:t xml:space="preserve">caregiving;</w:t>
      </w:r>
    </w:p>
    <w:p>
      <w:pPr>
        <w:numPr>
          <w:ilvl w:val="0"/>
          <w:numId w:val="1014"/>
        </w:numPr>
        <w:pStyle w:val="Compact"/>
      </w:pPr>
      <w:r>
        <w:t xml:space="preserve">faith-based or community organizations;</w:t>
      </w:r>
    </w:p>
    <w:p>
      <w:pPr>
        <w:numPr>
          <w:ilvl w:val="0"/>
          <w:numId w:val="1014"/>
        </w:numPr>
        <w:pStyle w:val="Compact"/>
      </w:pPr>
      <w:r>
        <w:t xml:space="preserve">school support; or</w:t>
      </w:r>
    </w:p>
    <w:p>
      <w:pPr>
        <w:numPr>
          <w:ilvl w:val="0"/>
          <w:numId w:val="1014"/>
        </w:numPr>
        <w:pStyle w:val="Compact"/>
      </w:pPr>
      <w:r>
        <w:t xml:space="preserve">employment and workforce programs.</w:t>
      </w:r>
    </w:p>
    <w:p>
      <w:pPr>
        <w:pStyle w:val="FirstParagraph"/>
      </w:pPr>
      <w:r>
        <w:t xml:space="preserve">Describe your experience precisely. Useful evidence includes accurate records, successful referrals, client-service volume, reliable attendance, language support, workshop logistics, de-escalation under supervision, or helping people complete routine processes.</w:t>
      </w:r>
    </w:p>
    <w:p>
      <w:pPr>
        <w:pStyle w:val="BodyText"/>
      </w:pPr>
      <w:r>
        <w:t xml:space="preserve">Do not claim clinical counseling, social-work licensure, case-management authority, benefits adjudication, crisis-command authority, or legal expertise you do not have.</w:t>
      </w:r>
    </w:p>
    <w:bookmarkEnd w:id="45"/>
    <w:bookmarkStart w:id="46" w:name="career-progression"/>
    <w:p>
      <w:pPr>
        <w:pStyle w:val="Heading2"/>
      </w:pPr>
      <w:r>
        <w:t xml:space="preserve">Career progression</w:t>
      </w:r>
    </w:p>
    <w:p>
      <w:pPr>
        <w:pStyle w:val="FirstParagraph"/>
      </w:pPr>
      <w:r>
        <w:t xml:space="preserve">Possible next steps may include senior human-services assistant, case aide, community support worker, outreach worker, housing navigator, family-support worker, disability-support coordinator, employment-services worker, program coordinator, intake specialist, or other community-service roles.</w:t>
      </w:r>
    </w:p>
    <w:p>
      <w:pPr>
        <w:pStyle w:val="BodyText"/>
      </w:pPr>
      <w:r>
        <w:t xml:space="preserve">With additional education and jurisdiction-specific credentials, some people later move toward social work, counseling, rehabilitation, public administration, community development, behavioral health, or related professions.</w:t>
      </w:r>
    </w:p>
    <w:p>
      <w:pPr>
        <w:pStyle w:val="BodyText"/>
      </w:pPr>
      <w:r>
        <w:t xml:space="preserve">Do not assume experience alone confers a protected professional title. Check the legal and educational requirements for the next role before enrolling or representing yourself under that title.</w:t>
      </w:r>
    </w:p>
    <w:bookmarkEnd w:id="46"/>
    <w:bookmarkStart w:id="47" w:name="using-ai-responsibly-in-this-work"/>
    <w:p>
      <w:pPr>
        <w:pStyle w:val="Heading2"/>
      </w:pPr>
      <w:r>
        <w:t xml:space="preserve">Using AI responsibly in this work</w:t>
      </w:r>
    </w:p>
    <w:p>
      <w:pPr>
        <w:pStyle w:val="FirstParagraph"/>
      </w:pPr>
      <w:r>
        <w:t xml:space="preserve">AI can be useful for:</w:t>
      </w:r>
    </w:p>
    <w:p>
      <w:pPr>
        <w:numPr>
          <w:ilvl w:val="0"/>
          <w:numId w:val="1015"/>
        </w:numPr>
        <w:pStyle w:val="Compact"/>
      </w:pPr>
      <w:r>
        <w:t xml:space="preserve">practicing interview questions;</w:t>
      </w:r>
    </w:p>
    <w:p>
      <w:pPr>
        <w:numPr>
          <w:ilvl w:val="0"/>
          <w:numId w:val="1015"/>
        </w:numPr>
        <w:pStyle w:val="Compact"/>
      </w:pPr>
      <w:r>
        <w:t xml:space="preserve">explaining general non-sensitive terminology;</w:t>
      </w:r>
    </w:p>
    <w:p>
      <w:pPr>
        <w:numPr>
          <w:ilvl w:val="0"/>
          <w:numId w:val="1015"/>
        </w:numPr>
        <w:pStyle w:val="Compact"/>
      </w:pPr>
      <w:r>
        <w:t xml:space="preserve">drafting generic study notes;</w:t>
      </w:r>
    </w:p>
    <w:p>
      <w:pPr>
        <w:numPr>
          <w:ilvl w:val="0"/>
          <w:numId w:val="1015"/>
        </w:numPr>
        <w:pStyle w:val="Compact"/>
      </w:pPr>
      <w:r>
        <w:t xml:space="preserve">creating fictional role-play scenarios; or</w:t>
      </w:r>
    </w:p>
    <w:p>
      <w:pPr>
        <w:numPr>
          <w:ilvl w:val="0"/>
          <w:numId w:val="1015"/>
        </w:numPr>
        <w:pStyle w:val="Compact"/>
      </w:pPr>
      <w:r>
        <w:t xml:space="preserve">organizing a generic resource checklist.</w:t>
      </w:r>
    </w:p>
    <w:p>
      <w:pPr>
        <w:pStyle w:val="FirstParagraph"/>
      </w:pPr>
      <w:r>
        <w:t xml:space="preserve">AI must</w:t>
      </w:r>
      <w:r>
        <w:t xml:space="preserve"> </w:t>
      </w:r>
      <w:r>
        <w:rPr>
          <w:bCs/>
          <w:b/>
        </w:rPr>
        <w:t xml:space="preserve">not</w:t>
      </w:r>
      <w:r>
        <w:t xml:space="preserve"> </w:t>
      </w:r>
      <w:r>
        <w:t xml:space="preserve">replace professional judgment, crisis assessment, benefits eligibility decisions, legal advice, clinical diagnosis, safeguarding decisions, mandated-reporting decisions, or employer-approved case-management procedures.</w:t>
      </w:r>
    </w:p>
    <w:p>
      <w:pPr>
        <w:pStyle w:val="BodyText"/>
      </w:pPr>
      <w:r>
        <w:t xml:space="preserve">Do not paste identifiable client records, names, addresses, dates of birth, medical or mental-health information, immigration details, benefits information, family information, credentials, case notes, or other protected data into public AI tools unless your organization has explicitly approved that use and the required privacy/security controls are in place.</w:t>
      </w:r>
    </w:p>
    <w:p>
      <w:pPr>
        <w:pStyle w:val="BodyText"/>
      </w:pPr>
      <w:r>
        <w:t xml:space="preserve">Verify any AI-generated resource, policy summary, contact information, or legal statement before relying on it. Community resources, program rules, phone numbers, eligibility criteria, and laws can change.</w:t>
      </w:r>
    </w:p>
    <w:bookmarkEnd w:id="47"/>
    <w:bookmarkStart w:id="48" w:name="cybersecurity-and-privacy-basics"/>
    <w:p>
      <w:pPr>
        <w:pStyle w:val="Heading2"/>
      </w:pPr>
      <w:r>
        <w:t xml:space="preserve">Cybersecurity and privacy basics</w:t>
      </w:r>
    </w:p>
    <w:p>
      <w:pPr>
        <w:pStyle w:val="FirstParagraph"/>
      </w:pPr>
      <w:r>
        <w:t xml:space="preserve">Human-service organizations may use case-management systems, shared drives, email, messaging platforms, benefits portals, health systems, government portals, and mobile devices.</w:t>
      </w:r>
    </w:p>
    <w:p>
      <w:pPr>
        <w:pStyle w:val="BodyText"/>
      </w:pPr>
      <w:r>
        <w:t xml:space="preserve">Follow employer rules for:</w:t>
      </w:r>
    </w:p>
    <w:p>
      <w:pPr>
        <w:numPr>
          <w:ilvl w:val="0"/>
          <w:numId w:val="1016"/>
        </w:numPr>
        <w:pStyle w:val="Compact"/>
      </w:pPr>
      <w:r>
        <w:t xml:space="preserve">multifactor authentication;</w:t>
      </w:r>
    </w:p>
    <w:p>
      <w:pPr>
        <w:numPr>
          <w:ilvl w:val="0"/>
          <w:numId w:val="1016"/>
        </w:numPr>
        <w:pStyle w:val="Compact"/>
      </w:pPr>
      <w:r>
        <w:t xml:space="preserve">passwords and credential sharing;</w:t>
      </w:r>
    </w:p>
    <w:p>
      <w:pPr>
        <w:numPr>
          <w:ilvl w:val="0"/>
          <w:numId w:val="1016"/>
        </w:numPr>
        <w:pStyle w:val="Compact"/>
      </w:pPr>
      <w:r>
        <w:t xml:space="preserve">approved devices and applications;</w:t>
      </w:r>
    </w:p>
    <w:p>
      <w:pPr>
        <w:numPr>
          <w:ilvl w:val="0"/>
          <w:numId w:val="1016"/>
        </w:numPr>
        <w:pStyle w:val="Compact"/>
      </w:pPr>
      <w:r>
        <w:t xml:space="preserve">phishing and suspicious links;</w:t>
      </w:r>
    </w:p>
    <w:p>
      <w:pPr>
        <w:numPr>
          <w:ilvl w:val="0"/>
          <w:numId w:val="1016"/>
        </w:numPr>
        <w:pStyle w:val="Compact"/>
      </w:pPr>
      <w:r>
        <w:t xml:space="preserve">encrypted or approved file sharing;</w:t>
      </w:r>
    </w:p>
    <w:p>
      <w:pPr>
        <w:numPr>
          <w:ilvl w:val="0"/>
          <w:numId w:val="1016"/>
        </w:numPr>
        <w:pStyle w:val="Compact"/>
      </w:pPr>
      <w:r>
        <w:t xml:space="preserve">client identity verification;</w:t>
      </w:r>
    </w:p>
    <w:p>
      <w:pPr>
        <w:numPr>
          <w:ilvl w:val="0"/>
          <w:numId w:val="1016"/>
        </w:numPr>
        <w:pStyle w:val="Compact"/>
      </w:pPr>
      <w:r>
        <w:t xml:space="preserve">role-based access;</w:t>
      </w:r>
    </w:p>
    <w:p>
      <w:pPr>
        <w:numPr>
          <w:ilvl w:val="0"/>
          <w:numId w:val="1016"/>
        </w:numPr>
        <w:pStyle w:val="Compact"/>
      </w:pPr>
      <w:r>
        <w:t xml:space="preserve">printing and physical records;</w:t>
      </w:r>
    </w:p>
    <w:p>
      <w:pPr>
        <w:numPr>
          <w:ilvl w:val="0"/>
          <w:numId w:val="1016"/>
        </w:numPr>
        <w:pStyle w:val="Compact"/>
      </w:pPr>
      <w:r>
        <w:t xml:space="preserve">remote work;</w:t>
      </w:r>
    </w:p>
    <w:p>
      <w:pPr>
        <w:numPr>
          <w:ilvl w:val="0"/>
          <w:numId w:val="1016"/>
        </w:numPr>
        <w:pStyle w:val="Compact"/>
      </w:pPr>
      <w:r>
        <w:t xml:space="preserve">incident reporting; and</w:t>
      </w:r>
    </w:p>
    <w:p>
      <w:pPr>
        <w:numPr>
          <w:ilvl w:val="0"/>
          <w:numId w:val="1016"/>
        </w:numPr>
        <w:pStyle w:val="Compact"/>
      </w:pPr>
      <w:r>
        <w:t xml:space="preserve">disposal of sensitive information.</w:t>
      </w:r>
    </w:p>
    <w:p>
      <w:pPr>
        <w:pStyle w:val="FirstParagraph"/>
      </w:pPr>
      <w:r>
        <w:t xml:space="preserve">Be especially cautious with urgent requests to change client banking details, redirect benefits, reset credentials, share records, or send sensitive documents through an unexpected channel. Verify through the approved process before acting.</w:t>
      </w:r>
    </w:p>
    <w:bookmarkEnd w:id="48"/>
    <w:bookmarkStart w:id="49"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17"/>
        </w:numPr>
        <w:pStyle w:val="Compact"/>
      </w:pPr>
      <w:r>
        <w:t xml:space="preserve">guarantees a job or a specific salary;</w:t>
      </w:r>
    </w:p>
    <w:p>
      <w:pPr>
        <w:numPr>
          <w:ilvl w:val="0"/>
          <w:numId w:val="1017"/>
        </w:numPr>
        <w:pStyle w:val="Compact"/>
      </w:pPr>
      <w:r>
        <w:t xml:space="preserve">claims a private certificate is legally mandatory without official evidence;</w:t>
      </w:r>
    </w:p>
    <w:p>
      <w:pPr>
        <w:numPr>
          <w:ilvl w:val="0"/>
          <w:numId w:val="1017"/>
        </w:numPr>
        <w:pStyle w:val="Compact"/>
      </w:pPr>
      <w:r>
        <w:t xml:space="preserve">pressures you to pay immediately;</w:t>
      </w:r>
    </w:p>
    <w:p>
      <w:pPr>
        <w:numPr>
          <w:ilvl w:val="0"/>
          <w:numId w:val="1017"/>
        </w:numPr>
        <w:pStyle w:val="Compact"/>
      </w:pPr>
      <w:r>
        <w:t xml:space="preserve">hides total cost, financing terms, practicum obligations, or refund rules;</w:t>
      </w:r>
    </w:p>
    <w:p>
      <w:pPr>
        <w:numPr>
          <w:ilvl w:val="0"/>
          <w:numId w:val="1017"/>
        </w:numPr>
        <w:pStyle w:val="Compact"/>
      </w:pPr>
      <w:r>
        <w:t xml:space="preserve">cannot explain which employers recognize the program;</w:t>
      </w:r>
    </w:p>
    <w:p>
      <w:pPr>
        <w:numPr>
          <w:ilvl w:val="0"/>
          <w:numId w:val="1017"/>
        </w:numPr>
        <w:pStyle w:val="Compact"/>
      </w:pPr>
      <w:r>
        <w:t xml:space="preserve">asks you to pay for a job offer or equipment using gift cards or cryptocurrency;</w:t>
      </w:r>
    </w:p>
    <w:p>
      <w:pPr>
        <w:numPr>
          <w:ilvl w:val="0"/>
          <w:numId w:val="1017"/>
        </w:numPr>
        <w:pStyle w:val="Compact"/>
      </w:pPr>
      <w:r>
        <w:t xml:space="preserve">promises government benefits or professional licensure that it does not control; or</w:t>
      </w:r>
    </w:p>
    <w:p>
      <w:pPr>
        <w:numPr>
          <w:ilvl w:val="0"/>
          <w:numId w:val="1017"/>
        </w:numPr>
        <w:pStyle w:val="Compact"/>
      </w:pPr>
      <w:r>
        <w:t xml:space="preserve">asks for sensitive identity or banking information before you have verified the organization.</w:t>
      </w:r>
    </w:p>
    <w:p>
      <w:pPr>
        <w:pStyle w:val="FirstParagraph"/>
      </w:pPr>
      <w:r>
        <w:t xml:space="preserve">Use official government, employer, regulator, public-college, public-workforce, or recognized vocational-training sources to verify claims.</w:t>
      </w:r>
    </w:p>
    <w:bookmarkEnd w:id="49"/>
    <w:bookmarkStart w:id="50" w:name="when-to-pause-before-spending-money"/>
    <w:p>
      <w:pPr>
        <w:pStyle w:val="Heading2"/>
      </w:pPr>
      <w:r>
        <w:t xml:space="preserve">When to pause before spending money</w:t>
      </w:r>
    </w:p>
    <w:p>
      <w:pPr>
        <w:pStyle w:val="FirstParagraph"/>
      </w:pPr>
      <w:r>
        <w:t xml:space="preserve">Pause or delay enrollment when:</w:t>
      </w:r>
    </w:p>
    <w:p>
      <w:pPr>
        <w:numPr>
          <w:ilvl w:val="0"/>
          <w:numId w:val="1018"/>
        </w:numPr>
        <w:pStyle w:val="Compact"/>
      </w:pPr>
      <w:r>
        <w:t xml:space="preserve">local employers do not request the credential;</w:t>
      </w:r>
    </w:p>
    <w:p>
      <w:pPr>
        <w:numPr>
          <w:ilvl w:val="0"/>
          <w:numId w:val="1018"/>
        </w:numPr>
        <w:pStyle w:val="Compact"/>
      </w:pPr>
      <w:r>
        <w:t xml:space="preserve">the provider will not disclose total cost and refund terms in writing;</w:t>
      </w:r>
    </w:p>
    <w:p>
      <w:pPr>
        <w:numPr>
          <w:ilvl w:val="0"/>
          <w:numId w:val="1018"/>
        </w:numPr>
        <w:pStyle w:val="Compact"/>
      </w:pPr>
      <w:r>
        <w:t xml:space="preserve">a public, employer-paid, workforce-funded, or lower-cost option may cover the same skill;</w:t>
      </w:r>
    </w:p>
    <w:p>
      <w:pPr>
        <w:numPr>
          <w:ilvl w:val="0"/>
          <w:numId w:val="1018"/>
        </w:numPr>
        <w:pStyle w:val="Compact"/>
      </w:pPr>
      <w:r>
        <w:t xml:space="preserve">you have not confirmed whether the title is regulated where you intend to work;</w:t>
      </w:r>
    </w:p>
    <w:p>
      <w:pPr>
        <w:numPr>
          <w:ilvl w:val="0"/>
          <w:numId w:val="1018"/>
        </w:numPr>
        <w:pStyle w:val="Compact"/>
      </w:pPr>
      <w:r>
        <w:t xml:space="preserve">you have not checked whether the program qualifies for any funding you plan to use;</w:t>
      </w:r>
    </w:p>
    <w:p>
      <w:pPr>
        <w:numPr>
          <w:ilvl w:val="0"/>
          <w:numId w:val="1018"/>
        </w:numPr>
        <w:pStyle w:val="Compact"/>
      </w:pPr>
      <w:r>
        <w:t xml:space="preserve">the required unpaid placement or schedule is not realistic for you; or</w:t>
      </w:r>
    </w:p>
    <w:p>
      <w:pPr>
        <w:numPr>
          <w:ilvl w:val="0"/>
          <w:numId w:val="1018"/>
        </w:numPr>
        <w:pStyle w:val="Compact"/>
      </w:pPr>
      <w:r>
        <w:t xml:space="preserve">financing would create debt you cannot comfortably repay.</w:t>
      </w:r>
    </w:p>
    <w:bookmarkEnd w:id="50"/>
    <w:bookmarkStart w:id="67" w:name="current-sources"/>
    <w:p>
      <w:pPr>
        <w:pStyle w:val="Heading2"/>
      </w:pPr>
      <w:r>
        <w:t xml:space="preserve">Current sources</w:t>
      </w:r>
    </w:p>
    <w:p>
      <w:pPr>
        <w:pStyle w:val="FirstParagraph"/>
      </w:pPr>
      <w:r>
        <w:t xml:space="preserve">Official/public sources:</w:t>
      </w:r>
    </w:p>
    <w:p>
      <w:pPr>
        <w:numPr>
          <w:ilvl w:val="0"/>
          <w:numId w:val="1019"/>
        </w:numPr>
        <w:pStyle w:val="Compact"/>
      </w:pPr>
      <w:r>
        <w:t xml:space="preserve">O*NET OnLine — Social and Human Service Assistants, 21-1093.00:</w:t>
      </w:r>
      <w:r>
        <w:t xml:space="preserve"> </w:t>
      </w:r>
      <w:hyperlink r:id="rId51">
        <w:hyperlink r:id="rId51">
          <w:r>
            <w:rPr>
              <w:rStyle w:val="Hyperlink"/>
            </w:rPr>
            <w:t xml:space="preserve">Source link</w:t>
          </w:r>
        </w:hyperlink>
      </w:hyperlink>
    </w:p>
    <w:p>
      <w:pPr>
        <w:numPr>
          <w:ilvl w:val="0"/>
          <w:numId w:val="1019"/>
        </w:numPr>
        <w:pStyle w:val="Compact"/>
      </w:pPr>
      <w:r>
        <w:t xml:space="preserve">O*NET OnLine — National wages, 21-1093.00:</w:t>
      </w:r>
      <w:r>
        <w:t xml:space="preserve"> </w:t>
      </w:r>
      <w:hyperlink r:id="rId52">
        <w:hyperlink r:id="rId52">
          <w:r>
            <w:rPr>
              <w:rStyle w:val="Hyperlink"/>
            </w:rPr>
            <w:t xml:space="preserve">Source link</w:t>
          </w:r>
        </w:hyperlink>
      </w:hyperlink>
    </w:p>
    <w:p>
      <w:pPr>
        <w:numPr>
          <w:ilvl w:val="0"/>
          <w:numId w:val="1019"/>
        </w:numPr>
        <w:pStyle w:val="Compact"/>
      </w:pPr>
      <w:r>
        <w:t xml:space="preserve">U.S. Bureau of Labor Statistics — Social and Human Service Assistants:</w:t>
      </w:r>
      <w:r>
        <w:t xml:space="preserve"> </w:t>
      </w:r>
      <w:hyperlink r:id="rId53">
        <w:hyperlink r:id="rId53">
          <w:r>
            <w:rPr>
              <w:rStyle w:val="Hyperlink"/>
            </w:rPr>
            <w:t xml:space="preserve">Source link</w:t>
          </w:r>
        </w:hyperlink>
      </w:hyperlink>
    </w:p>
    <w:p>
      <w:pPr>
        <w:numPr>
          <w:ilvl w:val="0"/>
          <w:numId w:val="1019"/>
        </w:numPr>
        <w:pStyle w:val="Compact"/>
      </w:pPr>
      <w:r>
        <w:t xml:space="preserve">CareerOneStop — WIOA-Eligible Training Program Finder:</w:t>
      </w:r>
      <w:r>
        <w:t xml:space="preserve"> </w:t>
      </w:r>
      <w:hyperlink r:id="rId54">
        <w:hyperlink r:id="rId54">
          <w:r>
            <w:rPr>
              <w:rStyle w:val="Hyperlink"/>
            </w:rPr>
            <w:t xml:space="preserve">Source link</w:t>
          </w:r>
        </w:hyperlink>
      </w:hyperlink>
    </w:p>
    <w:p>
      <w:pPr>
        <w:numPr>
          <w:ilvl w:val="0"/>
          <w:numId w:val="1019"/>
        </w:numPr>
        <w:pStyle w:val="Compact"/>
      </w:pPr>
      <w:r>
        <w:t xml:space="preserve">CareerOneStop — Find Training:</w:t>
      </w:r>
      <w:r>
        <w:t xml:space="preserve"> </w:t>
      </w:r>
      <w:hyperlink r:id="rId55">
        <w:hyperlink r:id="rId55">
          <w:r>
            <w:rPr>
              <w:rStyle w:val="Hyperlink"/>
            </w:rPr>
            <w:t xml:space="preserve">Source link</w:t>
          </w:r>
        </w:hyperlink>
      </w:hyperlink>
    </w:p>
    <w:p>
      <w:pPr>
        <w:numPr>
          <w:ilvl w:val="0"/>
          <w:numId w:val="1019"/>
        </w:numPr>
        <w:pStyle w:val="Compact"/>
      </w:pPr>
      <w:r>
        <w:t xml:space="preserve">Apprenticeship.gov:</w:t>
      </w:r>
      <w:r>
        <w:t xml:space="preserve"> </w:t>
      </w:r>
      <w:hyperlink r:id="rId56">
        <w:r>
          <w:rPr>
            <w:rStyle w:val="Hyperlink"/>
          </w:rPr>
          <w:t xml:space="preserve">https://www.apprenticeship.gov/</w:t>
        </w:r>
      </w:hyperlink>
    </w:p>
    <w:p>
      <w:pPr>
        <w:numPr>
          <w:ilvl w:val="0"/>
          <w:numId w:val="1019"/>
        </w:numPr>
        <w:pStyle w:val="Compact"/>
      </w:pPr>
      <w:r>
        <w:t xml:space="preserve">Government of Canada Job Bank — NOC 42201 national summary:</w:t>
      </w:r>
      <w:r>
        <w:t xml:space="preserve"> </w:t>
      </w:r>
      <w:hyperlink r:id="rId57">
        <w:hyperlink r:id="rId57">
          <w:r>
            <w:rPr>
              <w:rStyle w:val="Hyperlink"/>
            </w:rPr>
            <w:t xml:space="preserve">Source link</w:t>
          </w:r>
        </w:hyperlink>
      </w:hyperlink>
    </w:p>
    <w:p>
      <w:pPr>
        <w:numPr>
          <w:ilvl w:val="0"/>
          <w:numId w:val="1019"/>
        </w:numPr>
        <w:pStyle w:val="Compact"/>
      </w:pPr>
      <w:r>
        <w:t xml:space="preserve">Government of Canada Job Bank — NOC 42201 requirements:</w:t>
      </w:r>
      <w:r>
        <w:t xml:space="preserve"> </w:t>
      </w:r>
      <w:hyperlink r:id="rId58">
        <w:hyperlink r:id="rId58">
          <w:r>
            <w:rPr>
              <w:rStyle w:val="Hyperlink"/>
            </w:rPr>
            <w:t xml:space="preserve">Source link</w:t>
          </w:r>
        </w:hyperlink>
      </w:hyperlink>
    </w:p>
    <w:p>
      <w:pPr>
        <w:numPr>
          <w:ilvl w:val="0"/>
          <w:numId w:val="1019"/>
        </w:numPr>
        <w:pStyle w:val="Compact"/>
      </w:pPr>
      <w:r>
        <w:t xml:space="preserve">Government of Canada Job Bank — NOC 42201 wages:</w:t>
      </w:r>
      <w:r>
        <w:t xml:space="preserve"> </w:t>
      </w:r>
      <w:hyperlink r:id="rId59">
        <w:hyperlink r:id="rId59">
          <w:r>
            <w:rPr>
              <w:rStyle w:val="Hyperlink"/>
            </w:rPr>
            <w:t xml:space="preserve">Source link</w:t>
          </w:r>
        </w:hyperlink>
      </w:hyperlink>
    </w:p>
    <w:p>
      <w:pPr>
        <w:numPr>
          <w:ilvl w:val="0"/>
          <w:numId w:val="1019"/>
        </w:numPr>
        <w:pStyle w:val="Compact"/>
      </w:pPr>
      <w:r>
        <w:t xml:space="preserve">SENA Observatorio — CNO 4211 Asistentes en servicios social y comunitario:</w:t>
      </w:r>
      <w:r>
        <w:t xml:space="preserve"> </w:t>
      </w:r>
      <w:hyperlink r:id="rId60">
        <w:hyperlink r:id="rId60">
          <w:r>
            <w:rPr>
              <w:rStyle w:val="Hyperlink"/>
            </w:rPr>
            <w:t xml:space="preserve">Source link</w:t>
          </w:r>
        </w:hyperlink>
      </w:hyperlink>
    </w:p>
    <w:p>
      <w:pPr>
        <w:numPr>
          <w:ilvl w:val="0"/>
          <w:numId w:val="1019"/>
        </w:numPr>
        <w:pStyle w:val="Compact"/>
      </w:pPr>
      <w:r>
        <w:t xml:space="preserve">SENA APE — Auxiliar de servicio social y comunitario example:</w:t>
      </w:r>
      <w:r>
        <w:t xml:space="preserve"> </w:t>
      </w:r>
      <w:hyperlink r:id="rId61">
        <w:hyperlink r:id="rId61">
          <w:r>
            <w:rPr>
              <w:rStyle w:val="Hyperlink"/>
            </w:rPr>
            <w:t xml:space="preserve">Source link</w:t>
          </w:r>
        </w:hyperlink>
      </w:hyperlink>
    </w:p>
    <w:p>
      <w:pPr>
        <w:numPr>
          <w:ilvl w:val="0"/>
          <w:numId w:val="1019"/>
        </w:numPr>
        <w:pStyle w:val="Compact"/>
      </w:pPr>
      <w:r>
        <w:t xml:space="preserve">SENA APE — Gestor comunitario example:</w:t>
      </w:r>
      <w:r>
        <w:t xml:space="preserve"> </w:t>
      </w:r>
      <w:hyperlink r:id="rId62">
        <w:hyperlink r:id="rId62">
          <w:r>
            <w:rPr>
              <w:rStyle w:val="Hyperlink"/>
            </w:rPr>
            <w:t xml:space="preserve">Source link</w:t>
          </w:r>
        </w:hyperlink>
      </w:hyperlink>
    </w:p>
    <w:p>
      <w:pPr>
        <w:numPr>
          <w:ilvl w:val="0"/>
          <w:numId w:val="1019"/>
        </w:numPr>
        <w:pStyle w:val="Compact"/>
      </w:pPr>
      <w:r>
        <w:t xml:space="preserve">SENA Betowa — Implementación de la política de participación social en salud:</w:t>
      </w:r>
      <w:r>
        <w:t xml:space="preserve"> </w:t>
      </w:r>
      <w:hyperlink r:id="rId63">
        <w:hyperlink r:id="rId63">
          <w:r>
            <w:rPr>
              <w:rStyle w:val="Hyperlink"/>
            </w:rPr>
            <w:t xml:space="preserve">Source link</w:t>
          </w:r>
        </w:hyperlink>
      </w:hyperlink>
    </w:p>
    <w:p>
      <w:pPr>
        <w:numPr>
          <w:ilvl w:val="0"/>
          <w:numId w:val="1019"/>
        </w:numPr>
        <w:pStyle w:val="Compact"/>
      </w:pPr>
      <w:r>
        <w:t xml:space="preserve">SENA Betowa — Desarrollo de habilidades para el bienestar familiar y comunitario:</w:t>
      </w:r>
      <w:r>
        <w:t xml:space="preserve"> </w:t>
      </w:r>
      <w:hyperlink r:id="rId64">
        <w:hyperlink r:id="rId64">
          <w:r>
            <w:rPr>
              <w:rStyle w:val="Hyperlink"/>
            </w:rPr>
            <w:t xml:space="preserve">Source link</w:t>
          </w:r>
        </w:hyperlink>
      </w:hyperlink>
    </w:p>
    <w:p>
      <w:pPr>
        <w:numPr>
          <w:ilvl w:val="0"/>
          <w:numId w:val="1019"/>
        </w:numPr>
        <w:pStyle w:val="Compact"/>
      </w:pPr>
      <w:r>
        <w:t xml:space="preserve">OIT/Cinterfor:</w:t>
      </w:r>
      <w:r>
        <w:t xml:space="preserve"> </w:t>
      </w:r>
      <w:hyperlink r:id="rId65">
        <w:r>
          <w:rPr>
            <w:rStyle w:val="Hyperlink"/>
          </w:rPr>
          <w:t xml:space="preserve">https://www.oitcinterfor.org/</w:t>
        </w:r>
      </w:hyperlink>
    </w:p>
    <w:p>
      <w:pPr>
        <w:pStyle w:val="FirstParagraph"/>
      </w:pPr>
      <w:r>
        <w:t xml:space="preserve">Supplementary non-government compensation source:</w:t>
      </w:r>
    </w:p>
    <w:p>
      <w:pPr>
        <w:numPr>
          <w:ilvl w:val="0"/>
          <w:numId w:val="1020"/>
        </w:numPr>
        <w:pStyle w:val="Compact"/>
      </w:pPr>
      <w:r>
        <w:t xml:space="preserve">Indeed — Social Services Assistant salary in the United States:</w:t>
      </w:r>
      <w:r>
        <w:t xml:space="preserve"> </w:t>
      </w:r>
      <w:hyperlink r:id="rId66">
        <w:hyperlink r:id="rId66">
          <w:r>
            <w:rPr>
              <w:rStyle w:val="Hyperlink"/>
            </w:rPr>
            <w:t xml:space="preserve">Source link</w:t>
          </w:r>
        </w:hyperlink>
      </w:hyperlink>
    </w:p>
    <w:bookmarkEnd w:id="67"/>
    <w:bookmarkStart w:id="68" w:name="source-and-review-note"/>
    <w:p>
      <w:pPr>
        <w:pStyle w:val="Heading2"/>
      </w:pPr>
      <w:r>
        <w:t xml:space="preserve">Source and review note</w:t>
      </w:r>
    </w:p>
    <w:p>
      <w:pPr>
        <w:pStyle w:val="FirstParagraph"/>
      </w:pPr>
      <w:r>
        <w:t xml:space="preserve">This guide uses current-source research recorded on August 20, 2026. Wages, public programs, training availability, eligibility rules, registration requirements, service-provider information, and local job expectations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clinical review, financial advice, or guaranteed employment outcomes.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genciapublicadeempleo.sena.edu.co/spe-web/spe/demanda/solicitud-sintesis/3912643" TargetMode="External" /><Relationship Type="http://schemas.openxmlformats.org/officeDocument/2006/relationships/hyperlink" Id="rId62" Target="https://ape.sena.edu.co/spe-web/spe/demanda/solicitud-sintesis/4111884" TargetMode="External" /><Relationship Type="http://schemas.openxmlformats.org/officeDocument/2006/relationships/hyperlink" Id="rId64" Target="https://betowa.sena.edu.co/oferta/desarrollo-de-habilidades-para-el-bienestar-familiar-y-comunitario?location=57011001&amp;programId=144936" TargetMode="External" /><Relationship Type="http://schemas.openxmlformats.org/officeDocument/2006/relationships/hyperlink" Id="rId63" Target="https://betowa.sena.edu.co/oferta/implementacion-de-la-politica-de-participacion-social-en-salud?modality=P&amp;offertype=open&amp;programId=127774" TargetMode="External" /><Relationship Type="http://schemas.openxmlformats.org/officeDocument/2006/relationships/hyperlink" Id="rId60" Target="https://observatorio.sena.edu.co/Comportamiento/CnoDetalleFunciones?tags=4211" TargetMode="External" /><Relationship Type="http://schemas.openxmlformats.org/officeDocument/2006/relationships/hyperlink" Id="rId56" Target="https://www.apprenticeship.gov/" TargetMode="External" /><Relationship Type="http://schemas.openxmlformats.org/officeDocument/2006/relationships/hyperlink" Id="rId53" Target="https://www.bls.gov/ooh/community-and-social-service/social-and-human-service-assistants.htm"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6" Target="https://www.indeed.com/career/social-services-assistant/salaries" TargetMode="External" /><Relationship Type="http://schemas.openxmlformats.org/officeDocument/2006/relationships/hyperlink" Id="rId58" Target="https://www.jobbank.gc.ca/marketreport/requirements/5096/ca" TargetMode="External" /><Relationship Type="http://schemas.openxmlformats.org/officeDocument/2006/relationships/hyperlink" Id="rId57" Target="https://www.jobbank.gc.ca/marketreport/summary-occupation/5112/ca" TargetMode="External" /><Relationship Type="http://schemas.openxmlformats.org/officeDocument/2006/relationships/hyperlink" Id="rId59" Target="https://www.jobbank.gc.ca/wagereport/occupation/5113" TargetMode="External" /><Relationship Type="http://schemas.openxmlformats.org/officeDocument/2006/relationships/hyperlink" Id="rId65" Target="https://www.oitcinterfor.org/" TargetMode="External" /><Relationship Type="http://schemas.openxmlformats.org/officeDocument/2006/relationships/hyperlink" Id="rId52" Target="https://www.onetonline.org/link/localwages/21-1093.00" TargetMode="External" /><Relationship Type="http://schemas.openxmlformats.org/officeDocument/2006/relationships/hyperlink" Id="rId51" Target="https://www.onetonline.org/link/summary/21-1093.00" TargetMode="External" /></Relationships>
</file>

<file path=word/_rels/footnotes.xml.rels><?xml version="1.0" encoding="UTF-8"?><Relationships xmlns="http://schemas.openxmlformats.org/package/2006/relationships"><Relationship Type="http://schemas.openxmlformats.org/officeDocument/2006/relationships/hyperlink" Id="rId61" Target="https://agenciapublicadeempleo.sena.edu.co/spe-web/spe/demanda/solicitud-sintesis/3912643" TargetMode="External" /><Relationship Type="http://schemas.openxmlformats.org/officeDocument/2006/relationships/hyperlink" Id="rId62" Target="https://ape.sena.edu.co/spe-web/spe/demanda/solicitud-sintesis/4111884" TargetMode="External" /><Relationship Type="http://schemas.openxmlformats.org/officeDocument/2006/relationships/hyperlink" Id="rId64" Target="https://betowa.sena.edu.co/oferta/desarrollo-de-habilidades-para-el-bienestar-familiar-y-comunitario?location=57011001&amp;programId=144936" TargetMode="External" /><Relationship Type="http://schemas.openxmlformats.org/officeDocument/2006/relationships/hyperlink" Id="rId63" Target="https://betowa.sena.edu.co/oferta/implementacion-de-la-politica-de-participacion-social-en-salud?modality=P&amp;offertype=open&amp;programId=127774" TargetMode="External" /><Relationship Type="http://schemas.openxmlformats.org/officeDocument/2006/relationships/hyperlink" Id="rId60" Target="https://observatorio.sena.edu.co/Comportamiento/CnoDetalleFunciones?tags=4211" TargetMode="External" /><Relationship Type="http://schemas.openxmlformats.org/officeDocument/2006/relationships/hyperlink" Id="rId56" Target="https://www.apprenticeship.gov/" TargetMode="External" /><Relationship Type="http://schemas.openxmlformats.org/officeDocument/2006/relationships/hyperlink" Id="rId53" Target="https://www.bls.gov/ooh/community-and-social-service/social-and-human-service-assistants.htm"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6" Target="https://www.indeed.com/career/social-services-assistant/salaries" TargetMode="External" /><Relationship Type="http://schemas.openxmlformats.org/officeDocument/2006/relationships/hyperlink" Id="rId58" Target="https://www.jobbank.gc.ca/marketreport/requirements/5096/ca" TargetMode="External" /><Relationship Type="http://schemas.openxmlformats.org/officeDocument/2006/relationships/hyperlink" Id="rId57" Target="https://www.jobbank.gc.ca/marketreport/summary-occupation/5112/ca" TargetMode="External" /><Relationship Type="http://schemas.openxmlformats.org/officeDocument/2006/relationships/hyperlink" Id="rId59" Target="https://www.jobbank.gc.ca/wagereport/occupation/5113" TargetMode="External" /><Relationship Type="http://schemas.openxmlformats.org/officeDocument/2006/relationships/hyperlink" Id="rId65" Target="https://www.oitcinterfor.org/" TargetMode="External" /><Relationship Type="http://schemas.openxmlformats.org/officeDocument/2006/relationships/hyperlink" Id="rId52" Target="https://www.onetonline.org/link/localwages/21-1093.00" TargetMode="External" /><Relationship Type="http://schemas.openxmlformats.org/officeDocument/2006/relationships/hyperlink" Id="rId51" Target="https://www.onetonline.org/link/summary/21-109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2026-08-20T11:56:12Z</dcterms:created>
  <dcterms:modified xsi:type="dcterms:W3CDTF">2026-08-20T11:56:12Z</dcterms:modified>
</cp:coreProperties>
</file>

<file path=docProps/custom.xml><?xml version="1.0" encoding="utf-8"?>
<Properties xmlns="http://schemas.openxmlformats.org/officeDocument/2006/custom-properties" xmlns:vt="http://schemas.openxmlformats.org/officeDocument/2006/docPropsVTypes"/>
</file>