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19822622c2c047e0d1fed0cd917cc49b342e049"/>
    <w:p>
      <w:pPr>
        <w:pStyle w:val="Heading1"/>
      </w:pPr>
      <w:r>
        <w:t xml:space="preserve">Guía de Oportunidades para Toda la Vida 02 — Especialista en Apoyo entre Pares</w:t>
      </w:r>
    </w:p>
    <w:p>
      <w:pPr>
        <w:pStyle w:val="FirstParagraph"/>
      </w:pPr>
      <w:r>
        <w:rPr>
          <w:bCs/>
          <w:b/>
        </w:rPr>
        <w:t xml:space="preserve">Maestro de trabajo controlado 2026 en español latinoamericano neutral</w:t>
      </w:r>
      <w:r>
        <w:br/>
      </w:r>
      <w:r>
        <w:t xml:space="preserve">Versión 2.0, maestro de trabajo • agosto de 2026</w:t>
      </w:r>
      <w:r>
        <w:br/>
      </w:r>
      <w:r>
        <w:t xml:space="preserve">Creado y dirigido por Alberto (Al) Leiva</w:t>
      </w:r>
      <w:r>
        <w:br/>
      </w:r>
      <w:r>
        <w:t xml:space="preserve">Investigación, organización, edición y preparación documental con asistencia de ChatGPT, OpenAI</w:t>
      </w:r>
    </w:p>
    <w:p>
      <w:pPr>
        <w:pStyle w:val="BlockText"/>
      </w:pPr>
      <w:r>
        <w:rPr>
          <w:bCs/>
          <w:b/>
        </w:rPr>
        <w:t xml:space="preserve">Estado controlado:</w:t>
      </w:r>
      <w:r>
        <w:t xml:space="preserve"> </w:t>
      </w:r>
      <w:r>
        <w:t xml:space="preserve">Este archivo es la traducción de trabajo al español latinoamericano neutral del maestro inglés congelado para la revisión 2026. No es todavía un candidato de publicación. Debe pasar controles de terminología, paridad estructural, enlaces, accesibilidad, codificación, DOCX, PDF, metadatos y publicación antes de su liberación.</w:t>
      </w:r>
    </w:p>
    <w:bookmarkStart w:id="20" w:name="la-promesa-de-esta-guía"/>
    <w:p>
      <w:pPr>
        <w:pStyle w:val="Heading2"/>
      </w:pPr>
      <w:r>
        <w:t xml:space="preserve">La promesa de esta guía</w:t>
      </w:r>
    </w:p>
    <w:p>
      <w:pPr>
        <w:pStyle w:val="FirstParagraph"/>
      </w:pPr>
      <w:r>
        <w:t xml:space="preserve">Esta guía no promete que el trabajo de apoyo entre pares sea adecuado para todas las personas, que la capacitación será gratuita, que una credencial se transferirá entre jurisdicciones ni que completar una capacitación llevará a conseguir empleo. Está diseñada para ayudar a las personas lectoras a comprender el trabajo, proteger su recuperación y sus límites, comparar opciones educativas y de financiamiento, verificar requisitos locales y tomar decisiones sin asumir deudas innecesarias ni depender de promesas engañosas.</w:t>
      </w:r>
    </w:p>
    <w:bookmarkEnd w:id="20"/>
    <w:bookmarkStart w:id="21" w:name="por-qué-existe-esta-guía"/>
    <w:p>
      <w:pPr>
        <w:pStyle w:val="Heading2"/>
      </w:pPr>
      <w:r>
        <w:t xml:space="preserve">Por qué existe esta guía</w:t>
      </w:r>
    </w:p>
    <w:p>
      <w:pPr>
        <w:pStyle w:val="FirstParagraph"/>
      </w:pPr>
      <w:r>
        <w:t xml:space="preserve">Las Guías de Oportunidades para Toda la Vida buscan hacer más accesible la exploración educativa y profesional para personas que pueden enfrentar barreras relacionadas con la edad, la discapacidad, los ingresos, la ubicación geográfica, el idioma o una trayectoria laboral no tradicional. El apoyo entre pares puede ser un trabajo significativo, pero también implica carga emocional, deberes de privacidad, límites de función y requisitos que cambian según la jurisdicción. Es importante comprender esas realidades antes de pagar por capacitación o aceptar una obligación laboral.</w:t>
      </w:r>
    </w:p>
    <w:bookmarkEnd w:id="21"/>
    <w:bookmarkStart w:id="22" w:name="reconocimiento-de-la-asistencia-de-ia"/>
    <w:p>
      <w:pPr>
        <w:pStyle w:val="Heading2"/>
      </w:pPr>
      <w:r>
        <w:t xml:space="preserve">Reconocimiento de la asistencia de IA</w:t>
      </w:r>
    </w:p>
    <w:p>
      <w:pPr>
        <w:pStyle w:val="FirstParagraph"/>
      </w:pPr>
      <w:r>
        <w:t xml:space="preserve">Alberto (Al) Leiva concibió y dirige este proyecto y conserva la responsabilidad sobre la guía. ChatGPT de OpenAI se utilizó como herramienta de apoyo para investigación, organización, edición y preparación documental. La asistencia de IA no constituye certificación humana independiente, certificación profesional de traducción, acreditación, revisión legal, revisión médica, certificación de accesibilidad ni sustituye las fuentes oficiales ni el criterio humano calificado.</w:t>
      </w:r>
    </w:p>
    <w:bookmarkEnd w:id="22"/>
    <w:bookmarkStart w:id="23" w:name="límites-éticos-y-prácticos"/>
    <w:p>
      <w:pPr>
        <w:pStyle w:val="Heading2"/>
      </w:pPr>
      <w:r>
        <w:t xml:space="preserve">Límites éticos y prácticos</w:t>
      </w:r>
    </w:p>
    <w:p>
      <w:pPr>
        <w:pStyle w:val="FirstParagraph"/>
      </w:pPr>
      <w:r>
        <w:t xml:space="preserve">Esta guía ofrece información general para educación y orientación profesional. No constituye asesoría médica, de salud mental, legal, tributaria, migratoria, financiera ni de licenciamiento individualizada. Los requisitos cambian según el empleador, pagador, organismo certificador, provincia, estado, territorio, país y entorno de trabajo. Verifique los datos de alto impacto con la autoridad responsable vigente antes de pagar, endeudarse, mudarse, aceptar un empleo o firmar un acuerdo de permanencia o reembolso.</w:t>
      </w:r>
    </w:p>
    <w:p>
      <w:r>
        <w:pict>
          <v:rect style="width:0;height:1.5pt" o:hralign="center" o:hrstd="t" o:hr="t"/>
        </w:pict>
      </w:r>
    </w:p>
    <w:bookmarkEnd w:id="23"/>
    <w:bookmarkStart w:id="24" w:name="X5e5a83c2e3d7df8a2b4b8ebf34ad781a08e1d75"/>
    <w:p>
      <w:pPr>
        <w:pStyle w:val="Heading2"/>
      </w:pPr>
      <w:r>
        <w:t xml:space="preserve">1. Cómo usar esta guía</w:t>
      </w:r>
    </w:p>
    <w:p>
      <w:pPr>
        <w:pStyle w:val="FirstParagraph"/>
      </w:pPr>
      <w:r>
        <w:t xml:space="preserve">Empiece por el trabajo, no por una escuela ni por quien vende una credencial.</w:t>
      </w:r>
    </w:p>
    <w:p>
      <w:pPr>
        <w:numPr>
          <w:ilvl w:val="0"/>
          <w:numId w:val="1001"/>
        </w:numPr>
        <w:pStyle w:val="Compact"/>
      </w:pPr>
      <w:r>
        <w:t xml:space="preserve">Identifique el nombre exacto del puesto que se utiliza en su localidad.</w:t>
      </w:r>
    </w:p>
    <w:p>
      <w:pPr>
        <w:numPr>
          <w:ilvl w:val="0"/>
          <w:numId w:val="1001"/>
        </w:numPr>
        <w:pStyle w:val="Compact"/>
      </w:pPr>
      <w:r>
        <w:t xml:space="preserve">Separe los requisitos legales o del pagador de las preferencias habituales del empleador y de las ventajas opcionales.</w:t>
      </w:r>
    </w:p>
    <w:p>
      <w:pPr>
        <w:numPr>
          <w:ilvl w:val="0"/>
          <w:numId w:val="1001"/>
        </w:numPr>
        <w:pStyle w:val="Compact"/>
      </w:pPr>
      <w:r>
        <w:t xml:space="preserve">Revise vacantes locales vigentes y fuentes oficiales antes de depender de resúmenes nacionales.</w:t>
      </w:r>
    </w:p>
    <w:p>
      <w:pPr>
        <w:numPr>
          <w:ilvl w:val="0"/>
          <w:numId w:val="1001"/>
        </w:numPr>
        <w:pStyle w:val="Compact"/>
      </w:pPr>
      <w:r>
        <w:t xml:space="preserve">Compare el costo total de la ruta, incluidos aranceles, exámenes, transporte, tecnología, cuidado de hijos, ingresos dejados de percibir, renovaciones y prácticas no remuneradas.</w:t>
      </w:r>
    </w:p>
    <w:p>
      <w:pPr>
        <w:numPr>
          <w:ilvl w:val="0"/>
          <w:numId w:val="1001"/>
        </w:numPr>
        <w:pStyle w:val="Compact"/>
      </w:pPr>
      <w:r>
        <w:t xml:space="preserve">Pregunte qué ocurre si no puede completar la capacitación o si debe dejar un programa financiado por el empleador.</w:t>
      </w:r>
    </w:p>
    <w:p>
      <w:pPr>
        <w:numPr>
          <w:ilvl w:val="0"/>
          <w:numId w:val="1001"/>
        </w:numPr>
        <w:pStyle w:val="Compact"/>
      </w:pPr>
      <w:r>
        <w:t xml:space="preserve">Deténgase si un proveedor le presiona para pagar de inmediato, promete empleo o se niega a entregar por escrito los costos, políticas de reembolso, estado de aprobación o método utilizado para medir resultados.</w:t>
      </w:r>
    </w:p>
    <w:bookmarkEnd w:id="24"/>
    <w:bookmarkStart w:id="25" w:name="Xded4b9e64871cbc7132962013d5edae5933fbb6"/>
    <w:p>
      <w:pPr>
        <w:pStyle w:val="Heading2"/>
      </w:pPr>
      <w:r>
        <w:t xml:space="preserve">2. En qué consiste el trabajo</w:t>
      </w:r>
    </w:p>
    <w:p>
      <w:pPr>
        <w:pStyle w:val="FirstParagraph"/>
      </w:pPr>
      <w:r>
        <w:t xml:space="preserve">Las personas que trabajan en apoyo entre pares utilizan experiencia vivida o experiencia actual, prácticas orientadas a la recuperación, capacitación formal o brindada por el empleador y habilidades relacionales intencionales para apoyar a otras personas en la búsqueda de sus propias metas de recuperación y de vida. La función se basa en la mutualidad, la esperanza, el respeto, la elección y la autodirección, no en autoridad clínica.</w:t>
      </w:r>
    </w:p>
    <w:p>
      <w:pPr>
        <w:pStyle w:val="BodyText"/>
      </w:pPr>
      <w:r>
        <w:t xml:space="preserve">SAMHSA describe la práctica de los trabajadores pares como orientada a la recuperación, centrada en la persona, voluntaria, basada en la relación e informada por el trauma. Sus competencias básicas sirven para orientar capacitación, descripciones de puesto, supervisión y desarrollo profesional; no constituyen una licencia nacional universal. En Estados Unidos, las personas lectoras deben verificar los requisitos específicos del estado, jurisdicción Tribal, pagador, programa y empleador para el puesto que desean.</w:t>
      </w:r>
    </w:p>
    <w:p>
      <w:pPr>
        <w:pStyle w:val="BodyText"/>
      </w:pPr>
      <w:r>
        <w:t xml:space="preserve">Títulos comunes incluyen:</w:t>
      </w:r>
    </w:p>
    <w:p>
      <w:pPr>
        <w:numPr>
          <w:ilvl w:val="0"/>
          <w:numId w:val="1002"/>
        </w:numPr>
        <w:pStyle w:val="Compact"/>
      </w:pPr>
      <w:r>
        <w:t xml:space="preserve">especialista en apoyo entre pares;</w:t>
      </w:r>
    </w:p>
    <w:p>
      <w:pPr>
        <w:numPr>
          <w:ilvl w:val="0"/>
          <w:numId w:val="1002"/>
        </w:numPr>
        <w:pStyle w:val="Compact"/>
      </w:pPr>
      <w:r>
        <w:t xml:space="preserve">especialista certificado en apoyo entre pares;</w:t>
      </w:r>
    </w:p>
    <w:p>
      <w:pPr>
        <w:numPr>
          <w:ilvl w:val="0"/>
          <w:numId w:val="1002"/>
        </w:numPr>
        <w:pStyle w:val="Compact"/>
      </w:pPr>
      <w:r>
        <w:t xml:space="preserve">especialista en recuperación entre pares;</w:t>
      </w:r>
    </w:p>
    <w:p>
      <w:pPr>
        <w:numPr>
          <w:ilvl w:val="0"/>
          <w:numId w:val="1002"/>
        </w:numPr>
        <w:pStyle w:val="Compact"/>
      </w:pPr>
      <w:r>
        <w:t xml:space="preserve">especialista en apoyo a la recuperación;</w:t>
      </w:r>
    </w:p>
    <w:p>
      <w:pPr>
        <w:numPr>
          <w:ilvl w:val="0"/>
          <w:numId w:val="1002"/>
        </w:numPr>
        <w:pStyle w:val="Compact"/>
      </w:pPr>
      <w:r>
        <w:t xml:space="preserve">especialista familiar entre pares;</w:t>
      </w:r>
    </w:p>
    <w:p>
      <w:pPr>
        <w:numPr>
          <w:ilvl w:val="0"/>
          <w:numId w:val="1002"/>
        </w:numPr>
        <w:pStyle w:val="Compact"/>
      </w:pPr>
      <w:r>
        <w:t xml:space="preserve">coach o acompañante de recuperación entre pares; y</w:t>
      </w:r>
    </w:p>
    <w:p>
      <w:pPr>
        <w:numPr>
          <w:ilvl w:val="0"/>
          <w:numId w:val="1002"/>
        </w:numPr>
        <w:pStyle w:val="Compact"/>
      </w:pPr>
      <w:r>
        <w:t xml:space="preserve">trabajador o trabajadora de apoyo entre pares.</w:t>
      </w:r>
    </w:p>
    <w:p>
      <w:pPr>
        <w:pStyle w:val="FirstParagraph"/>
      </w:pPr>
      <w:r>
        <w:t xml:space="preserve">Los entornos de trabajo pueden incluir programas de salud conductual, organizaciones comunitarias, hospitales, programas de crisis y estabilización, servicios de recuperación por consumo de sustancias, programas de vivienda y alcance comunitario, programas relacionados con justicia, servicios para veteranos, escuelas y otros espacios de apoyo comunitario.</w:t>
      </w:r>
    </w:p>
    <w:bookmarkEnd w:id="25"/>
    <w:bookmarkStart w:id="26" w:name="Xd802a22f204214d89986b84f459fc1062ddb366"/>
    <w:p>
      <w:pPr>
        <w:pStyle w:val="Heading2"/>
      </w:pPr>
      <w:r>
        <w:t xml:space="preserve">3. Funciones, herramientas y ciclos de trabajo realistas</w:t>
      </w:r>
    </w:p>
    <w:p>
      <w:pPr>
        <w:pStyle w:val="FirstParagraph"/>
      </w:pPr>
      <w:r>
        <w:t xml:space="preserve">Las tareas habituales pueden incluir:</w:t>
      </w:r>
    </w:p>
    <w:p>
      <w:pPr>
        <w:numPr>
          <w:ilvl w:val="0"/>
          <w:numId w:val="1003"/>
        </w:numPr>
        <w:pStyle w:val="Compact"/>
      </w:pPr>
      <w:r>
        <w:t xml:space="preserve">escuchar y construir una relación respetuosa entre pares;</w:t>
      </w:r>
    </w:p>
    <w:p>
      <w:pPr>
        <w:numPr>
          <w:ilvl w:val="0"/>
          <w:numId w:val="1003"/>
        </w:numPr>
        <w:pStyle w:val="Compact"/>
      </w:pPr>
      <w:r>
        <w:t xml:space="preserve">apoyar metas de recuperación y de vida definidas por la propia persona;</w:t>
      </w:r>
    </w:p>
    <w:p>
      <w:pPr>
        <w:numPr>
          <w:ilvl w:val="0"/>
          <w:numId w:val="1003"/>
        </w:numPr>
        <w:pStyle w:val="Compact"/>
      </w:pPr>
      <w:r>
        <w:t xml:space="preserve">utilizar la autorrevelación de manera intencional y solo cuando beneficie a la persona atendida;</w:t>
      </w:r>
    </w:p>
    <w:p>
      <w:pPr>
        <w:numPr>
          <w:ilvl w:val="0"/>
          <w:numId w:val="1003"/>
        </w:numPr>
        <w:pStyle w:val="Compact"/>
      </w:pPr>
      <w:r>
        <w:t xml:space="preserve">ayudar a identificar recursos comunitarios, de vivienda, beneficios, salud, recuperación, empleo o educación;</w:t>
      </w:r>
    </w:p>
    <w:p>
      <w:pPr>
        <w:numPr>
          <w:ilvl w:val="0"/>
          <w:numId w:val="1003"/>
        </w:numPr>
        <w:pStyle w:val="Compact"/>
      </w:pPr>
      <w:r>
        <w:t xml:space="preserve">apoyar la navegación de servicios sin sustituir a profesionales clínicos, legales o de beneficios que requieran licencia;</w:t>
      </w:r>
    </w:p>
    <w:p>
      <w:pPr>
        <w:numPr>
          <w:ilvl w:val="0"/>
          <w:numId w:val="1003"/>
        </w:numPr>
        <w:pStyle w:val="Compact"/>
      </w:pPr>
      <w:r>
        <w:t xml:space="preserve">documentar los servicios exigidos de manera objetiva y mínima;</w:t>
      </w:r>
    </w:p>
    <w:p>
      <w:pPr>
        <w:numPr>
          <w:ilvl w:val="0"/>
          <w:numId w:val="1003"/>
        </w:numPr>
        <w:pStyle w:val="Compact"/>
      </w:pPr>
      <w:r>
        <w:t xml:space="preserve">reconocer situaciones que requieren escalamiento; y</w:t>
      </w:r>
    </w:p>
    <w:p>
      <w:pPr>
        <w:numPr>
          <w:ilvl w:val="0"/>
          <w:numId w:val="1003"/>
        </w:numPr>
        <w:pStyle w:val="Compact"/>
      </w:pPr>
      <w:r>
        <w:t xml:space="preserve">participar en supervisión, capacitación, actividades de calidad y planificación del bienestar personal.</w:t>
      </w:r>
    </w:p>
    <w:p>
      <w:pPr>
        <w:pStyle w:val="FirstParagraph"/>
      </w:pPr>
      <w:r>
        <w:t xml:space="preserve">Un contacto realista puede incluir revisar las metas expresadas por la persona participante, aclarar consentimiento y propósito, escuchar y explorar opciones, identificar un siguiente paso práctico, documentar solo la información necesaria, escalar preocupaciones inmediatas de seguridad según la política correspondiente y revisar la situación con la supervisión adecuada.</w:t>
      </w:r>
    </w:p>
    <w:p>
      <w:pPr>
        <w:pStyle w:val="BodyText"/>
      </w:pPr>
      <w:r>
        <w:t xml:space="preserve">Los procedimientos reales deben ajustarse a la política del empleador, la ley aplicable, las reglas del pagador, la supervisión y los protocolos de emergencia.</w:t>
      </w:r>
    </w:p>
    <w:bookmarkEnd w:id="26"/>
    <w:bookmarkStart w:id="27" w:name="X16c87ec54870549c1db1aca4b54315c9c1cb0bd"/>
    <w:p>
      <w:pPr>
        <w:pStyle w:val="Heading2"/>
      </w:pPr>
      <w:r>
        <w:t xml:space="preserve">4. Compatibilidad profesional, condiciones de trabajo y seguridad</w:t>
      </w:r>
    </w:p>
    <w:p>
      <w:pPr>
        <w:pStyle w:val="FirstParagraph"/>
      </w:pPr>
      <w:r>
        <w:t xml:space="preserve">Pregúntese:</w:t>
      </w:r>
    </w:p>
    <w:p>
      <w:pPr>
        <w:numPr>
          <w:ilvl w:val="0"/>
          <w:numId w:val="1004"/>
        </w:numPr>
        <w:pStyle w:val="Compact"/>
      </w:pPr>
      <w:r>
        <w:t xml:space="preserve">¿Puedo escuchar sin apropiarme de las decisiones de otra persona?</w:t>
      </w:r>
    </w:p>
    <w:p>
      <w:pPr>
        <w:numPr>
          <w:ilvl w:val="0"/>
          <w:numId w:val="1004"/>
        </w:numPr>
        <w:pStyle w:val="Compact"/>
      </w:pPr>
      <w:r>
        <w:t xml:space="preserve">¿Puedo usar mi experiencia vivida de manera selectiva sin convertir la interacción en algo centrado en mí?</w:t>
      </w:r>
    </w:p>
    <w:p>
      <w:pPr>
        <w:numPr>
          <w:ilvl w:val="0"/>
          <w:numId w:val="1004"/>
        </w:numPr>
        <w:pStyle w:val="Compact"/>
      </w:pPr>
      <w:r>
        <w:t xml:space="preserve">¿Puedo tolerar intensidad emocional y mantener límites apropiados?</w:t>
      </w:r>
    </w:p>
    <w:p>
      <w:pPr>
        <w:numPr>
          <w:ilvl w:val="0"/>
          <w:numId w:val="1004"/>
        </w:numPr>
        <w:pStyle w:val="Compact"/>
      </w:pPr>
      <w:r>
        <w:t xml:space="preserve">¿Puedo cumplir requisitos de documentación, privacidad, supervisión y escalamiento incluso cuando parezcan burocráticos?</w:t>
      </w:r>
    </w:p>
    <w:p>
      <w:pPr>
        <w:numPr>
          <w:ilvl w:val="0"/>
          <w:numId w:val="1004"/>
        </w:numPr>
        <w:pStyle w:val="Compact"/>
      </w:pPr>
      <w:r>
        <w:t xml:space="preserve">¿El horario, transporte, desplazamientos, turnos y responsabilidades de cuidado son compatibles con mi hogar?</w:t>
      </w:r>
    </w:p>
    <w:p>
      <w:pPr>
        <w:numPr>
          <w:ilvl w:val="0"/>
          <w:numId w:val="1004"/>
        </w:numPr>
        <w:pStyle w:val="Compact"/>
      </w:pPr>
      <w:r>
        <w:t xml:space="preserve">¿Qué adaptaciones o tecnología de apoyo harían sostenible la capacitación y el trabajo?</w:t>
      </w:r>
    </w:p>
    <w:p>
      <w:pPr>
        <w:numPr>
          <w:ilvl w:val="0"/>
          <w:numId w:val="1004"/>
        </w:numPr>
        <w:pStyle w:val="Compact"/>
      </w:pPr>
      <w:r>
        <w:t xml:space="preserve">¿Puedo ingresar a esta ruta sin asumir una deuda insostenible o una obligación laboral injusta?</w:t>
      </w:r>
    </w:p>
    <w:p>
      <w:pPr>
        <w:pStyle w:val="FirstParagraph"/>
      </w:pPr>
      <w:r>
        <w:t xml:space="preserve">Considere detenerse si su propia recuperación o bienestar no tiene la estabilidad suficiente para las exigencias del puesto, si un empleador espera funciones clínicas fuera de su autoridad, si los requisitos locales de credenciales no están claros o si los costos de capacitación y las condiciones de reembolso no han sido verificadas por escrito.</w:t>
      </w:r>
    </w:p>
    <w:bookmarkEnd w:id="27"/>
    <w:bookmarkStart w:id="28" w:name="X10faf0c90134648c9c1b817c0b87bad548b05bb"/>
    <w:p>
      <w:pPr>
        <w:pStyle w:val="Heading2"/>
      </w:pPr>
      <w:r>
        <w:t xml:space="preserve">5. Ética, límites, privacidad y escalamiento</w:t>
      </w:r>
    </w:p>
    <w:p>
      <w:pPr>
        <w:pStyle w:val="FirstParagraph"/>
      </w:pPr>
      <w:r>
        <w:t xml:space="preserve">El apoyo entre pares no es psicoterapia, diagnóstico, manejo de medicamentos, asesoría legal, respuesta de emergencia ni gestión de casos regulada, salvo que la persona trabajadora posea por separado la habilitación exigida y esté actuando dentro de esa función autorizada.</w:t>
      </w:r>
    </w:p>
    <w:p>
      <w:pPr>
        <w:pStyle w:val="BodyText"/>
      </w:pPr>
      <w:r>
        <w:t xml:space="preserve">No establezca relaciones secretas, dependientes, románticas, financieras, explotadoras o coercitivas con las personas atendidas. No presione a una persona participante para que revele más información de la necesaria para el servicio. No prometa confidencialidad más allá de los límites establecidos por la ley, las políticas, los procedimientos de seguridad y las obligaciones de reporte.</w:t>
      </w:r>
    </w:p>
    <w:p>
      <w:pPr>
        <w:pStyle w:val="BodyText"/>
      </w:pPr>
      <w:r>
        <w:t xml:space="preserve">Cuando una persona pueda estar en peligro inmediato, exprese intención inminente de hacerse daño o dañar a otras personas, reporte abuso que active una obligación de informar o presente un problema médico urgente, siga los procedimientos de emergencia y escalamiento del empleador. Una persona trabajadora par no debe improvisar una respuesta clínica fuera de su capacitación y autoridad.</w:t>
      </w:r>
    </w:p>
    <w:p>
      <w:pPr>
        <w:pStyle w:val="BodyText"/>
      </w:pPr>
      <w:r>
        <w:t xml:space="preserve">Utilice supervisión y un plan personal de bienestar. Proteger su propia recuperación y capacidad es parte de una práctica sostenible, no una falta de compromiso.</w:t>
      </w:r>
    </w:p>
    <w:bookmarkEnd w:id="28"/>
    <w:bookmarkStart w:id="34" w:name="Xfec4a5b7125eaef7e60c41953347548df9b924c"/>
    <w:p>
      <w:pPr>
        <w:pStyle w:val="Heading2"/>
      </w:pPr>
      <w:r>
        <w:t xml:space="preserve">6. Investigación de ingresos, beneficios y perspectivas</w:t>
      </w:r>
    </w:p>
    <w:bookmarkStart w:id="29" w:name="Xf960961d2fd1cf43e9aa31e136a92f5d380480a"/>
    <w:p>
      <w:pPr>
        <w:pStyle w:val="Heading3"/>
      </w:pPr>
      <w:r>
        <w:t xml:space="preserve">Estados Unidos — proxy oficial, no una serie salarial exclusiva de apoyo entre pares</w:t>
      </w:r>
    </w:p>
    <w:p>
      <w:pPr>
        <w:pStyle w:val="FirstParagraph"/>
      </w:pPr>
      <w:r>
        <w:t xml:space="preserve">La Oficina de Estadísticas Laborales de Estados Unidos (BLS) no publica en el Occupational Outlook Handbook una serie salarial dedicada exclusivamente a especialistas en apoyo entre pares. BLS identifica explícitamente a los especialistas en apoyo entre pares como un tipo de trabajador comunitario de salud, por lo que la ocupación Community Health Workers (SOC 21-1094) puede utilizarse como</w:t>
      </w:r>
      <w:r>
        <w:t xml:space="preserve"> </w:t>
      </w:r>
      <w:r>
        <w:rPr>
          <w:bCs/>
          <w:b/>
        </w:rPr>
        <w:t xml:space="preserve">proxy ocupacional oficial</w:t>
      </w:r>
      <w:r>
        <w:t xml:space="preserve"> </w:t>
      </w:r>
      <w:r>
        <w:t xml:space="preserve">si se etiqueta claramente como tal.</w:t>
      </w:r>
    </w:p>
    <w:p>
      <w:pPr>
        <w:pStyle w:val="BodyText"/>
      </w:pPr>
      <w:r>
        <w:t xml:space="preserve">BLS reporta una</w:t>
      </w:r>
      <w:r>
        <w:t xml:space="preserve"> </w:t>
      </w:r>
      <w:r>
        <w:rPr>
          <w:bCs/>
          <w:b/>
        </w:rPr>
        <w:t xml:space="preserve">mediana salarial anual de US</w:t>
      </w:r>
      <m:oMath>
        <m:r>
          <m:t>51</m:t>
        </m:r>
        <m:r>
          <m:rPr>
            <m:sty m:val="p"/>
          </m:rPr>
          <m:t>,</m:t>
        </m:r>
        <m:r>
          <m:t>030</m:t>
        </m:r>
        <m:r>
          <m:t>e</m:t>
        </m:r>
        <m:r>
          <m:t>n</m:t>
        </m:r>
        <m:r>
          <m:t>m</m:t>
        </m:r>
        <m:r>
          <m:t>a</m:t>
        </m:r>
        <m:r>
          <m:t>y</m:t>
        </m:r>
        <m:r>
          <m:t>o</m:t>
        </m:r>
        <m:r>
          <m:t>d</m:t>
        </m:r>
        <m:r>
          <m:t>e</m:t>
        </m:r>
        <m:r>
          <m:t>2024</m:t>
        </m:r>
        <m:r>
          <m:rPr>
            <m:sty m:val="p"/>
          </m:rPr>
          <m:t>(</m:t>
        </m:r>
        <m:r>
          <m:t>U</m:t>
        </m:r>
        <m:r>
          <m:t>S</m:t>
        </m:r>
      </m:oMath>
      <w:r>
        <w:rPr>
          <w:bCs/>
          <w:b/>
        </w:rPr>
        <w:t xml:space="preserve">24.54 por hora)</w:t>
      </w:r>
      <w:r>
        <w:t xml:space="preserve"> </w:t>
      </w:r>
      <w:r>
        <w:t xml:space="preserve">para trabajadores comunitarios de salud y proyecta un</w:t>
      </w:r>
      <w:r>
        <w:t xml:space="preserve"> </w:t>
      </w:r>
      <w:r>
        <w:rPr>
          <w:bCs/>
          <w:b/>
        </w:rPr>
        <w:t xml:space="preserve">crecimiento del empleo de 11% entre 2024 y 2034</w:t>
      </w:r>
      <w:r>
        <w:t xml:space="preserve">. Estas cifras no deben presentarse como salario o perspectiva exacta o garantizada para especialistas en apoyo entre pares, porque la ocupación de BLS incluye personas con diferentes funciones y títulos.</w:t>
      </w:r>
    </w:p>
    <w:bookmarkEnd w:id="29"/>
    <w:bookmarkStart w:id="30" w:name="X536db9f97a344a2780314406738021263e4819f"/>
    <w:p>
      <w:pPr>
        <w:pStyle w:val="Heading3"/>
      </w:pPr>
      <w:r>
        <w:t xml:space="preserve">Estados Unidos — estimación actual de mercado no gubernamental</w:t>
      </w:r>
    </w:p>
    <w:p>
      <w:pPr>
        <w:pStyle w:val="FirstParagraph"/>
      </w:pPr>
      <w:r>
        <w:t xml:space="preserve">Como indicador separado de mercado, ZipRecruiter reportó una</w:t>
      </w:r>
      <w:r>
        <w:t xml:space="preserve"> </w:t>
      </w:r>
      <w:r>
        <w:rPr>
          <w:bCs/>
          <w:b/>
        </w:rPr>
        <w:t xml:space="preserve">estimación promedio de pago en Estados Unidos para Peer Support Specialist de US</w:t>
      </w:r>
      <m:oMath>
        <m:r>
          <m:t>41</m:t>
        </m:r>
        <m:r>
          <m:rPr>
            <m:sty m:val="p"/>
          </m:rPr>
          <m:t>,</m:t>
        </m:r>
        <m:r>
          <m:t>023</m:t>
        </m:r>
        <m:r>
          <m:t>a</m:t>
        </m:r>
        <m:r>
          <m:t>l</m:t>
        </m:r>
        <m:r>
          <m:t>a</m:t>
        </m:r>
        <m:r>
          <m:t>ñ</m:t>
        </m:r>
        <m:r>
          <m:t>o</m:t>
        </m:r>
        <m:r>
          <m:rPr>
            <m:sty m:val="p"/>
          </m:rPr>
          <m:t>(</m:t>
        </m:r>
        <m:r>
          <m:t>U</m:t>
        </m:r>
        <m:r>
          <m:t>S</m:t>
        </m:r>
      </m:oMath>
      <w:r>
        <w:rPr>
          <w:bCs/>
          <w:b/>
        </w:rPr>
        <w:t xml:space="preserve">19.72 por hora) al 7 de agosto de 2026</w:t>
      </w:r>
      <w:r>
        <w:t xml:space="preserve">, con la mayoría de los salarios reportados entre aproximadamente US</w:t>
      </w:r>
      <m:oMath>
        <m:r>
          <m:t>35</m:t>
        </m:r>
        <m:r>
          <m:rPr>
            <m:sty m:val="p"/>
          </m:rPr>
          <m:t>,</m:t>
        </m:r>
        <m:r>
          <m:t>000</m:t>
        </m:r>
        <m:r>
          <m:t>y</m:t>
        </m:r>
        <m:r>
          <m:t>U</m:t>
        </m:r>
        <m:r>
          <m:t>S</m:t>
        </m:r>
      </m:oMath>
      <w:r>
        <w:t xml:space="preserve">45,000. Se trata de una estimación no gubernamental derivada de publicaciones de empleo y datos de terceros y no debe tratarse como estadística salarial oficial ni como garantía.</w:t>
      </w:r>
    </w:p>
    <w:bookmarkEnd w:id="30"/>
    <w:bookmarkStart w:id="31" w:name="canadá--agrupación-ocupacional-oficial"/>
    <w:p>
      <w:pPr>
        <w:pStyle w:val="Heading3"/>
      </w:pPr>
      <w:r>
        <w:t xml:space="preserve">Canadá — agrupación ocupacional oficial</w:t>
      </w:r>
    </w:p>
    <w:p>
      <w:pPr>
        <w:pStyle w:val="FirstParagraph"/>
      </w:pPr>
      <w:r>
        <w:t xml:space="preserve">Job Bank de Canadá asigna "peer support worker" a</w:t>
      </w:r>
      <w:r>
        <w:t xml:space="preserve"> </w:t>
      </w:r>
      <w:r>
        <w:rPr>
          <w:bCs/>
          <w:b/>
        </w:rPr>
        <w:t xml:space="preserve">Social and community service workers, NOC 42201</w:t>
      </w:r>
      <w:r>
        <w:t xml:space="preserve">. La página de resumen de Job Bank fue modificada el</w:t>
      </w:r>
      <w:r>
        <w:t xml:space="preserve"> </w:t>
      </w:r>
      <w:r>
        <w:rPr>
          <w:bCs/>
          <w:b/>
        </w:rPr>
        <w:t xml:space="preserve">2 de junio de 2026</w:t>
      </w:r>
      <w:r>
        <w:t xml:space="preserve">. Su tabla salarial reporta una</w:t>
      </w:r>
      <w:r>
        <w:t xml:space="preserve"> </w:t>
      </w:r>
      <w:r>
        <w:rPr>
          <w:bCs/>
          <w:b/>
        </w:rPr>
        <w:t xml:space="preserve">mediana nacional de C</w:t>
      </w:r>
      <m:oMath>
        <m:r>
          <m:t>26.00</m:t>
        </m:r>
        <m:r>
          <m:t>p</m:t>
        </m:r>
        <m:r>
          <m:t>o</m:t>
        </m:r>
        <m:r>
          <m:t>r</m:t>
        </m:r>
        <m:r>
          <m:t>h</m:t>
        </m:r>
        <m:r>
          <m:t>o</m:t>
        </m:r>
        <m:r>
          <m:t>r</m:t>
        </m:r>
        <m:r>
          <m:t>a</m:t>
        </m:r>
        <m:r>
          <m:rPr>
            <m:sty m:val="p"/>
          </m:rPr>
          <m:t>*</m:t>
        </m:r>
        <m:r>
          <m:rPr>
            <m:sty m:val="p"/>
          </m:rPr>
          <m:t>*</m:t>
        </m:r>
        <m:r>
          <m:rPr>
            <m:sty m:val="p"/>
          </m:rPr>
          <m:t>,</m:t>
        </m:r>
        <m:r>
          <m:t>c</m:t>
        </m:r>
        <m:r>
          <m:t>o</m:t>
        </m:r>
        <m:r>
          <m:t>n</m:t>
        </m:r>
        <m:r>
          <m:t>v</m:t>
        </m:r>
        <m:r>
          <m:t>a</m:t>
        </m:r>
        <m:r>
          <m:t>l</m:t>
        </m:r>
        <m:r>
          <m:t>o</m:t>
        </m:r>
        <m:r>
          <m:t>r</m:t>
        </m:r>
        <m:r>
          <m:t>e</m:t>
        </m:r>
        <m:r>
          <m:t>s</m:t>
        </m:r>
        <m:r>
          <m:t>n</m:t>
        </m:r>
        <m:r>
          <m:t>a</m:t>
        </m:r>
        <m:r>
          <m:t>c</m:t>
        </m:r>
        <m:r>
          <m:t>i</m:t>
        </m:r>
        <m:r>
          <m:t>o</m:t>
        </m:r>
        <m:r>
          <m:t>n</m:t>
        </m:r>
        <m:r>
          <m:t>a</m:t>
        </m:r>
        <m:r>
          <m:t>l</m:t>
        </m:r>
        <m:r>
          <m:t>e</m:t>
        </m:r>
        <m:r>
          <m:t>s</m:t>
        </m:r>
        <m:r>
          <m:t>b</m:t>
        </m:r>
        <m:r>
          <m:t>a</m:t>
        </m:r>
        <m:r>
          <m:t>j</m:t>
        </m:r>
        <m:r>
          <m:t>o</m:t>
        </m:r>
        <m:r>
          <m:rPr>
            <m:sty m:val="p"/>
          </m:rPr>
          <m:t>/</m:t>
        </m:r>
        <m:r>
          <m:t>a</m:t>
        </m:r>
        <m:r>
          <m:t>l</m:t>
        </m:r>
        <m:r>
          <m:t>t</m:t>
        </m:r>
        <m:r>
          <m:t>o</m:t>
        </m:r>
        <m:r>
          <m:t>d</m:t>
        </m:r>
        <m:r>
          <m:t>e</m:t>
        </m:r>
        <m:r>
          <m:rPr>
            <m:sty m:val="p"/>
          </m:rPr>
          <m:t>*</m:t>
        </m:r>
        <m:r>
          <m:rPr>
            <m:sty m:val="p"/>
          </m:rPr>
          <m:t>*</m:t>
        </m:r>
        <m:r>
          <m:t>C</m:t>
        </m:r>
      </m:oMath>
      <w:r>
        <w:rPr>
          <w:bCs/>
          <w:b/>
        </w:rPr>
        <w:t xml:space="preserve">19.00/C$36.06</w:t>
      </w:r>
      <w:r>
        <w:t xml:space="preserve">. Job Bank indica que estos valores salariales fueron actualizados el</w:t>
      </w:r>
      <w:r>
        <w:t xml:space="preserve"> </w:t>
      </w:r>
      <w:r>
        <w:rPr>
          <w:bCs/>
          <w:b/>
        </w:rPr>
        <w:t xml:space="preserve">19 de noviembre de 2025</w:t>
      </w:r>
      <w:r>
        <w:t xml:space="preserve">, utilizan un</w:t>
      </w:r>
      <w:r>
        <w:t xml:space="preserve"> </w:t>
      </w:r>
      <w:r>
        <w:rPr>
          <w:bCs/>
          <w:b/>
        </w:rPr>
        <w:t xml:space="preserve">período de referencia 2023–2024</w:t>
      </w:r>
      <w:r>
        <w:t xml:space="preserve"> </w:t>
      </w:r>
      <w:r>
        <w:t xml:space="preserve">y provienen de la Labour Force Survey de Statistics Canada. Job Bank también indica que las perspectivas cambian según provincia y territorio. Estos datos describen el grupo más amplio NOC 42201, por lo que las personas lectoras deben comparar vacantes vigentes para el título específico de apoyo entre pares.</w:t>
      </w:r>
    </w:p>
    <w:bookmarkEnd w:id="31"/>
    <w:bookmarkStart w:id="32" w:name="colombia-y-el-resto-de-américa-latina"/>
    <w:p>
      <w:pPr>
        <w:pStyle w:val="Heading3"/>
      </w:pPr>
      <w:r>
        <w:t xml:space="preserve">Colombia y el resto de América Latina</w:t>
      </w:r>
    </w:p>
    <w:p>
      <w:pPr>
        <w:pStyle w:val="FirstParagraph"/>
      </w:pPr>
      <w:r>
        <w:t xml:space="preserve">No invente un salario nacional para Especialista en Apoyo entre Pares cuando no se haya verificado una serie ocupacional directamente comparable. Los títulos, límites profesionales, estructuras de financiamiento y modelos de empleo varían de manera importante en América Latina. En Colombia, utilice vacantes vigentes, servicios públicos de empleo, oportunidades del sistema territorial de salud, organizaciones comunitarias e información laboral oficial para el título real que esté evaluando. Etiquete cualquier ocupación más amplia o estimación de mercado como proxy en vez de presentarla como salario propio del apoyo entre pares.</w:t>
      </w:r>
    </w:p>
    <w:bookmarkEnd w:id="32"/>
    <w:bookmarkStart w:id="33" w:name="X985d7b892ea8bbd50391c761c4f4f00df8b9ca0"/>
    <w:p>
      <w:pPr>
        <w:pStyle w:val="Heading3"/>
      </w:pPr>
      <w:r>
        <w:t xml:space="preserve">Lista de verificación para investigación salarial local</w:t>
      </w:r>
    </w:p>
    <w:p>
      <w:pPr>
        <w:pStyle w:val="FirstParagraph"/>
      </w:pPr>
      <w:r>
        <w:t xml:space="preserve">Para cada país o ciudad, registre:</w:t>
      </w:r>
    </w:p>
    <w:p>
      <w:pPr>
        <w:numPr>
          <w:ilvl w:val="0"/>
          <w:numId w:val="1005"/>
        </w:numPr>
        <w:pStyle w:val="Compact"/>
      </w:pPr>
      <w:r>
        <w:t xml:space="preserve">título exacto y funciones;</w:t>
      </w:r>
    </w:p>
    <w:p>
      <w:pPr>
        <w:numPr>
          <w:ilvl w:val="0"/>
          <w:numId w:val="1005"/>
        </w:numPr>
        <w:pStyle w:val="Compact"/>
      </w:pPr>
      <w:r>
        <w:t xml:space="preserve">empleador y sector;</w:t>
      </w:r>
    </w:p>
    <w:p>
      <w:pPr>
        <w:numPr>
          <w:ilvl w:val="0"/>
          <w:numId w:val="1005"/>
        </w:numPr>
        <w:pStyle w:val="Compact"/>
      </w:pPr>
      <w:r>
        <w:t xml:space="preserve">fecha de publicación;</w:t>
      </w:r>
    </w:p>
    <w:p>
      <w:pPr>
        <w:numPr>
          <w:ilvl w:val="0"/>
          <w:numId w:val="1005"/>
        </w:numPr>
        <w:pStyle w:val="Compact"/>
      </w:pPr>
      <w:r>
        <w:t xml:space="preserve">salario base por hora o por mes;</w:t>
      </w:r>
    </w:p>
    <w:p>
      <w:pPr>
        <w:numPr>
          <w:ilvl w:val="0"/>
          <w:numId w:val="1005"/>
        </w:numPr>
        <w:pStyle w:val="Compact"/>
      </w:pPr>
      <w:r>
        <w:t xml:space="preserve">horas extra, diferencial de turno, bonificación o pago por servicio;</w:t>
      </w:r>
    </w:p>
    <w:p>
      <w:pPr>
        <w:numPr>
          <w:ilvl w:val="0"/>
          <w:numId w:val="1005"/>
        </w:numPr>
        <w:pStyle w:val="Compact"/>
      </w:pPr>
      <w:r>
        <w:t xml:space="preserve">condición de empleo y horas;</w:t>
      </w:r>
    </w:p>
    <w:p>
      <w:pPr>
        <w:numPr>
          <w:ilvl w:val="0"/>
          <w:numId w:val="1005"/>
        </w:numPr>
        <w:pStyle w:val="Compact"/>
      </w:pPr>
      <w:r>
        <w:t xml:space="preserve">credenciales y experiencia requeridas;</w:t>
      </w:r>
    </w:p>
    <w:p>
      <w:pPr>
        <w:numPr>
          <w:ilvl w:val="0"/>
          <w:numId w:val="1005"/>
        </w:numPr>
        <w:pStyle w:val="Compact"/>
      </w:pPr>
      <w:r>
        <w:t xml:space="preserve">salud, jubilación, licencias, apoyo educativo y otros beneficios; y</w:t>
      </w:r>
    </w:p>
    <w:p>
      <w:pPr>
        <w:numPr>
          <w:ilvl w:val="0"/>
          <w:numId w:val="1005"/>
        </w:numPr>
        <w:pStyle w:val="Compact"/>
      </w:pPr>
      <w:r>
        <w:t xml:space="preserve">si el puesto exige desplazamientos, vehículo propio, trabajo nocturno, fines de semana o disponibilidad de guardia.</w:t>
      </w:r>
    </w:p>
    <w:bookmarkEnd w:id="33"/>
    <w:bookmarkEnd w:id="34"/>
    <w:bookmarkStart w:id="39" w:name="Xf4f67b1240ef4303d7f8c0dab878073022503d3"/>
    <w:p>
      <w:pPr>
        <w:pStyle w:val="Heading2"/>
      </w:pPr>
      <w:r>
        <w:t xml:space="preserve">7. Educación y credenciales</w:t>
      </w:r>
    </w:p>
    <w:bookmarkStart w:id="35" w:name="estados-unidos"/>
    <w:p>
      <w:pPr>
        <w:pStyle w:val="Heading3"/>
      </w:pPr>
      <w:r>
        <w:t xml:space="preserve">Estados Unidos</w:t>
      </w:r>
    </w:p>
    <w:p>
      <w:pPr>
        <w:pStyle w:val="FirstParagraph"/>
      </w:pPr>
      <w:r>
        <w:t xml:space="preserve">No existe una única certificación nacional de apoyo entre pares que reemplace automáticamente los requisitos estatales, Tribales, del pagador o del empleador. Según la jurisdicción y el puesto, los requisitos pueden incluir experiencia vivida, criterios de tiempo de recuperación, capacitación aprobada, examen, horas supervisadas o de trabajo, verificación de antecedentes, educación continua, requisitos éticos y recertificación.</w:t>
      </w:r>
    </w:p>
    <w:p>
      <w:pPr>
        <w:pStyle w:val="BodyText"/>
      </w:pPr>
      <w:r>
        <w:t xml:space="preserve">Antes de pagar:</w:t>
      </w:r>
    </w:p>
    <w:p>
      <w:pPr>
        <w:numPr>
          <w:ilvl w:val="0"/>
          <w:numId w:val="1006"/>
        </w:numPr>
        <w:pStyle w:val="Compact"/>
      </w:pPr>
      <w:r>
        <w:t xml:space="preserve">identifique la autoridad oficial de certificación o programa para su estado o jurisdicción Tribal;</w:t>
      </w:r>
    </w:p>
    <w:p>
      <w:pPr>
        <w:numPr>
          <w:ilvl w:val="0"/>
          <w:numId w:val="1006"/>
        </w:numPr>
        <w:pStyle w:val="Compact"/>
      </w:pPr>
      <w:r>
        <w:t xml:space="preserve">confirme si la credencial se exige para el empleador o pagador específico;</w:t>
      </w:r>
    </w:p>
    <w:p>
      <w:pPr>
        <w:numPr>
          <w:ilvl w:val="0"/>
          <w:numId w:val="1006"/>
        </w:numPr>
        <w:pStyle w:val="Compact"/>
      </w:pPr>
      <w:r>
        <w:t xml:space="preserve">verifique directamente con esa autoridad la aprobación del proveedor de capacitación;</w:t>
      </w:r>
    </w:p>
    <w:p>
      <w:pPr>
        <w:numPr>
          <w:ilvl w:val="0"/>
          <w:numId w:val="1006"/>
        </w:numPr>
        <w:pStyle w:val="Compact"/>
      </w:pPr>
      <w:r>
        <w:t xml:space="preserve">confirme todos los costos, reglas de examen, requisitos de horas supervisadas y costos de renovación; y</w:t>
      </w:r>
    </w:p>
    <w:p>
      <w:pPr>
        <w:numPr>
          <w:ilvl w:val="0"/>
          <w:numId w:val="1006"/>
        </w:numPr>
        <w:pStyle w:val="Compact"/>
      </w:pPr>
      <w:r>
        <w:t xml:space="preserve">pregunte si la credencial se transfiere si se muda.</w:t>
      </w:r>
    </w:p>
    <w:p>
      <w:pPr>
        <w:pStyle w:val="FirstParagraph"/>
      </w:pPr>
      <w:r>
        <w:t xml:space="preserve">Las competencias básicas de SAMHSA son un marco de práctica autorizado, no un sustituto de la verificación estatal o local de credenciales.</w:t>
      </w:r>
    </w:p>
    <w:bookmarkEnd w:id="35"/>
    <w:bookmarkStart w:id="36" w:name="canadá"/>
    <w:p>
      <w:pPr>
        <w:pStyle w:val="Heading3"/>
      </w:pPr>
      <w:r>
        <w:t xml:space="preserve">Canadá</w:t>
      </w:r>
    </w:p>
    <w:p>
      <w:pPr>
        <w:pStyle w:val="FirstParagraph"/>
      </w:pPr>
      <w:r>
        <w:t xml:space="preserve">Los puestos de apoyo entre pares y los requisitos de los empleadores varían en Canadá. Job Bank ubica el título dentro de NOC 42201 e indica que la ocupación más amplia suele involucrar preparación de nivel universitario técnico/aprendizaje o experiencia pertinente. No infiera de ese perfil que todos los puestos de apoyo entre pares exigen el mismo diploma, aprendizaje o credencial. Verifique los requisitos exactos del empleador, provincia, organización y programa.</w:t>
      </w:r>
    </w:p>
    <w:bookmarkEnd w:id="36"/>
    <w:bookmarkStart w:id="37" w:name="colombia"/>
    <w:p>
      <w:pPr>
        <w:pStyle w:val="Heading3"/>
      </w:pPr>
      <w:r>
        <w:t xml:space="preserve">Colombia</w:t>
      </w:r>
    </w:p>
    <w:p>
      <w:pPr>
        <w:pStyle w:val="FirstParagraph"/>
      </w:pPr>
      <w:r>
        <w:t xml:space="preserve">Colombia cuenta con política nacional activa de salud mental comunitaria y orientación de 2025 sobre dispositivos comunitarios de salud mental, rehabilitación basada en comunidad, primeros auxilios psicológicos y redes territoriales integradas. Estos materiales apoyan la participación comunitaria y los enfoques de ayuda mutua, pero</w:t>
      </w:r>
      <w:r>
        <w:t xml:space="preserve"> </w:t>
      </w:r>
      <w:r>
        <w:rPr>
          <w:bCs/>
          <w:b/>
        </w:rPr>
        <w:t xml:space="preserve">no</w:t>
      </w:r>
      <w:r>
        <w:t xml:space="preserve"> </w:t>
      </w:r>
      <w:r>
        <w:t xml:space="preserve">establecen una credencial nacional al estilo estadounidense de "Certified Peer Support Specialist". Por tanto, se deben buscar los títulos y funciones que realmente utilizan los programas colombianos, en lugar de comprar una credencial extranjera bajo el supuesto de que sea legalmente obligatoria o automáticamente reconocida.</w:t>
      </w:r>
    </w:p>
    <w:p>
      <w:pPr>
        <w:pStyle w:val="BodyText"/>
      </w:pPr>
      <w:r>
        <w:t xml:space="preserve">La preparación adyacente puede incluir salud mental comunitaria, apoyo psicosocial, primeros auxilios psicológicos, prevención del consumo de sustancias, rehabilitación comunitaria, comunicación, protección y habilidades de derivación. Ese aprendizaje debe identificarse como preparación adyacente salvo que un empleador o autoridad responsable confirme que cumple un requisito específico del puesto.</w:t>
      </w:r>
    </w:p>
    <w:bookmarkEnd w:id="37"/>
    <w:bookmarkStart w:id="38" w:name="américa-latina"/>
    <w:p>
      <w:pPr>
        <w:pStyle w:val="Heading3"/>
      </w:pPr>
      <w:r>
        <w:t xml:space="preserve">América Latina</w:t>
      </w:r>
    </w:p>
    <w:p>
      <w:pPr>
        <w:pStyle w:val="FirstParagraph"/>
      </w:pPr>
      <w:r>
        <w:t xml:space="preserve">Los principios de la OMS sobre salud mental comunitaria y apoyo entre pares pueden servir como marco conceptual, pero las credenciales no se transfieren automáticamente entre países. Verifique la legislación específica de cada país, los límites de ejercicio profesional, los requisitos del empleador, expectativas de idioma y capacitación reconocida antes de pagar.</w:t>
      </w:r>
    </w:p>
    <w:bookmarkEnd w:id="38"/>
    <w:bookmarkEnd w:id="39"/>
    <w:bookmarkStart w:id="43" w:name="X8776f0ef7b2d0561eb2c0fda239ee2e4d2168cb"/>
    <w:p>
      <w:pPr>
        <w:pStyle w:val="Heading2"/>
      </w:pPr>
      <w:r>
        <w:t xml:space="preserve">8. Capacitación gratuita o de bajo costo, financiamiento, becas y apoyo del empleador</w:t>
      </w:r>
    </w:p>
    <w:p>
      <w:pPr>
        <w:pStyle w:val="FirstParagraph"/>
      </w:pPr>
      <w:r>
        <w:t xml:space="preserve">Use una secuencia de</w:t>
      </w:r>
      <w:r>
        <w:t xml:space="preserve"> </w:t>
      </w:r>
      <w:r>
        <w:rPr>
          <w:bCs/>
          <w:b/>
        </w:rPr>
        <w:t xml:space="preserve">primero lo gratuito</w:t>
      </w:r>
      <w:r>
        <w:t xml:space="preserve">:</w:t>
      </w:r>
    </w:p>
    <w:p>
      <w:pPr>
        <w:numPr>
          <w:ilvl w:val="0"/>
          <w:numId w:val="1007"/>
        </w:numPr>
        <w:pStyle w:val="Compact"/>
      </w:pPr>
      <w:r>
        <w:t xml:space="preserve">Conozca el trabajo mediante información pública oficial, bibliotecas públicas, seminarios web, cursos abiertos y capacitación de organizaciones sin fines de lucro de buena reputación.</w:t>
      </w:r>
    </w:p>
    <w:p>
      <w:pPr>
        <w:numPr>
          <w:ilvl w:val="0"/>
          <w:numId w:val="1007"/>
        </w:numPr>
        <w:pStyle w:val="Compact"/>
      </w:pPr>
      <w:r>
        <w:t xml:space="preserve">Identifique la credencial exacta o requisito del empleador.</w:t>
      </w:r>
    </w:p>
    <w:p>
      <w:pPr>
        <w:numPr>
          <w:ilvl w:val="0"/>
          <w:numId w:val="1007"/>
        </w:numPr>
        <w:pStyle w:val="Compact"/>
      </w:pPr>
      <w:r>
        <w:t xml:space="preserve">Busque financiamiento público para formación laboral y rutas pagadas por el empleador antes de pagar personalmente.</w:t>
      </w:r>
    </w:p>
    <w:p>
      <w:pPr>
        <w:numPr>
          <w:ilvl w:val="0"/>
          <w:numId w:val="1007"/>
        </w:numPr>
        <w:pStyle w:val="Compact"/>
      </w:pPr>
      <w:r>
        <w:t xml:space="preserve">Compare instituciones públicas, centros técnicos, programas comunitarios, proveedores sin fines de lucro aprobados y aprendizaje basado en el trabajo.</w:t>
      </w:r>
    </w:p>
    <w:p>
      <w:pPr>
        <w:numPr>
          <w:ilvl w:val="0"/>
          <w:numId w:val="1007"/>
        </w:numPr>
        <w:pStyle w:val="Compact"/>
      </w:pPr>
      <w:r>
        <w:t xml:space="preserve">Pague únicamente cuando el programa produzca un siguiente paso verificado, como elegibilidad, horas reconocidas, créditos transferibles o un requisito documentado del empleador.</w:t>
      </w:r>
    </w:p>
    <w:bookmarkStart w:id="40" w:name="Xb563e3b4f0876fd0dd62baf62c4d978a41f83a0"/>
    <w:p>
      <w:pPr>
        <w:pStyle w:val="Heading3"/>
      </w:pPr>
      <w:r>
        <w:t xml:space="preserve">Rutas de financiamiento a revisar en Estados Unidos</w:t>
      </w:r>
    </w:p>
    <w:p>
      <w:pPr>
        <w:pStyle w:val="FirstParagraph"/>
      </w:pPr>
      <w:r>
        <w:t xml:space="preserve">Según elegibilidad y ubicación, examine:</w:t>
      </w:r>
    </w:p>
    <w:p>
      <w:pPr>
        <w:numPr>
          <w:ilvl w:val="0"/>
          <w:numId w:val="1008"/>
        </w:numPr>
        <w:pStyle w:val="Compact"/>
      </w:pPr>
      <w:r>
        <w:t xml:space="preserve">American Job Centers y servicios bajo Workforce Innovation and Opportunity Act;</w:t>
      </w:r>
    </w:p>
    <w:p>
      <w:pPr>
        <w:numPr>
          <w:ilvl w:val="0"/>
          <w:numId w:val="1008"/>
        </w:numPr>
        <w:pStyle w:val="Compact"/>
      </w:pPr>
      <w:r>
        <w:t xml:space="preserve">programas estatales de fuerza laboral y rehabilitación vocacional;</w:t>
      </w:r>
    </w:p>
    <w:p>
      <w:pPr>
        <w:numPr>
          <w:ilvl w:val="0"/>
          <w:numId w:val="1008"/>
        </w:numPr>
        <w:pStyle w:val="Compact"/>
      </w:pPr>
      <w:r>
        <w:t xml:space="preserve">subvenciones y becas de community colleges;</w:t>
      </w:r>
    </w:p>
    <w:p>
      <w:pPr>
        <w:numPr>
          <w:ilvl w:val="0"/>
          <w:numId w:val="1008"/>
        </w:numPr>
        <w:pStyle w:val="Compact"/>
      </w:pPr>
      <w:r>
        <w:t xml:space="preserve">elegibilidad para Pell Grant en programas e instituciones que califiquen;</w:t>
      </w:r>
    </w:p>
    <w:p>
      <w:pPr>
        <w:numPr>
          <w:ilvl w:val="0"/>
          <w:numId w:val="1008"/>
        </w:numPr>
        <w:pStyle w:val="Compact"/>
      </w:pPr>
      <w:r>
        <w:t xml:space="preserve">apoyo educativo del empleador o capacitación pagada directamente;</w:t>
      </w:r>
    </w:p>
    <w:p>
      <w:pPr>
        <w:numPr>
          <w:ilvl w:val="0"/>
          <w:numId w:val="1008"/>
        </w:numPr>
        <w:pStyle w:val="Compact"/>
      </w:pPr>
      <w:r>
        <w:t xml:space="preserve">iniciativas de desarrollo de fuerza laboral de proveedores Medicaid cuando correspondan;</w:t>
      </w:r>
    </w:p>
    <w:p>
      <w:pPr>
        <w:numPr>
          <w:ilvl w:val="0"/>
          <w:numId w:val="1008"/>
        </w:numPr>
        <w:pStyle w:val="Compact"/>
      </w:pPr>
      <w:r>
        <w:t xml:space="preserve">programas financiados por SAMHSA relacionados con recuperación o fuerza laboral cuando estén disponibles localmente; y</w:t>
      </w:r>
    </w:p>
    <w:p>
      <w:pPr>
        <w:numPr>
          <w:ilvl w:val="0"/>
          <w:numId w:val="1008"/>
        </w:numPr>
        <w:pStyle w:val="Compact"/>
      </w:pPr>
      <w:r>
        <w:t xml:space="preserve">aprendizajes aprobados u otras formas de aprendizaje basado en el trabajo.</w:t>
      </w:r>
    </w:p>
    <w:p>
      <w:pPr>
        <w:pStyle w:val="FirstParagraph"/>
      </w:pPr>
      <w:r>
        <w:t xml:space="preserve">La disponibilidad de financiamiento cambia. Verifique elegibilidad, costos cubiertos, efectos tributarios, condiciones de reembolso y si la capacitación realmente es reconocida para el puesto objetivo.</w:t>
      </w:r>
    </w:p>
    <w:bookmarkEnd w:id="40"/>
    <w:bookmarkStart w:id="41" w:name="X8d49b0afca26a64921d08afe042054de6fd2328"/>
    <w:p>
      <w:pPr>
        <w:pStyle w:val="Heading3"/>
      </w:pPr>
      <w:r>
        <w:t xml:space="preserve">Rutas de financiamiento a revisar en Canadá</w:t>
      </w:r>
    </w:p>
    <w:p>
      <w:pPr>
        <w:pStyle w:val="FirstParagraph"/>
      </w:pPr>
      <w:r>
        <w:t xml:space="preserve">Revise programas provinciales o territoriales de empleo y capacitación, instituciones públicas, organizaciones indígenas de empleo y capacitación cuando corresponda, aprendizaje pagado por el empleador, organizaciones comunitarias de salud mental, becas o apoyos económicos y aprendizaje integrado con el trabajo. Confirme la elegibilidad vigente y si el programa es reconocido por el empleador objetivo.</w:t>
      </w:r>
    </w:p>
    <w:bookmarkEnd w:id="41"/>
    <w:bookmarkStart w:id="42" w:name="Xbbbfcb3bb1bb40634227fd535d5d2ed652d8510"/>
    <w:p>
      <w:pPr>
        <w:pStyle w:val="Heading3"/>
      </w:pPr>
      <w:r>
        <w:t xml:space="preserve">Rutas de financiamiento a revisar en Colombia</w:t>
      </w:r>
    </w:p>
    <w:p>
      <w:pPr>
        <w:pStyle w:val="FirstParagraph"/>
      </w:pPr>
      <w:r>
        <w:t xml:space="preserve">Revise oportunidades de formación del SENA y otras opciones públicas, vacantes y remisiones de capacitación del Servicio Público de Empleo, iniciativas territoriales de salud y programas sociales, cajas de compensación cuando exista elegibilidad, capacitación del empleador, educación continua universitaria y organizaciones comunitarias de buena reputación. Incluso un curso gratuito o público debe evaluarse por su pertinencia para el puesto buscado.</w:t>
      </w:r>
    </w:p>
    <w:bookmarkEnd w:id="42"/>
    <w:bookmarkEnd w:id="43"/>
    <w:bookmarkStart w:id="44" w:name="Xf88262dbedc53efd3df09afb6982c4ec6ef3cbb"/>
    <w:p>
      <w:pPr>
        <w:pStyle w:val="Heading2"/>
      </w:pPr>
      <w:r>
        <w:t xml:space="preserve">9. Aprendizajes, formación basada en el trabajo y rutas de crecimiento</w:t>
      </w:r>
    </w:p>
    <w:p>
      <w:pPr>
        <w:pStyle w:val="FirstParagraph"/>
      </w:pPr>
      <w:r>
        <w:t xml:space="preserve">BLS indica que algunos trabajadores comunitarios de salud participan en aprendizajes u otros programas prácticos. Eso no significa que exista un aprendizaje de apoyo entre pares en cada estado o localidad.</w:t>
      </w:r>
    </w:p>
    <w:p>
      <w:pPr>
        <w:pStyle w:val="BodyText"/>
      </w:pPr>
      <w:r>
        <w:t xml:space="preserve">En Estados Unidos, busque en Apprenticeship.gov y en las agencias estatales de aprendizaje términos relacionados como peer support, behavioral health, community health worker, recovery support y human services. Verifique que cualquier programa que afirme ser Registered Apprenticeship esté realmente registrado e identifique al patrocinador, salario, instrucción relacionada, supervisión, progresión y credencial obtenida.</w:t>
      </w:r>
    </w:p>
    <w:p>
      <w:pPr>
        <w:pStyle w:val="BodyText"/>
      </w:pPr>
      <w:r>
        <w:t xml:space="preserve">En Canadá y América Latina, la palabra "aprendizaje" puede referirse a sistemas que no equivalen directamente al apoyo entre pares. Trate pasantías, prácticas, colocaciones supervisadas, aprendizaje-servicio, puestos de aprendiz o programas puente del empleador según su verdadero estatus legal y educativo.</w:t>
      </w:r>
    </w:p>
    <w:p>
      <w:pPr>
        <w:pStyle w:val="BodyText"/>
      </w:pPr>
      <w:r>
        <w:t xml:space="preserve">Para cualquier programa basado en el trabajo, verifique:</w:t>
      </w:r>
    </w:p>
    <w:p>
      <w:pPr>
        <w:numPr>
          <w:ilvl w:val="0"/>
          <w:numId w:val="1009"/>
        </w:numPr>
        <w:pStyle w:val="Compact"/>
      </w:pPr>
      <w:r>
        <w:t xml:space="preserve">si la participación es remunerada;</w:t>
      </w:r>
    </w:p>
    <w:p>
      <w:pPr>
        <w:numPr>
          <w:ilvl w:val="0"/>
          <w:numId w:val="1009"/>
        </w:numPr>
        <w:pStyle w:val="Compact"/>
      </w:pPr>
      <w:r>
        <w:t xml:space="preserve">condición de empleado o estudiante;</w:t>
      </w:r>
    </w:p>
    <w:p>
      <w:pPr>
        <w:numPr>
          <w:ilvl w:val="0"/>
          <w:numId w:val="1009"/>
        </w:numPr>
        <w:pStyle w:val="Compact"/>
      </w:pPr>
      <w:r>
        <w:t xml:space="preserve">compensación laboral y seguros;</w:t>
      </w:r>
    </w:p>
    <w:p>
      <w:pPr>
        <w:numPr>
          <w:ilvl w:val="0"/>
          <w:numId w:val="1009"/>
        </w:numPr>
        <w:pStyle w:val="Compact"/>
      </w:pPr>
      <w:r>
        <w:t xml:space="preserve">calificaciones de la supervisión;</w:t>
      </w:r>
    </w:p>
    <w:p>
      <w:pPr>
        <w:numPr>
          <w:ilvl w:val="0"/>
          <w:numId w:val="1009"/>
        </w:numPr>
        <w:pStyle w:val="Compact"/>
      </w:pPr>
      <w:r>
        <w:t xml:space="preserve">instrucción en aula o relacionada;</w:t>
      </w:r>
    </w:p>
    <w:p>
      <w:pPr>
        <w:numPr>
          <w:ilvl w:val="0"/>
          <w:numId w:val="1009"/>
        </w:numPr>
        <w:pStyle w:val="Compact"/>
      </w:pPr>
      <w:r>
        <w:t xml:space="preserve">horas documentadas;</w:t>
      </w:r>
    </w:p>
    <w:p>
      <w:pPr>
        <w:numPr>
          <w:ilvl w:val="0"/>
          <w:numId w:val="1009"/>
        </w:numPr>
        <w:pStyle w:val="Compact"/>
      </w:pPr>
      <w:r>
        <w:t xml:space="preserve">progresión salarial;</w:t>
      </w:r>
    </w:p>
    <w:p>
      <w:pPr>
        <w:numPr>
          <w:ilvl w:val="0"/>
          <w:numId w:val="1009"/>
        </w:numPr>
        <w:pStyle w:val="Compact"/>
      </w:pPr>
      <w:r>
        <w:t xml:space="preserve">credencial o crédito académico;</w:t>
      </w:r>
    </w:p>
    <w:p>
      <w:pPr>
        <w:numPr>
          <w:ilvl w:val="0"/>
          <w:numId w:val="1009"/>
        </w:numPr>
        <w:pStyle w:val="Compact"/>
      </w:pPr>
      <w:r>
        <w:t xml:space="preserve">portabilidad; y</w:t>
      </w:r>
    </w:p>
    <w:p>
      <w:pPr>
        <w:numPr>
          <w:ilvl w:val="0"/>
          <w:numId w:val="1009"/>
        </w:numPr>
        <w:pStyle w:val="Compact"/>
      </w:pPr>
      <w:r>
        <w:t xml:space="preserve">qué ocurre si el empleador termina el programa.</w:t>
      </w:r>
    </w:p>
    <w:bookmarkEnd w:id="44"/>
    <w:bookmarkStart w:id="45" w:name="Xb556194b94943ad77140de086790e3e5eea201c"/>
    <w:p>
      <w:pPr>
        <w:pStyle w:val="Heading2"/>
      </w:pPr>
      <w:r>
        <w:t xml:space="preserve">10. Aprendizaje financiado por el empleador y acuerdos de reembolso</w:t>
      </w:r>
    </w:p>
    <w:p>
      <w:pPr>
        <w:pStyle w:val="FirstParagraph"/>
      </w:pPr>
      <w:r>
        <w:t xml:space="preserve">Los empleadores pueden ofrecer capacitación pagada directamente, reembolso, costos de examen, tiempo de estudio pagado, becas, mentoría o ayuda educativa condonable.</w:t>
      </w:r>
    </w:p>
    <w:p>
      <w:pPr>
        <w:pStyle w:val="BodyText"/>
      </w:pPr>
      <w:r>
        <w:t xml:space="preserve">Antes de aceptar apoyo, obtenga por escrito condiciones que expliquen:</w:t>
      </w:r>
    </w:p>
    <w:p>
      <w:pPr>
        <w:numPr>
          <w:ilvl w:val="0"/>
          <w:numId w:val="1010"/>
        </w:numPr>
        <w:pStyle w:val="Compact"/>
      </w:pPr>
      <w:r>
        <w:t xml:space="preserve">qué está cubierto y el monto máximo;</w:t>
      </w:r>
    </w:p>
    <w:p>
      <w:pPr>
        <w:numPr>
          <w:ilvl w:val="0"/>
          <w:numId w:val="1010"/>
        </w:numPr>
        <w:pStyle w:val="Compact"/>
      </w:pPr>
      <w:r>
        <w:t xml:space="preserve">pago directo frente a reembolso;</w:t>
      </w:r>
    </w:p>
    <w:p>
      <w:pPr>
        <w:numPr>
          <w:ilvl w:val="0"/>
          <w:numId w:val="1010"/>
        </w:numPr>
        <w:pStyle w:val="Compact"/>
      </w:pPr>
      <w:r>
        <w:t xml:space="preserve">requisitos de nota, examen, asistencia o desempeño;</w:t>
      </w:r>
    </w:p>
    <w:p>
      <w:pPr>
        <w:numPr>
          <w:ilvl w:val="0"/>
          <w:numId w:val="1010"/>
        </w:numPr>
        <w:pStyle w:val="Compact"/>
      </w:pPr>
      <w:r>
        <w:t xml:space="preserve">período de empleo obligatorio;</w:t>
      </w:r>
    </w:p>
    <w:p>
      <w:pPr>
        <w:numPr>
          <w:ilvl w:val="0"/>
          <w:numId w:val="1010"/>
        </w:numPr>
        <w:pStyle w:val="Compact"/>
      </w:pPr>
      <w:r>
        <w:t xml:space="preserve">cuándo comienza el período de permanencia;</w:t>
      </w:r>
    </w:p>
    <w:p>
      <w:pPr>
        <w:numPr>
          <w:ilvl w:val="0"/>
          <w:numId w:val="1010"/>
        </w:numPr>
        <w:pStyle w:val="Compact"/>
      </w:pPr>
      <w:r>
        <w:t xml:space="preserve">reglas de reembolso proporcional o total;</w:t>
      </w:r>
    </w:p>
    <w:p>
      <w:pPr>
        <w:numPr>
          <w:ilvl w:val="0"/>
          <w:numId w:val="1010"/>
        </w:numPr>
        <w:pStyle w:val="Compact"/>
      </w:pPr>
      <w:r>
        <w:t xml:space="preserve">tratamiento de despido, eliminación del puesto, cierre, discapacidad, activación militar, jubilación, fallecimiento y traslado ordenado por el empleador;</w:t>
      </w:r>
    </w:p>
    <w:p>
      <w:pPr>
        <w:numPr>
          <w:ilvl w:val="0"/>
          <w:numId w:val="1010"/>
        </w:numPr>
        <w:pStyle w:val="Compact"/>
      </w:pPr>
      <w:r>
        <w:t xml:space="preserve">si las deducciones de nómina o del salario final están autorizadas y son legales; y</w:t>
      </w:r>
    </w:p>
    <w:p>
      <w:pPr>
        <w:numPr>
          <w:ilvl w:val="0"/>
          <w:numId w:val="1010"/>
        </w:numPr>
        <w:pStyle w:val="Compact"/>
      </w:pPr>
      <w:r>
        <w:t xml:space="preserve">quién conserva la propiedad de historiales académicos, registros de capacitación, certificados y documentación de credenciales.</w:t>
      </w:r>
    </w:p>
    <w:p>
      <w:pPr>
        <w:pStyle w:val="FirstParagraph"/>
      </w:pPr>
      <w:r>
        <w:t xml:space="preserve">No asuma que el reembolso se elimina automáticamente después de un despido o una reestructuración. Obtenga la política o acuerdo aplicable y busque asesoría calificada cuando las consecuencias sean importantes.</w:t>
      </w:r>
    </w:p>
    <w:bookmarkEnd w:id="45"/>
    <w:bookmarkStart w:id="46" w:name="Xe0a54319314c4b1981d8fd72d94769778715214"/>
    <w:p>
      <w:pPr>
        <w:pStyle w:val="Heading2"/>
      </w:pPr>
      <w:r>
        <w:t xml:space="preserve">11. Accesibilidad e inclusión</w:t>
      </w:r>
    </w:p>
    <w:p>
      <w:pPr>
        <w:pStyle w:val="FirstParagraph"/>
      </w:pPr>
      <w:r>
        <w:t xml:space="preserve">La accesibilidad debe verificarse a lo largo de toda la ruta, no solamente en la admisión.</w:t>
      </w:r>
    </w:p>
    <w:p>
      <w:pPr>
        <w:pStyle w:val="BodyText"/>
      </w:pPr>
      <w:r>
        <w:t xml:space="preserve">Las necesidades pueden incluir documentos accesibles, compatibilidad con lectores de pantalla, subtítulos, intérpretes, áreas silenciosas para examen, horarios flexibles, equipo ergonómico, métodos alternativos de capacitación, acceso de movilidad, transporte accesible, apoyo lingüístico y adaptaciones relacionadas con discapacidad.</w:t>
      </w:r>
    </w:p>
    <w:p>
      <w:pPr>
        <w:pStyle w:val="BodyText"/>
      </w:pPr>
      <w:r>
        <w:t xml:space="preserve">Una institución educativa, empleador, organismo de certificación, proveedor de exámenes, sitio de práctica, patrocinador de aprendizaje y agencia pública pueden tener procesos separados de adaptación. Pregunte con suficiente anticipación para entender requisitos documentales y vías de apelación, evitando revelar información innecesaria más allá de lo que exija el proceso.</w:t>
      </w:r>
    </w:p>
    <w:bookmarkEnd w:id="46"/>
    <w:bookmarkStart w:id="47" w:name="Xf3665473d8c5bdfe957e345b4943753d87661df"/>
    <w:p>
      <w:pPr>
        <w:pStyle w:val="Heading2"/>
      </w:pPr>
      <w:r>
        <w:t xml:space="preserve">12. Privacidad, ciberseguridad e IA ética</w:t>
      </w:r>
    </w:p>
    <w:p>
      <w:pPr>
        <w:pStyle w:val="FirstParagraph"/>
      </w:pPr>
      <w:r>
        <w:t xml:space="preserve">Use únicamente sistemas, dispositivos, cuentas, almacenamiento, mensajería y herramientas de IA aprobados por el empleador. Nunca copie información de salud protegida, información confidencial de participantes, notas de casos, credenciales, datos de verificación de antecedentes o material propietario del empleador en un servicio público de IA, salvo que el empleador haya autorizado expresamente el sistema y el uso de esos datos.</w:t>
      </w:r>
    </w:p>
    <w:p>
      <w:pPr>
        <w:pStyle w:val="BodyText"/>
      </w:pPr>
      <w:r>
        <w:t xml:space="preserve">Utilice autenticación multifactor cuando sea exigida o esté disponible. Proteja contraseñas e identificadores personales. Registre únicamente la información necesaria para fines legítimos de trabajo.</w:t>
      </w:r>
    </w:p>
    <w:p>
      <w:pPr>
        <w:pStyle w:val="BodyText"/>
      </w:pPr>
      <w:r>
        <w:t xml:space="preserve">La IA puede apoyar redacción genérica, simulaciones de capacitación con datos ficticios u organización de recursos cuando esté permitido, pero no debe inventar servicios, contactos con participantes, credenciales, conclusiones clínicas ni documentación. Verifique la información factual generada por IA antes de utilizarla.</w:t>
      </w:r>
    </w:p>
    <w:bookmarkEnd w:id="47"/>
    <w:bookmarkStart w:id="48" w:name="Xd1e64fa1a67ceb7a50be34fc75be90de800a4cf"/>
    <w:p>
      <w:pPr>
        <w:pStyle w:val="Heading2"/>
      </w:pPr>
      <w:r>
        <w:t xml:space="preserve">13. Construya evidencia de capacidad</w:t>
      </w:r>
    </w:p>
    <w:p>
      <w:pPr>
        <w:pStyle w:val="FirstParagraph"/>
      </w:pPr>
      <w:r>
        <w:t xml:space="preserve">El trabajo de portafolio ético puede demostrar criterio sin exponer información privada. Ejemplos:</w:t>
      </w:r>
    </w:p>
    <w:p>
      <w:pPr>
        <w:numPr>
          <w:ilvl w:val="0"/>
          <w:numId w:val="1011"/>
        </w:numPr>
        <w:pStyle w:val="Compact"/>
      </w:pPr>
      <w:r>
        <w:t xml:space="preserve">un mapa ficticio de recursos comunitarios que separe servicios de emergencia y no emergencia;</w:t>
      </w:r>
    </w:p>
    <w:p>
      <w:pPr>
        <w:numPr>
          <w:ilvl w:val="0"/>
          <w:numId w:val="1011"/>
        </w:numPr>
        <w:pStyle w:val="Compact"/>
      </w:pPr>
      <w:r>
        <w:t xml:space="preserve">un plan de límites y bienestar;</w:t>
      </w:r>
    </w:p>
    <w:p>
      <w:pPr>
        <w:numPr>
          <w:ilvl w:val="0"/>
          <w:numId w:val="1011"/>
        </w:numPr>
        <w:pStyle w:val="Compact"/>
      </w:pPr>
      <w:r>
        <w:t xml:space="preserve">una nota de progreso objetiva de ejemplo con información ficticia;</w:t>
      </w:r>
    </w:p>
    <w:p>
      <w:pPr>
        <w:numPr>
          <w:ilvl w:val="0"/>
          <w:numId w:val="1011"/>
        </w:numPr>
        <w:pStyle w:val="Compact"/>
      </w:pPr>
      <w:r>
        <w:t xml:space="preserve">una reflexión de juego de roles que muestre cuándo escuchar, cuándo compartir experiencia vivida y cuándo escalar;</w:t>
      </w:r>
    </w:p>
    <w:p>
      <w:pPr>
        <w:numPr>
          <w:ilvl w:val="0"/>
          <w:numId w:val="1011"/>
        </w:numPr>
        <w:pStyle w:val="Compact"/>
      </w:pPr>
      <w:r>
        <w:t xml:space="preserve">una revisión de accesibilidad de recursos públicos de recuperación; y</w:t>
      </w:r>
    </w:p>
    <w:p>
      <w:pPr>
        <w:numPr>
          <w:ilvl w:val="0"/>
          <w:numId w:val="1011"/>
        </w:numPr>
        <w:pStyle w:val="Compact"/>
      </w:pPr>
      <w:r>
        <w:t xml:space="preserve">una comparación de dos rutas de capacitación mediante criterios documentados de costo, reconocimiento y portabilidad.</w:t>
      </w:r>
    </w:p>
    <w:p>
      <w:pPr>
        <w:pStyle w:val="FirstParagraph"/>
      </w:pPr>
      <w:r>
        <w:t xml:space="preserve">Explique el problema, su función, el proceso, los controles aplicados, el resultado y lo aprendido. Nunca utilice información real de participantes ni presente logros de equipo como trabajo individual.</w:t>
      </w:r>
    </w:p>
    <w:bookmarkEnd w:id="48"/>
    <w:bookmarkStart w:id="49" w:name="X4d6f3049884af7b8102185f3a1021572a83e00b"/>
    <w:p>
      <w:pPr>
        <w:pStyle w:val="Heading2"/>
      </w:pPr>
      <w:r>
        <w:t xml:space="preserve">14. Preparación para entrevistas</w:t>
      </w:r>
    </w:p>
    <w:p>
      <w:pPr>
        <w:pStyle w:val="FirstParagraph"/>
      </w:pPr>
      <w:r>
        <w:t xml:space="preserve">Prepare ejemplos breves para preguntas como:</w:t>
      </w:r>
    </w:p>
    <w:p>
      <w:pPr>
        <w:numPr>
          <w:ilvl w:val="0"/>
          <w:numId w:val="1012"/>
        </w:numPr>
        <w:pStyle w:val="Compact"/>
      </w:pPr>
      <w:r>
        <w:t xml:space="preserve">¿Cómo decide si una autorrevelación ayudará a la persona atendida?</w:t>
      </w:r>
    </w:p>
    <w:p>
      <w:pPr>
        <w:numPr>
          <w:ilvl w:val="0"/>
          <w:numId w:val="1012"/>
        </w:numPr>
        <w:pStyle w:val="Compact"/>
      </w:pPr>
      <w:r>
        <w:t xml:space="preserve">¿Cómo mantiene la mutualidad y al mismo tiempo cumple requisitos de documentación y seguridad?</w:t>
      </w:r>
    </w:p>
    <w:p>
      <w:pPr>
        <w:numPr>
          <w:ilvl w:val="0"/>
          <w:numId w:val="1012"/>
        </w:numPr>
        <w:pStyle w:val="Compact"/>
      </w:pPr>
      <w:r>
        <w:t xml:space="preserve">¿Qué haría si una persona participante expresa intención inmediata de hacerse daño?</w:t>
      </w:r>
    </w:p>
    <w:p>
      <w:pPr>
        <w:numPr>
          <w:ilvl w:val="0"/>
          <w:numId w:val="1012"/>
        </w:numPr>
        <w:pStyle w:val="Compact"/>
      </w:pPr>
      <w:r>
        <w:t xml:space="preserve">¿Cómo responde cuando una persona participante rechaza una opción que usted considera útil?</w:t>
      </w:r>
    </w:p>
    <w:p>
      <w:pPr>
        <w:numPr>
          <w:ilvl w:val="0"/>
          <w:numId w:val="1012"/>
        </w:numPr>
        <w:pStyle w:val="Compact"/>
      </w:pPr>
      <w:r>
        <w:t xml:space="preserve">¿Cómo protege su propio bienestar al trabajar con situaciones emocionalmente intensas?</w:t>
      </w:r>
    </w:p>
    <w:p>
      <w:pPr>
        <w:numPr>
          <w:ilvl w:val="0"/>
          <w:numId w:val="1012"/>
        </w:numPr>
        <w:pStyle w:val="Compact"/>
      </w:pPr>
      <w:r>
        <w:t xml:space="preserve">¿Cómo maneja información que desconoce o una solicitud fuera de su alcance?</w:t>
      </w:r>
    </w:p>
    <w:p>
      <w:pPr>
        <w:pStyle w:val="FirstParagraph"/>
      </w:pPr>
      <w:r>
        <w:t xml:space="preserve">Las respuestas sólidas muestran la situación, su responsabilidad, la acción tomada, el límite o control aplicado y el resultado o aprendizaje. No invente experiencia vivida, credenciales, experiencia en crisis ni resultados.</w:t>
      </w:r>
    </w:p>
    <w:bookmarkEnd w:id="49"/>
    <w:bookmarkStart w:id="53" w:name="X7ac1a52aed9056972e2e63d2c4fd437194fff6b"/>
    <w:p>
      <w:pPr>
        <w:pStyle w:val="Heading2"/>
      </w:pPr>
      <w:r>
        <w:t xml:space="preserve">15. Primeros 30, 60 y 90 días</w:t>
      </w:r>
    </w:p>
    <w:bookmarkStart w:id="50" w:name="primeros-30-días"/>
    <w:p>
      <w:pPr>
        <w:pStyle w:val="Heading3"/>
      </w:pPr>
      <w:r>
        <w:t xml:space="preserve">Primeros 30 días</w:t>
      </w:r>
    </w:p>
    <w:p>
      <w:pPr>
        <w:pStyle w:val="FirstParagraph"/>
      </w:pPr>
      <w:r>
        <w:t xml:space="preserve">Aprenda los límites de la función, supervisión, recursos locales, estándares de documentación, privacidad, procedimientos de seguridad, adaptaciones, escalamiento de emergencias, asistencia y expectativas de calidad. Aclare qué espera el empleador que haga de forma independiente y qué requiere aprobación.</w:t>
      </w:r>
    </w:p>
    <w:bookmarkEnd w:id="50"/>
    <w:bookmarkStart w:id="51" w:name="días-3160"/>
    <w:p>
      <w:pPr>
        <w:pStyle w:val="Heading3"/>
      </w:pPr>
      <w:r>
        <w:t xml:space="preserve">Días 31–60</w:t>
      </w:r>
    </w:p>
    <w:p>
      <w:pPr>
        <w:pStyle w:val="FirstParagraph"/>
      </w:pPr>
      <w:r>
        <w:t xml:space="preserve">Realice trabajo rutinario con la revisión apropiada, mejore la calidad de la documentación, solicite retroalimentación, practique navegación de recursos e identifique situaciones repetitivas que requieran aclaración o escalamiento.</w:t>
      </w:r>
    </w:p>
    <w:bookmarkEnd w:id="51"/>
    <w:bookmarkStart w:id="52" w:name="días-6190"/>
    <w:p>
      <w:pPr>
        <w:pStyle w:val="Heading3"/>
      </w:pPr>
      <w:r>
        <w:t xml:space="preserve">Días 61–90</w:t>
      </w:r>
    </w:p>
    <w:p>
      <w:pPr>
        <w:pStyle w:val="FirstParagraph"/>
      </w:pPr>
      <w:r>
        <w:t xml:space="preserve">Maneje una carga rutinaria más amplia dentro de su autoridad, identifique una mejora basada en evidencia, documente metas de desarrollo profesional y verifique el siguiente paso de capacitación o credencial antes de pagarlo.</w:t>
      </w:r>
    </w:p>
    <w:bookmarkEnd w:id="52"/>
    <w:bookmarkEnd w:id="53"/>
    <w:bookmarkStart w:id="54" w:name="Xb3dbede1e1e42d7f6b3a2a4b52181f53c9ea050"/>
    <w:p>
      <w:pPr>
        <w:pStyle w:val="Heading2"/>
      </w:pPr>
      <w:r>
        <w:t xml:space="preserve">16. Avance, portabilidad y planificación de salida</w:t>
      </w:r>
    </w:p>
    <w:p>
      <w:pPr>
        <w:pStyle w:val="FirstParagraph"/>
      </w:pPr>
      <w:r>
        <w:t xml:space="preserve">Las rutas posibles pueden incluir funciones senior entre pares, trabajo de apoyo familiar entre pares, acompañamiento de recuperación, trabajo comunitario de salud, alcance comunitario, coordinación de programas, supervisión cuando esté permitida, capacitación, mejora de calidad o educación adicional en salud conductual y servicios humanos.</w:t>
      </w:r>
    </w:p>
    <w:p>
      <w:pPr>
        <w:pStyle w:val="BodyText"/>
      </w:pPr>
      <w:r>
        <w:t xml:space="preserve">No asuma que la experiencia como trabajador par le habilita automáticamente para profesiones reguladas como consejería, psicología, trabajo social, enfermería u otras. Esas profesiones tienen requisitos propios de educación y licenciamiento.</w:t>
      </w:r>
    </w:p>
    <w:p>
      <w:pPr>
        <w:pStyle w:val="BodyText"/>
      </w:pPr>
      <w:r>
        <w:t xml:space="preserve">Conserve copias de registros de capacitación, certificaciones, educación continua, evaluaciones, horas supervisadas cuando corresponda, acuerdos de reembolso, decisiones sobre adaptaciones y registros de empleo. Antes de mudarse, verifique la portabilidad de credenciales en lugar de asumir reciprocidad.</w:t>
      </w:r>
    </w:p>
    <w:bookmarkEnd w:id="54"/>
    <w:bookmarkStart w:id="55" w:name="Xf6e1707d08fccb45828224a23c5dcf23bb4e6c0"/>
    <w:p>
      <w:pPr>
        <w:pStyle w:val="Heading2"/>
      </w:pPr>
      <w:r>
        <w:t xml:space="preserve">17. Antes de inscribirse, pagar o firmar</w:t>
      </w:r>
    </w:p>
    <w:p>
      <w:pPr>
        <w:pStyle w:val="FirstParagraph"/>
      </w:pPr>
      <w:r>
        <w:t xml:space="preserve">Confirme por escrito:</w:t>
      </w:r>
    </w:p>
    <w:p>
      <w:pPr>
        <w:numPr>
          <w:ilvl w:val="0"/>
          <w:numId w:val="1013"/>
        </w:numPr>
        <w:pStyle w:val="Compact"/>
      </w:pPr>
      <w:r>
        <w:t xml:space="preserve">requisitos legales, del pagador, de certificación y del empleador;</w:t>
      </w:r>
    </w:p>
    <w:p>
      <w:pPr>
        <w:numPr>
          <w:ilvl w:val="0"/>
          <w:numId w:val="1013"/>
        </w:numPr>
        <w:pStyle w:val="Compact"/>
      </w:pPr>
      <w:r>
        <w:t xml:space="preserve">costo total de la ruta;</w:t>
      </w:r>
    </w:p>
    <w:p>
      <w:pPr>
        <w:numPr>
          <w:ilvl w:val="0"/>
          <w:numId w:val="1013"/>
        </w:numPr>
        <w:pStyle w:val="Compact"/>
      </w:pPr>
      <w:r>
        <w:t xml:space="preserve">aprobación del proveedor de capacitación o acreditación institucional cuando corresponda;</w:t>
      </w:r>
    </w:p>
    <w:p>
      <w:pPr>
        <w:numPr>
          <w:ilvl w:val="0"/>
          <w:numId w:val="1013"/>
        </w:numPr>
        <w:pStyle w:val="Compact"/>
      </w:pPr>
      <w:r>
        <w:t xml:space="preserve">elegibilidad para examen o credencial;</w:t>
      </w:r>
    </w:p>
    <w:p>
      <w:pPr>
        <w:numPr>
          <w:ilvl w:val="0"/>
          <w:numId w:val="1013"/>
        </w:numPr>
        <w:pStyle w:val="Compact"/>
      </w:pPr>
      <w:r>
        <w:t xml:space="preserve">si la colocación está garantizada, es competitiva o depende del estudiante;</w:t>
      </w:r>
    </w:p>
    <w:p>
      <w:pPr>
        <w:numPr>
          <w:ilvl w:val="0"/>
          <w:numId w:val="1013"/>
        </w:numPr>
        <w:pStyle w:val="Compact"/>
      </w:pPr>
      <w:r>
        <w:t xml:space="preserve">reglas de transferencia y portabilidad;</w:t>
      </w:r>
    </w:p>
    <w:p>
      <w:pPr>
        <w:numPr>
          <w:ilvl w:val="0"/>
          <w:numId w:val="1013"/>
        </w:numPr>
        <w:pStyle w:val="Compact"/>
      </w:pPr>
      <w:r>
        <w:t xml:space="preserve">procedimientos de reembolso y reclamación;</w:t>
      </w:r>
    </w:p>
    <w:p>
      <w:pPr>
        <w:numPr>
          <w:ilvl w:val="0"/>
          <w:numId w:val="1013"/>
        </w:numPr>
        <w:pStyle w:val="Compact"/>
      </w:pPr>
      <w:r>
        <w:t xml:space="preserve">financiamiento del empleador y condiciones de reembolso;</w:t>
      </w:r>
    </w:p>
    <w:p>
      <w:pPr>
        <w:numPr>
          <w:ilvl w:val="0"/>
          <w:numId w:val="1013"/>
        </w:numPr>
        <w:pStyle w:val="Compact"/>
      </w:pPr>
      <w:r>
        <w:t xml:space="preserve">impacto de horario, transporte, accesibilidad, seguridad y responsabilidades de cuidado; y</w:t>
      </w:r>
    </w:p>
    <w:p>
      <w:pPr>
        <w:numPr>
          <w:ilvl w:val="0"/>
          <w:numId w:val="1013"/>
        </w:numPr>
        <w:pStyle w:val="Compact"/>
      </w:pPr>
      <w:r>
        <w:t xml:space="preserve">qué conserva y qué debe si no logra terminar.</w:t>
      </w:r>
    </w:p>
    <w:bookmarkEnd w:id="55"/>
    <w:bookmarkStart w:id="56" w:name="X8c12f5140a47c4d6b341f89bdb280eae8841336"/>
    <w:p>
      <w:pPr>
        <w:pStyle w:val="Heading2"/>
      </w:pPr>
      <w:r>
        <w:t xml:space="preserve">18. Plan de acción de doce semanas</w:t>
      </w:r>
    </w:p>
    <w:p>
      <w:pPr>
        <w:pStyle w:val="FirstParagraph"/>
      </w:pPr>
      <w:r>
        <w:rPr>
          <w:bCs/>
          <w:b/>
        </w:rPr>
        <w:t xml:space="preserve">Semanas 1–2:</w:t>
      </w:r>
      <w:r>
        <w:t xml:space="preserve"> </w:t>
      </w:r>
      <w:r>
        <w:t xml:space="preserve">Defina fortalezas, restricciones, necesidades de acceso, límites de recuperación/bienestar y condiciones laborales no negociables.</w:t>
      </w:r>
    </w:p>
    <w:p>
      <w:pPr>
        <w:pStyle w:val="BodyText"/>
      </w:pPr>
      <w:r>
        <w:rPr>
          <w:bCs/>
          <w:b/>
        </w:rPr>
        <w:t xml:space="preserve">Semanas 3–4:</w:t>
      </w:r>
      <w:r>
        <w:t xml:space="preserve"> </w:t>
      </w:r>
      <w:r>
        <w:t xml:space="preserve">Estudie funciones, entornos, supervisión, documentación, seguridad, privacidad y límites éticos.</w:t>
      </w:r>
    </w:p>
    <w:p>
      <w:pPr>
        <w:pStyle w:val="BodyText"/>
      </w:pPr>
      <w:r>
        <w:rPr>
          <w:bCs/>
          <w:b/>
        </w:rPr>
        <w:t xml:space="preserve">Semanas 5–6:</w:t>
      </w:r>
      <w:r>
        <w:t xml:space="preserve"> </w:t>
      </w:r>
      <w:r>
        <w:t xml:space="preserve">Revise vacantes locales vigentes, títulos exactos, salarios, beneficios, horarios y requisitos de credenciales.</w:t>
      </w:r>
    </w:p>
    <w:p>
      <w:pPr>
        <w:pStyle w:val="BodyText"/>
      </w:pPr>
      <w:r>
        <w:rPr>
          <w:bCs/>
          <w:b/>
        </w:rPr>
        <w:t xml:space="preserve">Semanas 7–8:</w:t>
      </w:r>
      <w:r>
        <w:t xml:space="preserve"> </w:t>
      </w:r>
      <w:r>
        <w:t xml:space="preserve">Compare capacitación aprobada, opciones públicas o gratuitas primero, rutas basadas en el trabajo, costos totales y portabilidad.</w:t>
      </w:r>
    </w:p>
    <w:p>
      <w:pPr>
        <w:pStyle w:val="BodyText"/>
      </w:pPr>
      <w:r>
        <w:rPr>
          <w:bCs/>
          <w:b/>
        </w:rPr>
        <w:t xml:space="preserve">Semanas 9–10:</w:t>
      </w:r>
      <w:r>
        <w:t xml:space="preserve"> </w:t>
      </w:r>
      <w:r>
        <w:t xml:space="preserve">Verifique financiamiento, becas, apoyo del empleador, preguntas tributarias, acuerdos de reembolso, adaptaciones y consecuencias de salida.</w:t>
      </w:r>
    </w:p>
    <w:p>
      <w:pPr>
        <w:pStyle w:val="BodyText"/>
      </w:pPr>
      <w:r>
        <w:rPr>
          <w:bCs/>
          <w:b/>
        </w:rPr>
        <w:t xml:space="preserve">Semanas 11–12:</w:t>
      </w:r>
      <w:r>
        <w:t xml:space="preserve"> </w:t>
      </w:r>
      <w:r>
        <w:t xml:space="preserve">Complete muestras de trabajo con datos ficticios o públicos, prepare evidencia para su currículum e historias de entrevista y decida si continuar, pausar o elegir una ruta relacionada.</w:t>
      </w:r>
    </w:p>
    <w:bookmarkEnd w:id="56"/>
    <w:bookmarkStart w:id="59" w:name="X3069b4f1ce8d333745367cf6f4caea139db6767"/>
    <w:p>
      <w:pPr>
        <w:pStyle w:val="Heading2"/>
      </w:pPr>
      <w:r>
        <w:t xml:space="preserve">19. Hojas de decisión y costos</w:t>
      </w:r>
    </w:p>
    <w:bookmarkStart w:id="57" w:name="matriz-de-decisión-profesional"/>
    <w:p>
      <w:pPr>
        <w:pStyle w:val="Heading3"/>
      </w:pPr>
      <w:r>
        <w:t xml:space="preserve">Matriz de decisión profesional</w:t>
      </w:r>
    </w:p>
    <w:p>
      <w:pPr>
        <w:pStyle w:val="FirstParagraph"/>
      </w:pPr>
      <w:r>
        <w:t xml:space="preserve">Marque cada punto como</w:t>
      </w:r>
      <w:r>
        <w:t xml:space="preserve"> </w:t>
      </w:r>
      <w:r>
        <w:rPr>
          <w:bCs/>
          <w:b/>
        </w:rPr>
        <w:t xml:space="preserve">Sí</w:t>
      </w:r>
      <w:r>
        <w:t xml:space="preserve">,</w:t>
      </w:r>
      <w:r>
        <w:t xml:space="preserve"> </w:t>
      </w:r>
      <w:r>
        <w:rPr>
          <w:bCs/>
          <w:b/>
        </w:rPr>
        <w:t xml:space="preserve">Aún no</w:t>
      </w:r>
      <w:r>
        <w:t xml:space="preserve"> </w:t>
      </w:r>
      <w:r>
        <w:t xml:space="preserve">o</w:t>
      </w:r>
      <w:r>
        <w:t xml:space="preserve"> </w:t>
      </w:r>
      <w:r>
        <w:rPr>
          <w:bCs/>
          <w:b/>
        </w:rPr>
        <w:t xml:space="preserve">Preocupación importante</w:t>
      </w:r>
      <w:r>
        <w:t xml:space="preserve">:</w:t>
      </w:r>
    </w:p>
    <w:p>
      <w:pPr>
        <w:numPr>
          <w:ilvl w:val="0"/>
          <w:numId w:val="1014"/>
        </w:numPr>
        <w:pStyle w:val="Compact"/>
      </w:pPr>
      <w:r>
        <w:t xml:space="preserve">Comprendo el trabajo real y he probado mi interés.</w:t>
      </w:r>
    </w:p>
    <w:p>
      <w:pPr>
        <w:numPr>
          <w:ilvl w:val="0"/>
          <w:numId w:val="1014"/>
        </w:numPr>
        <w:pStyle w:val="Compact"/>
      </w:pPr>
      <w:r>
        <w:t xml:space="preserve">Puedo mantener límites entre pares y proteger mi propio bienestar.</w:t>
      </w:r>
    </w:p>
    <w:p>
      <w:pPr>
        <w:numPr>
          <w:ilvl w:val="0"/>
          <w:numId w:val="1014"/>
        </w:numPr>
        <w:pStyle w:val="Compact"/>
      </w:pPr>
      <w:r>
        <w:t xml:space="preserve">Verifiqué los requisitos locales de credenciales y del empleador.</w:t>
      </w:r>
    </w:p>
    <w:p>
      <w:pPr>
        <w:numPr>
          <w:ilvl w:val="0"/>
          <w:numId w:val="1014"/>
        </w:numPr>
        <w:pStyle w:val="Compact"/>
      </w:pPr>
      <w:r>
        <w:t xml:space="preserve">Verifiqué salarios y beneficios locales actuales.</w:t>
      </w:r>
    </w:p>
    <w:p>
      <w:pPr>
        <w:numPr>
          <w:ilvl w:val="0"/>
          <w:numId w:val="1014"/>
        </w:numPr>
        <w:pStyle w:val="Compact"/>
      </w:pPr>
      <w:r>
        <w:t xml:space="preserve">La ruta completa es asequible sin deuda dañina.</w:t>
      </w:r>
    </w:p>
    <w:p>
      <w:pPr>
        <w:numPr>
          <w:ilvl w:val="0"/>
          <w:numId w:val="1014"/>
        </w:numPr>
        <w:pStyle w:val="Compact"/>
      </w:pPr>
      <w:r>
        <w:t xml:space="preserve">Comprendo las condiciones de reembolso del empleador.</w:t>
      </w:r>
    </w:p>
    <w:p>
      <w:pPr>
        <w:numPr>
          <w:ilvl w:val="0"/>
          <w:numId w:val="1014"/>
        </w:numPr>
        <w:pStyle w:val="Compact"/>
      </w:pPr>
      <w:r>
        <w:t xml:space="preserve">Toda la ruta es accesible para mí.</w:t>
      </w:r>
    </w:p>
    <w:p>
      <w:pPr>
        <w:numPr>
          <w:ilvl w:val="0"/>
          <w:numId w:val="1014"/>
        </w:numPr>
        <w:pStyle w:val="Compact"/>
      </w:pPr>
      <w:r>
        <w:t xml:space="preserve">El horario, viajes e impacto familiar son manejables.</w:t>
      </w:r>
    </w:p>
    <w:p>
      <w:pPr>
        <w:numPr>
          <w:ilvl w:val="0"/>
          <w:numId w:val="1014"/>
        </w:numPr>
        <w:pStyle w:val="Compact"/>
      </w:pPr>
      <w:r>
        <w:t xml:space="preserve">Comprendo lo que la credencial me permitirá y no me permitirá hacer.</w:t>
      </w:r>
    </w:p>
    <w:p>
      <w:pPr>
        <w:numPr>
          <w:ilvl w:val="0"/>
          <w:numId w:val="1014"/>
        </w:numPr>
        <w:pStyle w:val="Compact"/>
      </w:pPr>
      <w:r>
        <w:t xml:space="preserve">Tengo un plan de avance y salida.</w:t>
      </w:r>
    </w:p>
    <w:bookmarkEnd w:id="57"/>
    <w:bookmarkStart w:id="58" w:name="hoja-de-costos"/>
    <w:p>
      <w:pPr>
        <w:pStyle w:val="Heading3"/>
      </w:pPr>
      <w:r>
        <w:t xml:space="preserve">Hoja de costos</w:t>
      </w:r>
    </w:p>
    <w:p>
      <w:pPr>
        <w:pStyle w:val="FirstParagraph"/>
      </w:pPr>
      <w:r>
        <w:t xml:space="preserve">Registre una estimación, quién podría pagar y la fuente/fecha verificada para:</w:t>
      </w:r>
    </w:p>
    <w:p>
      <w:pPr>
        <w:numPr>
          <w:ilvl w:val="0"/>
          <w:numId w:val="1015"/>
        </w:numPr>
        <w:pStyle w:val="Compact"/>
      </w:pPr>
      <w:r>
        <w:t xml:space="preserve">matrícula y aranceles;</w:t>
      </w:r>
    </w:p>
    <w:p>
      <w:pPr>
        <w:numPr>
          <w:ilvl w:val="0"/>
          <w:numId w:val="1015"/>
        </w:numPr>
        <w:pStyle w:val="Compact"/>
      </w:pPr>
      <w:r>
        <w:t xml:space="preserve">libros y materiales de capacitación;</w:t>
      </w:r>
    </w:p>
    <w:p>
      <w:pPr>
        <w:numPr>
          <w:ilvl w:val="0"/>
          <w:numId w:val="1015"/>
        </w:numPr>
        <w:pStyle w:val="Compact"/>
      </w:pPr>
      <w:r>
        <w:t xml:space="preserve">tecnología y equipo;</w:t>
      </w:r>
    </w:p>
    <w:p>
      <w:pPr>
        <w:numPr>
          <w:ilvl w:val="0"/>
          <w:numId w:val="1015"/>
        </w:numPr>
        <w:pStyle w:val="Compact"/>
      </w:pPr>
      <w:r>
        <w:t xml:space="preserve">exámenes, certificación, renovaciones y educación continua;</w:t>
      </w:r>
    </w:p>
    <w:p>
      <w:pPr>
        <w:numPr>
          <w:ilvl w:val="0"/>
          <w:numId w:val="1015"/>
        </w:numPr>
        <w:pStyle w:val="Compact"/>
      </w:pPr>
      <w:r>
        <w:t xml:space="preserve">verificación de antecedentes u otra documentación requerida;</w:t>
      </w:r>
    </w:p>
    <w:p>
      <w:pPr>
        <w:numPr>
          <w:ilvl w:val="0"/>
          <w:numId w:val="1015"/>
        </w:numPr>
        <w:pStyle w:val="Compact"/>
      </w:pPr>
      <w:r>
        <w:t xml:space="preserve">viajes, estacionamiento, vivienda y alimentación;</w:t>
      </w:r>
    </w:p>
    <w:p>
      <w:pPr>
        <w:numPr>
          <w:ilvl w:val="0"/>
          <w:numId w:val="1015"/>
        </w:numPr>
        <w:pStyle w:val="Compact"/>
      </w:pPr>
      <w:r>
        <w:t xml:space="preserve">cuidado de hijos o de personas mayores;</w:t>
      </w:r>
    </w:p>
    <w:p>
      <w:pPr>
        <w:numPr>
          <w:ilvl w:val="0"/>
          <w:numId w:val="1015"/>
        </w:numPr>
        <w:pStyle w:val="Compact"/>
      </w:pPr>
      <w:r>
        <w:t xml:space="preserve">ingresos dejados de percibir o reducción de horas; y</w:t>
      </w:r>
    </w:p>
    <w:p>
      <w:pPr>
        <w:numPr>
          <w:ilvl w:val="0"/>
          <w:numId w:val="1015"/>
        </w:numPr>
        <w:pStyle w:val="Compact"/>
      </w:pPr>
      <w:r>
        <w:t xml:space="preserve">cualquier obligación de reembolso.</w:t>
      </w:r>
    </w:p>
    <w:p>
      <w:r>
        <w:pict>
          <v:rect style="width:0;height:1.5pt" o:hralign="center" o:hrstd="t" o:hr="t"/>
        </w:pict>
      </w:r>
    </w:p>
    <w:bookmarkEnd w:id="58"/>
    <w:bookmarkEnd w:id="59"/>
    <w:bookmarkEnd w:id="60"/>
    <w:bookmarkStart w:id="81" w:name="X58107be415ed06d81ddec64bfde9346cf701a43"/>
    <w:p>
      <w:pPr>
        <w:pStyle w:val="Heading1"/>
      </w:pPr>
      <w:r>
        <w:t xml:space="preserve">Registro controlado de fuentes — revisado en agosto de 2026</w:t>
      </w:r>
    </w:p>
    <w:p>
      <w:pPr>
        <w:pStyle w:val="FirstParagraph"/>
      </w:pPr>
      <w:r>
        <w:t xml:space="preserve">Las siguientes fuentes respaldan el maestro de trabajo 2026. El QA de publicación debe volver a revisar enlaces y fechas antes de la liberación.</w:t>
      </w:r>
    </w:p>
    <w:bookmarkStart w:id="67" w:name="fuentes-oficiales-de-estados-unidos"/>
    <w:p>
      <w:pPr>
        <w:pStyle w:val="Heading2"/>
      </w:pPr>
      <w:r>
        <w:t xml:space="preserve">Fuentes oficiales de Estados Unidos</w:t>
      </w:r>
    </w:p>
    <w:p>
      <w:pPr>
        <w:numPr>
          <w:ilvl w:val="0"/>
          <w:numId w:val="1016"/>
        </w:numPr>
      </w:pPr>
      <w:r>
        <w:t xml:space="preserve">SAMHSA — Core Competencies for Peer Workers in Behavioral Health Services:</w:t>
      </w:r>
      <w:r>
        <w:t xml:space="preserve"> </w:t>
      </w:r>
      <w:hyperlink r:id="rId61">
        <w:r>
          <w:rPr>
            <w:rStyle w:val="Hyperlink"/>
          </w:rPr>
          <w:t xml:space="preserve">https://www.samhsa.gov/substance-use/recovery/peer-support-workers/core-competencies</w:t>
        </w:r>
      </w:hyperlink>
      <w:r>
        <w:br/>
      </w:r>
      <w:r>
        <w:t xml:space="preserve">Página actualizada por última vez el 24 de marzo de 2026. Utilizada para principios de la función, competencias y la distinción explícita entre orientación por competencias y requisitos de credenciales específicos de cada jurisdicción.</w:t>
      </w:r>
    </w:p>
    <w:p>
      <w:pPr>
        <w:numPr>
          <w:ilvl w:val="0"/>
          <w:numId w:val="1016"/>
        </w:numPr>
      </w:pPr>
      <w:r>
        <w:t xml:space="preserve">SAMHSA — Peer Support Workers for Those in Recovery:</w:t>
      </w:r>
      <w:r>
        <w:t xml:space="preserve"> </w:t>
      </w:r>
      <w:hyperlink r:id="rId62">
        <w:r>
          <w:rPr>
            <w:rStyle w:val="Hyperlink"/>
          </w:rPr>
          <w:t xml:space="preserve">https://www.samhsa.gov/substance-use/recovery/peer-support-workers</w:t>
        </w:r>
      </w:hyperlink>
      <w:r>
        <w:br/>
      </w:r>
      <w:r>
        <w:t xml:space="preserve">Página actualizada por última vez el 24 de marzo de 2026. Utilizada para contexto de la función y funciones del trabajo entre pares.</w:t>
      </w:r>
    </w:p>
    <w:p>
      <w:pPr>
        <w:numPr>
          <w:ilvl w:val="0"/>
          <w:numId w:val="1016"/>
        </w:numPr>
      </w:pPr>
      <w:r>
        <w:t xml:space="preserve">U.S. Bureau of Labor Statistics — Community Health Workers:</w:t>
      </w:r>
      <w:r>
        <w:t xml:space="preserve"> </w:t>
      </w:r>
      <w:hyperlink r:id="rId63">
        <w:r>
          <w:rPr>
            <w:rStyle w:val="Hyperlink"/>
          </w:rPr>
          <w:t xml:space="preserve">https://www.bls.gov/ooh/community-and-social-service/community-health-workers.htm</w:t>
        </w:r>
      </w:hyperlink>
      <w:r>
        <w:br/>
      </w:r>
      <w:r>
        <w:t xml:space="preserve">Utilizada únicamente como proxy oficial claramente etiquetado porque BLS identifica a los especialistas en apoyo entre pares como un tipo de trabajador comunitario de salud. Mediana salarial de mayo de 2024: US$51,030; crecimiento proyectado 2024–2034: 11%.</w:t>
      </w:r>
    </w:p>
    <w:p>
      <w:pPr>
        <w:numPr>
          <w:ilvl w:val="0"/>
          <w:numId w:val="1016"/>
        </w:numPr>
      </w:pPr>
      <w:r>
        <w:t xml:space="preserve">Apprenticeship.gov:</w:t>
      </w:r>
      <w:r>
        <w:t xml:space="preserve"> </w:t>
      </w:r>
      <w:hyperlink r:id="rId64">
        <w:r>
          <w:rPr>
            <w:rStyle w:val="Hyperlink"/>
          </w:rPr>
          <w:t xml:space="preserve">https://www.apprenticeship.gov/</w:t>
        </w:r>
      </w:hyperlink>
      <w:r>
        <w:br/>
      </w:r>
      <w:r>
        <w:t xml:space="preserve">Localizador de oportunidades de Registered Apprenticeship. La presencia de una ocupación relacionada en BLS no establece que exista un aprendizaje de apoyo entre pares en cada jurisdicción.</w:t>
      </w:r>
    </w:p>
    <w:p>
      <w:pPr>
        <w:numPr>
          <w:ilvl w:val="0"/>
          <w:numId w:val="1016"/>
        </w:numPr>
      </w:pPr>
      <w:r>
        <w:t xml:space="preserve">CareerOneStop / American Job Centers:</w:t>
      </w:r>
      <w:r>
        <w:t xml:space="preserve"> </w:t>
      </w:r>
      <w:hyperlink r:id="rId65">
        <w:r>
          <w:rPr>
            <w:rStyle w:val="Hyperlink"/>
          </w:rPr>
          <w:t xml:space="preserve">https://www.careeronestop.org/LocalHelp/AmericanJobCenters/american-job-centers.aspx</w:t>
        </w:r>
      </w:hyperlink>
      <w:r>
        <w:br/>
      </w:r>
      <w:r>
        <w:t xml:space="preserve">Localizador de servicios públicos de fuerza laboral; la elegibilidad para financiamiento debe verificarse localmente.</w:t>
      </w:r>
    </w:p>
    <w:p>
      <w:pPr>
        <w:numPr>
          <w:ilvl w:val="0"/>
          <w:numId w:val="1016"/>
        </w:numPr>
      </w:pPr>
      <w:r>
        <w:t xml:space="preserve">Federal Student Aid:</w:t>
      </w:r>
      <w:r>
        <w:t xml:space="preserve"> </w:t>
      </w:r>
      <w:hyperlink r:id="rId66">
        <w:r>
          <w:rPr>
            <w:rStyle w:val="Hyperlink"/>
          </w:rPr>
          <w:t xml:space="preserve">https://studentaid.gov/</w:t>
        </w:r>
      </w:hyperlink>
      <w:r>
        <w:br/>
      </w:r>
      <w:r>
        <w:t xml:space="preserve">Información sobre ayuda federal para estudiantes; no todos los programas de capacitación en apoyo entre pares son elegibles.</w:t>
      </w:r>
    </w:p>
    <w:bookmarkEnd w:id="67"/>
    <w:bookmarkStart w:id="69" w:name="Xbf03c60b3df4d7fd5c1606ed5e8fed302e01318"/>
    <w:p>
      <w:pPr>
        <w:pStyle w:val="Heading2"/>
      </w:pPr>
      <w:r>
        <w:t xml:space="preserve">Fuente no gubernamental de mercado de Estados Unidos</w:t>
      </w:r>
    </w:p>
    <w:p>
      <w:pPr>
        <w:numPr>
          <w:ilvl w:val="0"/>
          <w:numId w:val="1017"/>
        </w:numPr>
        <w:pStyle w:val="Compact"/>
      </w:pPr>
      <w:r>
        <w:t xml:space="preserve">ZipRecruiter — Peer Support Specialist Salary:</w:t>
      </w:r>
      <w:r>
        <w:t xml:space="preserve"> </w:t>
      </w:r>
      <w:hyperlink r:id="rId68">
        <w:r>
          <w:rPr>
            <w:rStyle w:val="Hyperlink"/>
          </w:rPr>
          <w:t xml:space="preserve">https://www.ziprecruiter.com/Salaries/Peer-Support-Specialist-Salary</w:t>
        </w:r>
      </w:hyperlink>
      <w:r>
        <w:br/>
      </w:r>
      <w:r>
        <w:t xml:space="preserve">Estimación no gubernamental de mercado. Al 7 de agosto de 2026: promedio de US</w:t>
      </w:r>
      <m:oMath>
        <m:r>
          <m:t>41</m:t>
        </m:r>
        <m:r>
          <m:rPr>
            <m:sty m:val="p"/>
          </m:rPr>
          <m:t>,</m:t>
        </m:r>
        <m:r>
          <m:t>023</m:t>
        </m:r>
        <m:r>
          <m:rPr>
            <m:sty m:val="p"/>
          </m:rPr>
          <m:t>/</m:t>
        </m:r>
        <m:r>
          <m:t>a</m:t>
        </m:r>
        <m:r>
          <m:t>ñ</m:t>
        </m:r>
        <m:r>
          <m:t>o</m:t>
        </m:r>
        <m:r>
          <m:rPr>
            <m:sty m:val="p"/>
          </m:rPr>
          <m:t>(</m:t>
        </m:r>
        <m:r>
          <m:t>U</m:t>
        </m:r>
        <m:r>
          <m:t>S</m:t>
        </m:r>
      </m:oMath>
      <w:r>
        <w:t xml:space="preserve">19.72/hora). Debe mantenerse etiquetada como estimación de mercado, no como estadística salarial oficial.</w:t>
      </w:r>
    </w:p>
    <w:bookmarkEnd w:id="69"/>
    <w:bookmarkStart w:id="72" w:name="fuentes-oficiales-de-canadá"/>
    <w:p>
      <w:pPr>
        <w:pStyle w:val="Heading2"/>
      </w:pPr>
      <w:r>
        <w:t xml:space="preserve">Fuentes oficiales de Canadá</w:t>
      </w:r>
    </w:p>
    <w:p>
      <w:pPr>
        <w:numPr>
          <w:ilvl w:val="0"/>
          <w:numId w:val="1018"/>
        </w:numPr>
      </w:pPr>
      <w:r>
        <w:t xml:space="preserve">Government of Canada Job Bank — Peer Support Worker summary:</w:t>
      </w:r>
      <w:r>
        <w:t xml:space="preserve"> </w:t>
      </w:r>
      <w:hyperlink r:id="rId70">
        <w:r>
          <w:rPr>
            <w:rStyle w:val="Hyperlink"/>
          </w:rPr>
          <w:t xml:space="preserve">https://www.jobbank.gc.ca/marketreport/summary-occupation/24973/ca</w:t>
        </w:r>
      </w:hyperlink>
      <w:r>
        <w:br/>
      </w:r>
      <w:r>
        <w:t xml:space="preserve">Título asignado a NOC 42201. Página de resumen modificada el 2 de junio de 2026.</w:t>
      </w:r>
    </w:p>
    <w:p>
      <w:pPr>
        <w:numPr>
          <w:ilvl w:val="0"/>
          <w:numId w:val="1018"/>
        </w:numPr>
      </w:pPr>
      <w:r>
        <w:t xml:space="preserve">Government of Canada Job Bank — Peer Support Worker wages:</w:t>
      </w:r>
      <w:r>
        <w:t xml:space="preserve"> </w:t>
      </w:r>
      <w:hyperlink r:id="rId71">
        <w:r>
          <w:rPr>
            <w:rStyle w:val="Hyperlink"/>
          </w:rPr>
          <w:t xml:space="preserve">https://www.jobbank.gc.ca/marketreport/wages-occupation/24973/ca</w:t>
        </w:r>
      </w:hyperlink>
      <w:r>
        <w:br/>
      </w:r>
      <w:r>
        <w:t xml:space="preserve">Bajo/mediana/alto nacional: C</w:t>
      </w:r>
      <m:oMath>
        <m:r>
          <m:t>19.00</m:t>
        </m:r>
        <m:r>
          <m:rPr>
            <m:sty m:val="p"/>
          </m:rPr>
          <m:t>/</m:t>
        </m:r>
        <m:r>
          <m:t>C</m:t>
        </m:r>
      </m:oMath>
      <w:r>
        <w:t xml:space="preserve">26.00/C$36.06 por hora. Tabla salarial actualizada el 19 de noviembre de 2025; período de referencia 2023–2024; fuente: Statistics Canada Labour Force Survey. Debe utilizarse como información del grupo ocupacional más amplio NOC 42201, no como garantía para cada puesto de apoyo entre pares.</w:t>
      </w:r>
    </w:p>
    <w:bookmarkEnd w:id="72"/>
    <w:bookmarkStart w:id="77" w:name="fuentes-oficiales-de-colombia"/>
    <w:p>
      <w:pPr>
        <w:pStyle w:val="Heading2"/>
      </w:pPr>
      <w:r>
        <w:t xml:space="preserve">Fuentes oficiales de Colombia</w:t>
      </w:r>
    </w:p>
    <w:p>
      <w:pPr>
        <w:numPr>
          <w:ilvl w:val="0"/>
          <w:numId w:val="1019"/>
        </w:numPr>
      </w:pPr>
      <w:r>
        <w:t xml:space="preserve">Ministerio de Salud y Protección Social — Salud Mental Comunitaria:</w:t>
      </w:r>
      <w:r>
        <w:t xml:space="preserve"> </w:t>
      </w:r>
      <w:hyperlink r:id="rId73">
        <w:r>
          <w:rPr>
            <w:rStyle w:val="Hyperlink"/>
          </w:rPr>
          <w:t xml:space="preserve">https://www.minsalud.gov.co/salud/publica/salud-mental/Paginas/salud-mental-comunitaria.aspx</w:t>
        </w:r>
      </w:hyperlink>
      <w:r>
        <w:br/>
      </w:r>
      <w:r>
        <w:t xml:space="preserve">El portal vigente incluye orientación sobre rehabilitación basada en comunidad y materiales de 2025 sobre dispositivos comunitarios de salud mental y primeros auxilios psicológicos. Apoya rutas comunitarias y de ayuda mutua, pero no establece una certificación nacional al estilo estadounidense para apoyo entre pares.</w:t>
      </w:r>
    </w:p>
    <w:p>
      <w:pPr>
        <w:numPr>
          <w:ilvl w:val="0"/>
          <w:numId w:val="1019"/>
        </w:numPr>
      </w:pPr>
      <w:r>
        <w:t xml:space="preserve">Ministerio de Salud y Protección Social — Política de Salud Mental:</w:t>
      </w:r>
      <w:r>
        <w:t xml:space="preserve"> </w:t>
      </w:r>
      <w:hyperlink r:id="rId74">
        <w:r>
          <w:rPr>
            <w:rStyle w:val="Hyperlink"/>
          </w:rPr>
          <w:t xml:space="preserve">https://www.minsalud.gov.co/salud/publica/salud-mental/Paginas/politica-salud-mental.aspx</w:t>
        </w:r>
      </w:hyperlink>
    </w:p>
    <w:p>
      <w:pPr>
        <w:numPr>
          <w:ilvl w:val="0"/>
          <w:numId w:val="1019"/>
        </w:numPr>
      </w:pPr>
      <w:r>
        <w:t xml:space="preserve">SENA:</w:t>
      </w:r>
      <w:r>
        <w:t xml:space="preserve"> </w:t>
      </w:r>
      <w:hyperlink r:id="rId75">
        <w:r>
          <w:rPr>
            <w:rStyle w:val="Hyperlink"/>
          </w:rPr>
          <w:t xml:space="preserve">https://www.sena.edu.co/</w:t>
        </w:r>
      </w:hyperlink>
      <w:r>
        <w:br/>
      </w:r>
      <w:r>
        <w:t xml:space="preserve">Localizador público de formación. Cualquier curso debe verificarse por disponibilidad vigente y pertinencia; el aprendizaje adyacente en salud mental no constituye automáticamente una credencial de Especialista en Apoyo entre Pares.</w:t>
      </w:r>
    </w:p>
    <w:p>
      <w:pPr>
        <w:numPr>
          <w:ilvl w:val="0"/>
          <w:numId w:val="1019"/>
        </w:numPr>
      </w:pPr>
      <w:r>
        <w:t xml:space="preserve">Servicio Público de Empleo:</w:t>
      </w:r>
      <w:r>
        <w:t xml:space="preserve"> </w:t>
      </w:r>
      <w:hyperlink r:id="rId76">
        <w:r>
          <w:rPr>
            <w:rStyle w:val="Hyperlink"/>
          </w:rPr>
          <w:t xml:space="preserve">https://www.serviciodeempleo.gov.co/</w:t>
        </w:r>
      </w:hyperlink>
      <w:r>
        <w:br/>
      </w:r>
      <w:r>
        <w:t xml:space="preserve">Localizador público de empleo y oportunidades.</w:t>
      </w:r>
    </w:p>
    <w:bookmarkEnd w:id="77"/>
    <w:bookmarkStart w:id="79" w:name="X9d46c6f87c7c06953cf436586d247d8ca6eaa97"/>
    <w:p>
      <w:pPr>
        <w:pStyle w:val="Heading2"/>
      </w:pPr>
      <w:r>
        <w:t xml:space="preserve">Fuente marco internacional / América Latina</w:t>
      </w:r>
    </w:p>
    <w:p>
      <w:pPr>
        <w:numPr>
          <w:ilvl w:val="0"/>
          <w:numId w:val="1020"/>
        </w:numPr>
        <w:pStyle w:val="Compact"/>
      </w:pPr>
      <w:r>
        <w:t xml:space="preserve">World Health Organization — Peer support mental health services: Promoting person-centred and rights-based approaches:</w:t>
      </w:r>
      <w:r>
        <w:t xml:space="preserve"> </w:t>
      </w:r>
      <w:hyperlink r:id="rId78">
        <w:r>
          <w:rPr>
            <w:rStyle w:val="Hyperlink"/>
          </w:rPr>
          <w:t xml:space="preserve">https://www.who.int/publications/i/item/9789240025783</w:t>
        </w:r>
      </w:hyperlink>
      <w:r>
        <w:br/>
      </w:r>
      <w:r>
        <w:t xml:space="preserve">Utilizada como recurso conceptual internacional sobre apoyo entre pares, servicios centrados en la persona, orientación a la recuperación y enfoques comunitarios de salud mental basados en derechos. La orientación de la OMS no crea una credencial ocupacional nacional portátil.</w:t>
      </w:r>
    </w:p>
    <w:p>
      <w:r>
        <w:pict>
          <v:rect style="width:0;height:1.5pt" o:hralign="center" o:hrstd="t" o:hr="t"/>
        </w:pict>
      </w:r>
    </w:p>
    <w:bookmarkEnd w:id="79"/>
    <w:bookmarkStart w:id="80" w:name="controles-de-versión-y-mantenimiento"/>
    <w:p>
      <w:pPr>
        <w:pStyle w:val="Heading2"/>
      </w:pPr>
      <w:r>
        <w:t xml:space="preserve">Controles de versión y mantenimiento</w:t>
      </w:r>
    </w:p>
    <w:p>
      <w:pPr>
        <w:numPr>
          <w:ilvl w:val="0"/>
          <w:numId w:val="1021"/>
        </w:numPr>
        <w:pStyle w:val="Compact"/>
      </w:pPr>
      <w:r>
        <w:rPr>
          <w:bCs/>
          <w:b/>
        </w:rPr>
        <w:t xml:space="preserve">Maestro de trabajo:</w:t>
      </w:r>
      <w:r>
        <w:t xml:space="preserve"> </w:t>
      </w:r>
      <w:r>
        <w:t xml:space="preserve">Versión 2.0, agosto de 2026.</w:t>
      </w:r>
    </w:p>
    <w:p>
      <w:pPr>
        <w:numPr>
          <w:ilvl w:val="0"/>
          <w:numId w:val="1021"/>
        </w:numPr>
        <w:pStyle w:val="Compact"/>
      </w:pPr>
      <w:r>
        <w:t xml:space="preserve">Esta traducción se deriva del maestro inglés controlado congelado para traducción y no constituye por sí sola un artefacto publicado.</w:t>
      </w:r>
    </w:p>
    <w:p>
      <w:pPr>
        <w:numPr>
          <w:ilvl w:val="0"/>
          <w:numId w:val="1021"/>
        </w:numPr>
        <w:pStyle w:val="Compact"/>
      </w:pPr>
      <w:r>
        <w:t xml:space="preserve">Esta versión no afirma certificación profesional de traducción ni revisión humana independiente.</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4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studentaid.gov/" TargetMode="External" /><Relationship Type="http://schemas.openxmlformats.org/officeDocument/2006/relationships/hyperlink" Id="rId64" Target="https://www.apprenticeship.gov/" TargetMode="External" /><Relationship Type="http://schemas.openxmlformats.org/officeDocument/2006/relationships/hyperlink" Id="rId63" Target="https://www.bls.gov/ooh/community-and-social-service/community-health-workers.htm" TargetMode="External" /><Relationship Type="http://schemas.openxmlformats.org/officeDocument/2006/relationships/hyperlink" Id="rId65" Target="https://www.careeronestop.org/LocalHelp/AmericanJobCenters/american-job-centers.aspx" TargetMode="External" /><Relationship Type="http://schemas.openxmlformats.org/officeDocument/2006/relationships/hyperlink" Id="rId70" Target="https://www.jobbank.gc.ca/marketreport/summary-occupation/24973/ca" TargetMode="External" /><Relationship Type="http://schemas.openxmlformats.org/officeDocument/2006/relationships/hyperlink" Id="rId71" Target="https://www.jobbank.gc.ca/marketreport/wages-occupation/24973/ca" TargetMode="External" /><Relationship Type="http://schemas.openxmlformats.org/officeDocument/2006/relationships/hyperlink" Id="rId74" Target="https://www.minsalud.gov.co/salud/publica/salud-mental/Paginas/politica-salud-mental.aspx" TargetMode="External" /><Relationship Type="http://schemas.openxmlformats.org/officeDocument/2006/relationships/hyperlink" Id="rId73" Target="https://www.minsalud.gov.co/salud/publica/salud-mental/Paginas/salud-mental-comunitaria.aspx" TargetMode="External" /><Relationship Type="http://schemas.openxmlformats.org/officeDocument/2006/relationships/hyperlink" Id="rId62" Target="https://www.samhsa.gov/substance-use/recovery/peer-support-workers" TargetMode="External" /><Relationship Type="http://schemas.openxmlformats.org/officeDocument/2006/relationships/hyperlink" Id="rId61" Target="https://www.samhsa.gov/substance-use/recovery/peer-support-workers/core-competencies" TargetMode="External" /><Relationship Type="http://schemas.openxmlformats.org/officeDocument/2006/relationships/hyperlink" Id="rId75" Target="https://www.sena.edu.co/" TargetMode="External" /><Relationship Type="http://schemas.openxmlformats.org/officeDocument/2006/relationships/hyperlink" Id="rId76" Target="https://www.serviciodeempleo.gov.co/" TargetMode="External" /><Relationship Type="http://schemas.openxmlformats.org/officeDocument/2006/relationships/hyperlink" Id="rId78" Target="https://www.who.int/publications/i/item/9789240025783" TargetMode="External" /><Relationship Type="http://schemas.openxmlformats.org/officeDocument/2006/relationships/hyperlink" Id="rId68" Target="https://www.ziprecruiter.com/Salaries/Peer-Support-Specialist-Salary" TargetMode="External" /></Relationships>
</file>

<file path=word/_rels/footnotes.xml.rels><?xml version="1.0" encoding="UTF-8"?><Relationships xmlns="http://schemas.openxmlformats.org/package/2006/relationships"><Relationship Type="http://schemas.openxmlformats.org/officeDocument/2006/relationships/hyperlink" Id="rId66" Target="https://studentaid.gov/" TargetMode="External" /><Relationship Type="http://schemas.openxmlformats.org/officeDocument/2006/relationships/hyperlink" Id="rId64" Target="https://www.apprenticeship.gov/" TargetMode="External" /><Relationship Type="http://schemas.openxmlformats.org/officeDocument/2006/relationships/hyperlink" Id="rId63" Target="https://www.bls.gov/ooh/community-and-social-service/community-health-workers.htm" TargetMode="External" /><Relationship Type="http://schemas.openxmlformats.org/officeDocument/2006/relationships/hyperlink" Id="rId65" Target="https://www.careeronestop.org/LocalHelp/AmericanJobCenters/american-job-centers.aspx" TargetMode="External" /><Relationship Type="http://schemas.openxmlformats.org/officeDocument/2006/relationships/hyperlink" Id="rId70" Target="https://www.jobbank.gc.ca/marketreport/summary-occupation/24973/ca" TargetMode="External" /><Relationship Type="http://schemas.openxmlformats.org/officeDocument/2006/relationships/hyperlink" Id="rId71" Target="https://www.jobbank.gc.ca/marketreport/wages-occupation/24973/ca" TargetMode="External" /><Relationship Type="http://schemas.openxmlformats.org/officeDocument/2006/relationships/hyperlink" Id="rId74" Target="https://www.minsalud.gov.co/salud/publica/salud-mental/Paginas/politica-salud-mental.aspx" TargetMode="External" /><Relationship Type="http://schemas.openxmlformats.org/officeDocument/2006/relationships/hyperlink" Id="rId73" Target="https://www.minsalud.gov.co/salud/publica/salud-mental/Paginas/salud-mental-comunitaria.aspx" TargetMode="External" /><Relationship Type="http://schemas.openxmlformats.org/officeDocument/2006/relationships/hyperlink" Id="rId62" Target="https://www.samhsa.gov/substance-use/recovery/peer-support-workers" TargetMode="External" /><Relationship Type="http://schemas.openxmlformats.org/officeDocument/2006/relationships/hyperlink" Id="rId61" Target="https://www.samhsa.gov/substance-use/recovery/peer-support-workers/core-competencies" TargetMode="External" /><Relationship Type="http://schemas.openxmlformats.org/officeDocument/2006/relationships/hyperlink" Id="rId75" Target="https://www.sena.edu.co/" TargetMode="External" /><Relationship Type="http://schemas.openxmlformats.org/officeDocument/2006/relationships/hyperlink" Id="rId76" Target="https://www.serviciodeempleo.gov.co/" TargetMode="External" /><Relationship Type="http://schemas.openxmlformats.org/officeDocument/2006/relationships/hyperlink" Id="rId78" Target="https://www.who.int/publications/i/item/9789240025783" TargetMode="External" /><Relationship Type="http://schemas.openxmlformats.org/officeDocument/2006/relationships/hyperlink" Id="rId68" Target="https://www.ziprecruiter.com/Salaries/Peer-Support-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es-419</dc:language>
  <cp:keywords/>
  <dcterms:created xsi:type="dcterms:W3CDTF">2026-08-07T22:00:48Z</dcterms:created>
  <dcterms:modified xsi:type="dcterms:W3CDTF">2026-08-07T22:00:48Z</dcterms:modified>
</cp:coreProperties>
</file>

<file path=docProps/custom.xml><?xml version="1.0" encoding="utf-8"?>
<Properties xmlns="http://schemas.openxmlformats.org/officeDocument/2006/custom-properties" xmlns:vt="http://schemas.openxmlformats.org/officeDocument/2006/docPropsVTypes"/>
</file>