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RETAIL SUPERVISOR AND MERCHANDISING COORDINATOR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SmallNote"/>
        <w:jc w:val="center"/>
      </w:pPr>
      <w:r>
        <w:rPr>
          <w:b/>
        </w:rPr>
        <w:t xml:space="preserve">The promise of this guide: </w:t>
      </w:r>
      <w:r>
        <w:t>This guide does not promise that Retail Supervisor and Merchandising Coordinator work is right for everyone, that training will be free, or that a credential will lead to employment. It helps readers understand the work, verify requirements, compare funding, protect themselves,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and ethical guidance.</w:t>
      </w:r>
    </w:p>
    <w:p>
      <w:pPr/>
      <w:r>
        <w:t>Retail Supervisor and Merchandising Coordinators coordinate frontline retail work, customer service, staffing, inventory, displays, promotions, loss prevention, safety, and store standards.</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ind w:left="403" w:hanging="259"/>
      </w:pPr>
      <w:r>
        <w:t>No career assessment can guarantee that you will enjoy Retail Supervisor and Merchandising Coordinator work.</w:t>
      </w:r>
    </w:p>
    <w:p>
      <w:pPr>
        <w:pStyle w:val="ListBullet"/>
        <w:ind w:left="403" w:hanging="259"/>
      </w:pPr>
      <w:r>
        <w:t>No school, credential, government program, recruiter, or employer can guarantee employment, funding, promotion, or a particular salary.</w:t>
      </w:r>
    </w:p>
    <w:p>
      <w:pPr>
        <w:pStyle w:val="ListBullet"/>
        <w:ind w:left="403" w:hanging="259"/>
      </w:pPr>
      <w:r>
        <w:t>Job titles, education, technology, privacy, labor, accessibility, and hiring expectations vary by employer and jurisdiction.</w:t>
      </w:r>
    </w:p>
    <w:p>
      <w:pPr>
        <w:pStyle w:val="ListBullet"/>
        <w:ind w:left="403" w:hanging="259"/>
      </w:pPr>
      <w:r>
        <w:t>This guide is educational and not individualized legal, tax, immigration, financial, medical, or licensed vocational advice.</w:t>
      </w:r>
    </w:p>
    <w:p>
      <w:pPr>
        <w:pStyle w:val="ListBullet"/>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40" w:lineRule="auto" w:before="0"/>
        <w:ind w:left="0"/>
      </w:pPr>
      <w:r>
        <w:rPr>
          <w:b/>
          <w:sz w:val="18"/>
        </w:rPr>
        <w:t>Why I Created This Guide</w:t>
        <w:tab/>
        <w:t>2</w:t>
      </w:r>
      <w:r>
        <w:rPr>
          <w:sz w:val="18"/>
        </w:rPr>
      </w:r>
    </w:p>
    <w:p>
      <w:pPr>
        <w:keepNext w:val="0"/>
        <w:keepLines w:val="0"/>
        <w:tabs>
          <w:tab w:pos="9288" w:val="right" w:leader="dot"/>
        </w:tabs>
        <w:spacing w:after="0" w:line="240" w:lineRule="auto" w:before="0"/>
        <w:ind w:left="0"/>
      </w:pPr>
      <w:r>
        <w:rPr>
          <w:b/>
          <w:sz w:val="18"/>
        </w:rPr>
        <w:t>Acknowledgment of AI Assistance</w:t>
        <w:tab/>
        <w:t>2</w:t>
      </w:r>
      <w:r>
        <w:rPr>
          <w:sz w:val="18"/>
        </w:rPr>
      </w:r>
    </w:p>
    <w:p>
      <w:pPr>
        <w:keepNext w:val="0"/>
        <w:keepLines w:val="0"/>
        <w:tabs>
          <w:tab w:pos="9288" w:val="right" w:leader="dot"/>
        </w:tabs>
        <w:spacing w:after="0" w:line="240" w:lineRule="auto" w:before="0"/>
        <w:ind w:left="0"/>
      </w:pPr>
      <w:r>
        <w:rPr>
          <w:b/>
          <w:sz w:val="18"/>
        </w:rPr>
        <w:t>Ethical and Practical Limits</w:t>
        <w:tab/>
        <w:t>2</w:t>
      </w:r>
      <w:r>
        <w:rPr>
          <w:sz w:val="18"/>
        </w:rPr>
      </w:r>
    </w:p>
    <w:p>
      <w:pPr>
        <w:keepNext w:val="0"/>
        <w:keepLines w:val="0"/>
        <w:tabs>
          <w:tab w:pos="9288" w:val="right" w:leader="dot"/>
        </w:tabs>
        <w:spacing w:after="0" w:line="240" w:lineRule="auto" w:before="0"/>
        <w:ind w:left="0"/>
      </w:pPr>
      <w:r>
        <w:rPr>
          <w:b/>
          <w:sz w:val="18"/>
        </w:rPr>
        <w:t>1. How to Use This Guide</w:t>
        <w:tab/>
        <w:t>2</w:t>
      </w:r>
      <w:r>
        <w:rPr>
          <w:sz w:val="18"/>
        </w:rPr>
      </w:r>
    </w:p>
    <w:p>
      <w:pPr>
        <w:keepNext w:val="0"/>
        <w:keepLines w:val="0"/>
        <w:tabs>
          <w:tab w:pos="9288" w:val="right" w:leader="dot"/>
        </w:tabs>
        <w:spacing w:after="0" w:line="240" w:lineRule="auto" w:before="0"/>
        <w:ind w:left="403"/>
      </w:pPr>
      <w:r>
        <w:rPr>
          <w:b w:val="0"/>
          <w:sz w:val="18"/>
        </w:rPr>
        <w:t>A careful decision process</w:t>
        <w:tab/>
        <w:t>2</w:t>
      </w:r>
      <w:r>
        <w:rPr>
          <w:sz w:val="18"/>
        </w:rPr>
      </w:r>
    </w:p>
    <w:p>
      <w:pPr>
        <w:keepNext w:val="0"/>
        <w:keepLines w:val="0"/>
        <w:tabs>
          <w:tab w:pos="9288" w:val="right" w:leader="dot"/>
        </w:tabs>
        <w:spacing w:after="0" w:line="240" w:lineRule="auto" w:before="0"/>
        <w:ind w:left="0"/>
      </w:pPr>
      <w:r>
        <w:rPr>
          <w:b/>
          <w:sz w:val="18"/>
        </w:rPr>
        <w:t>2. What the Work Involves</w:t>
        <w:tab/>
        <w:t>2</w:t>
      </w:r>
      <w:r>
        <w:rPr>
          <w:sz w:val="18"/>
        </w:rPr>
      </w:r>
    </w:p>
    <w:p>
      <w:pPr>
        <w:keepNext w:val="0"/>
        <w:keepLines w:val="0"/>
        <w:tabs>
          <w:tab w:pos="9288" w:val="right" w:leader="dot"/>
        </w:tabs>
        <w:spacing w:after="0" w:line="240" w:lineRule="auto" w:before="0"/>
        <w:ind w:left="403"/>
      </w:pPr>
      <w:r>
        <w:rPr>
          <w:b w:val="0"/>
          <w:sz w:val="18"/>
        </w:rPr>
        <w:t>Purpose and settings</w:t>
        <w:tab/>
        <w:t>2</w:t>
      </w:r>
      <w:r>
        <w:rPr>
          <w:sz w:val="18"/>
        </w:rPr>
      </w:r>
    </w:p>
    <w:p>
      <w:pPr>
        <w:keepNext w:val="0"/>
        <w:keepLines w:val="0"/>
        <w:tabs>
          <w:tab w:pos="9288" w:val="right" w:leader="dot"/>
        </w:tabs>
        <w:spacing w:after="0" w:line="240" w:lineRule="auto" w:before="0"/>
        <w:ind w:left="403"/>
      </w:pPr>
      <w:r>
        <w:rPr>
          <w:b w:val="0"/>
          <w:sz w:val="18"/>
        </w:rPr>
        <w:t>Daily and high-consequence work</w:t>
        <w:tab/>
        <w:t>2</w:t>
      </w:r>
      <w:r>
        <w:rPr>
          <w:sz w:val="18"/>
        </w:rPr>
      </w:r>
    </w:p>
    <w:p>
      <w:pPr>
        <w:keepNext w:val="0"/>
        <w:keepLines w:val="0"/>
        <w:tabs>
          <w:tab w:pos="9288" w:val="right" w:leader="dot"/>
        </w:tabs>
        <w:spacing w:after="0" w:line="240" w:lineRule="auto" w:before="0"/>
        <w:ind w:left="0"/>
      </w:pPr>
      <w:r>
        <w:rPr>
          <w:b/>
          <w:sz w:val="18"/>
        </w:rPr>
        <w:t>3. Duties, Tools, and Definitions</w:t>
        <w:tab/>
        <w:t>2</w:t>
      </w:r>
      <w:r>
        <w:rPr>
          <w:sz w:val="18"/>
        </w:rPr>
      </w:r>
    </w:p>
    <w:p>
      <w:pPr>
        <w:keepNext w:val="0"/>
        <w:keepLines w:val="0"/>
        <w:tabs>
          <w:tab w:pos="9288" w:val="right" w:leader="dot"/>
        </w:tabs>
        <w:spacing w:after="0" w:line="240" w:lineRule="auto" w:before="0"/>
        <w:ind w:left="403"/>
      </w:pPr>
      <w:r>
        <w:rPr>
          <w:b w:val="0"/>
          <w:sz w:val="18"/>
        </w:rPr>
        <w:t>Common duties</w:t>
        <w:tab/>
        <w:t>2</w:t>
      </w:r>
      <w:r>
        <w:rPr>
          <w:sz w:val="18"/>
        </w:rPr>
      </w:r>
    </w:p>
    <w:p>
      <w:pPr>
        <w:keepNext w:val="0"/>
        <w:keepLines w:val="0"/>
        <w:tabs>
          <w:tab w:pos="9288" w:val="right" w:leader="dot"/>
        </w:tabs>
        <w:spacing w:after="0" w:line="240" w:lineRule="auto" w:before="0"/>
        <w:ind w:left="403"/>
      </w:pPr>
      <w:r>
        <w:rPr>
          <w:b w:val="0"/>
          <w:sz w:val="18"/>
        </w:rPr>
        <w:t>Tools and records</w:t>
        <w:tab/>
        <w:t>2</w:t>
      </w:r>
      <w:r>
        <w:rPr>
          <w:sz w:val="18"/>
        </w:rPr>
      </w:r>
    </w:p>
    <w:p>
      <w:pPr>
        <w:keepNext w:val="0"/>
        <w:keepLines w:val="0"/>
        <w:tabs>
          <w:tab w:pos="9288" w:val="right" w:leader="dot"/>
        </w:tabs>
        <w:spacing w:after="0" w:line="240" w:lineRule="auto" w:before="0"/>
        <w:ind w:left="403"/>
      </w:pPr>
      <w:r>
        <w:rPr>
          <w:b w:val="0"/>
          <w:sz w:val="18"/>
        </w:rPr>
        <w:t>Plain-language definitions</w:t>
        <w:tab/>
        <w:t>2</w:t>
      </w:r>
      <w:r>
        <w:rPr>
          <w:sz w:val="18"/>
        </w:rPr>
      </w:r>
    </w:p>
    <w:p>
      <w:pPr>
        <w:keepNext w:val="0"/>
        <w:keepLines w:val="0"/>
        <w:tabs>
          <w:tab w:pos="9288" w:val="right" w:leader="dot"/>
        </w:tabs>
        <w:spacing w:after="0" w:line="240" w:lineRule="auto" w:before="0"/>
        <w:ind w:left="0"/>
      </w:pPr>
      <w:r>
        <w:rPr>
          <w:b/>
          <w:sz w:val="18"/>
        </w:rPr>
        <w:t>4. Fit, Accessibility, and Working Conditions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Accommodations and inclusion</w:t>
        <w:tab/>
        <w:t>2</w:t>
      </w:r>
      <w:r>
        <w:rPr>
          <w:sz w:val="18"/>
        </w:rPr>
      </w:r>
    </w:p>
    <w:p>
      <w:pPr>
        <w:keepNext w:val="0"/>
        <w:keepLines w:val="0"/>
        <w:tabs>
          <w:tab w:pos="9288" w:val="right" w:leader="dot"/>
        </w:tabs>
        <w:spacing w:after="0" w:line="240" w:lineRule="auto" w:before="0"/>
        <w:ind w:left="0"/>
      </w:pPr>
      <w:r>
        <w:rPr>
          <w:b/>
          <w:sz w:val="18"/>
        </w:rPr>
        <w:t>5. Ethics, Safety, Boundaries, and Escalation</w:t>
        <w:tab/>
        <w:t>2</w:t>
      </w:r>
      <w:r>
        <w:rPr>
          <w:sz w:val="18"/>
        </w:rPr>
      </w:r>
    </w:p>
    <w:p>
      <w:pPr>
        <w:keepNext w:val="0"/>
        <w:keepLines w:val="0"/>
        <w:tabs>
          <w:tab w:pos="9288" w:val="right" w:leader="dot"/>
        </w:tabs>
        <w:spacing w:after="0" w:line="240" w:lineRule="auto" w:before="0"/>
        <w:ind w:left="403"/>
      </w:pPr>
      <w:r>
        <w:rPr>
          <w:b w:val="0"/>
          <w:sz w:val="18"/>
        </w:rPr>
        <w:t>Authority and stop-work rules</w:t>
        <w:tab/>
        <w:t>2</w:t>
      </w:r>
      <w:r>
        <w:rPr>
          <w:sz w:val="18"/>
        </w:rPr>
      </w:r>
    </w:p>
    <w:p>
      <w:pPr>
        <w:keepNext w:val="0"/>
        <w:keepLines w:val="0"/>
        <w:tabs>
          <w:tab w:pos="9288" w:val="right" w:leader="dot"/>
        </w:tabs>
        <w:spacing w:after="0" w:line="240" w:lineRule="auto" w:before="0"/>
        <w:ind w:left="403"/>
      </w:pPr>
      <w:r>
        <w:rPr>
          <w:b w:val="0"/>
          <w:sz w:val="18"/>
        </w:rPr>
        <w:t>Health and psychological safety</w:t>
        <w:tab/>
        <w:t>2</w:t>
      </w:r>
      <w:r>
        <w:rPr>
          <w:sz w:val="18"/>
        </w:rPr>
      </w:r>
    </w:p>
    <w:p>
      <w:pPr>
        <w:keepNext w:val="0"/>
        <w:keepLines w:val="0"/>
        <w:tabs>
          <w:tab w:pos="9288" w:val="right" w:leader="dot"/>
        </w:tabs>
        <w:spacing w:after="0" w:line="240" w:lineRule="auto" w:before="0"/>
        <w:ind w:left="0"/>
      </w:pPr>
      <w:r>
        <w:rPr>
          <w:b/>
          <w:sz w:val="18"/>
        </w:rPr>
        <w:t>6. Pay, Benefits, and Labor-Market Research</w:t>
        <w:tab/>
        <w:t>2</w:t>
      </w:r>
      <w:r>
        <w:rPr>
          <w:sz w:val="18"/>
        </w:rPr>
      </w:r>
    </w:p>
    <w:p>
      <w:pPr>
        <w:keepNext w:val="0"/>
        <w:keepLines w:val="0"/>
        <w:tabs>
          <w:tab w:pos="9288" w:val="right" w:leader="dot"/>
        </w:tabs>
        <w:spacing w:after="0" w:line="240" w:lineRule="auto" w:before="0"/>
        <w:ind w:left="403"/>
      </w:pPr>
      <w:r>
        <w:rPr>
          <w:b w:val="0"/>
          <w:sz w:val="18"/>
        </w:rPr>
        <w:t>National starting point</w:t>
        <w:tab/>
        <w:t>2</w:t>
      </w:r>
      <w:r>
        <w:rPr>
          <w:sz w:val="18"/>
        </w:rPr>
      </w:r>
    </w:p>
    <w:p>
      <w:pPr>
        <w:keepNext w:val="0"/>
        <w:keepLines w:val="0"/>
        <w:tabs>
          <w:tab w:pos="9288" w:val="right" w:leader="dot"/>
        </w:tabs>
        <w:spacing w:after="0" w:line="240" w:lineRule="auto" w:before="0"/>
        <w:ind w:left="403"/>
      </w:pPr>
      <w:r>
        <w:rPr>
          <w:b w:val="0"/>
          <w:sz w:val="18"/>
        </w:rPr>
        <w:t>Local research</w:t>
        <w:tab/>
        <w:t>2</w:t>
      </w:r>
      <w:r>
        <w:rPr>
          <w:sz w:val="18"/>
        </w:rPr>
      </w:r>
    </w:p>
    <w:p>
      <w:pPr>
        <w:keepNext w:val="0"/>
        <w:keepLines w:val="0"/>
        <w:tabs>
          <w:tab w:pos="9288" w:val="right" w:leader="dot"/>
        </w:tabs>
        <w:spacing w:after="0" w:line="240" w:lineRule="auto" w:before="0"/>
        <w:ind w:left="0"/>
      </w:pPr>
      <w:r>
        <w:rPr>
          <w:b/>
          <w:sz w:val="18"/>
        </w:rPr>
        <w:t>7. Education, Schools, and Credentials</w:t>
        <w:tab/>
        <w:t>2</w:t>
      </w:r>
      <w:r>
        <w:rPr>
          <w:sz w:val="18"/>
        </w:rPr>
      </w:r>
    </w:p>
    <w:p>
      <w:pPr>
        <w:keepNext w:val="0"/>
        <w:keepLines w:val="0"/>
        <w:tabs>
          <w:tab w:pos="9288" w:val="right" w:leader="dot"/>
        </w:tabs>
        <w:spacing w:after="0" w:line="240" w:lineRule="auto" w:before="0"/>
        <w:ind w:left="403"/>
      </w:pPr>
      <w:r>
        <w:rPr>
          <w:b w:val="0"/>
          <w:sz w:val="18"/>
        </w:rPr>
        <w:t>Education pathway</w:t>
        <w:tab/>
        <w:t>2</w:t>
      </w:r>
      <w:r>
        <w:rPr>
          <w:sz w:val="18"/>
        </w:rPr>
      </w:r>
      <w:r>
        <w:rPr>
          <w:sz w:val="18"/>
        </w:rPr>
      </w:r>
    </w:p>
    <w:p>
      <w:pPr>
        <w:keepNext w:val="0"/>
        <w:keepLines w:val="0"/>
        <w:tabs>
          <w:tab w:pos="9288" w:val="right" w:leader="dot"/>
        </w:tabs>
        <w:spacing w:after="0" w:line="240" w:lineRule="auto" w:before="0"/>
        <w:ind w:left="403"/>
      </w:pPr>
      <w:r>
        <w:rPr>
          <w:b w:val="0"/>
          <w:sz w:val="18"/>
        </w:rPr>
        <w:t>Program verification</w:t>
        <w:tab/>
        <w:t>2</w:t>
      </w:r>
      <w:r>
        <w:rPr>
          <w:sz w:val="18"/>
        </w:rPr>
      </w:r>
    </w:p>
    <w:p>
      <w:pPr>
        <w:keepNext w:val="0"/>
        <w:keepLines w:val="0"/>
        <w:tabs>
          <w:tab w:pos="9288" w:val="right" w:leader="dot"/>
        </w:tabs>
        <w:spacing w:after="0" w:line="240" w:lineRule="auto" w:before="0"/>
        <w:ind w:left="0"/>
      </w:pPr>
      <w:r>
        <w:rPr>
          <w:b/>
          <w:sz w:val="18"/>
        </w:rPr>
        <w:t>8. Employer-Supported Learning</w:t>
        <w:tab/>
        <w:t>2</w:t>
      </w:r>
      <w:r>
        <w:rPr>
          <w:sz w:val="18"/>
        </w:rPr>
      </w:r>
    </w:p>
    <w:p>
      <w:pPr>
        <w:keepNext w:val="0"/>
        <w:keepLines w:val="0"/>
        <w:tabs>
          <w:tab w:pos="9288" w:val="right" w:leader="dot"/>
        </w:tabs>
        <w:spacing w:after="0" w:line="240" w:lineRule="auto" w:before="0"/>
        <w:ind w:left="403"/>
      </w:pPr>
      <w:r>
        <w:rPr>
          <w:b w:val="0"/>
          <w:sz w:val="18"/>
        </w:rPr>
        <w:t>Tuition and repayment</w:t>
        <w:tab/>
        <w:t>2</w:t>
      </w:r>
      <w:r>
        <w:rPr>
          <w:sz w:val="18"/>
        </w:rPr>
      </w:r>
    </w:p>
    <w:p>
      <w:pPr>
        <w:keepNext w:val="0"/>
        <w:keepLines w:val="0"/>
        <w:tabs>
          <w:tab w:pos="9288" w:val="right" w:leader="dot"/>
        </w:tabs>
        <w:spacing w:after="0" w:line="240" w:lineRule="auto" w:before="0"/>
        <w:ind w:left="403"/>
      </w:pPr>
      <w:r>
        <w:rPr>
          <w:b w:val="0"/>
          <w:sz w:val="18"/>
        </w:rPr>
        <w:t>Internships and career ladders</w:t>
        <w:tab/>
        <w:t>2</w:t>
      </w:r>
      <w:r>
        <w:rPr>
          <w:sz w:val="18"/>
        </w:rPr>
      </w:r>
    </w:p>
    <w:p>
      <w:pPr>
        <w:keepNext w:val="0"/>
        <w:keepLines w:val="0"/>
        <w:tabs>
          <w:tab w:pos="9288" w:val="right" w:leader="dot"/>
        </w:tabs>
        <w:spacing w:after="0" w:line="240" w:lineRule="auto" w:before="0"/>
        <w:ind w:left="0"/>
      </w:pPr>
      <w:r>
        <w:rPr>
          <w:b/>
          <w:sz w:val="18"/>
        </w:rPr>
        <w:t>9. Privacy, Cybersecurity, Worker Rights, and Ethical AI</w:t>
        <w:tab/>
        <w:t>2</w:t>
      </w:r>
      <w:r>
        <w:rPr>
          <w:sz w:val="18"/>
        </w:rPr>
      </w:r>
    </w:p>
    <w:p>
      <w:pPr>
        <w:keepNext w:val="0"/>
        <w:keepLines w:val="0"/>
        <w:tabs>
          <w:tab w:pos="9288" w:val="right" w:leader="dot"/>
        </w:tabs>
        <w:spacing w:after="0" w:line="240" w:lineRule="auto" w:before="0"/>
        <w:ind w:left="403"/>
      </w:pPr>
      <w:r>
        <w:rPr>
          <w:b w:val="0"/>
          <w:sz w:val="18"/>
        </w:rPr>
        <w:t>Employment protections</w:t>
        <w:tab/>
        <w:t>2</w:t>
      </w:r>
      <w:r>
        <w:rPr>
          <w:sz w:val="18"/>
        </w:rPr>
      </w:r>
    </w:p>
    <w:p>
      <w:pPr>
        <w:keepNext w:val="0"/>
        <w:keepLines w:val="0"/>
        <w:tabs>
          <w:tab w:pos="9288" w:val="right" w:leader="dot"/>
        </w:tabs>
        <w:spacing w:after="0" w:line="240" w:lineRule="auto" w:before="0"/>
        <w:ind w:left="403"/>
      </w:pPr>
      <w:r>
        <w:rPr>
          <w:b w:val="0"/>
          <w:sz w:val="18"/>
        </w:rPr>
        <w:t>Responsible technology</w:t>
        <w:tab/>
        <w:t>2</w:t>
      </w:r>
      <w:r>
        <w:rPr>
          <w:sz w:val="18"/>
        </w:rPr>
      </w:r>
    </w:p>
    <w:p>
      <w:pPr>
        <w:keepNext w:val="0"/>
        <w:keepLines w:val="0"/>
        <w:tabs>
          <w:tab w:pos="9288" w:val="right" w:leader="dot"/>
        </w:tabs>
        <w:spacing w:after="0" w:line="240" w:lineRule="auto" w:before="0"/>
        <w:ind w:left="0"/>
      </w:pPr>
      <w:r>
        <w:rPr>
          <w:b/>
          <w:sz w:val="18"/>
        </w:rPr>
        <w:t>10. Portfolio, Résumé, and Interviews</w:t>
        <w:tab/>
        <w:t>2</w:t>
      </w:r>
      <w:r>
        <w:rPr>
          <w:sz w:val="18"/>
        </w:rPr>
      </w:r>
    </w:p>
    <w:p>
      <w:pPr>
        <w:keepNext w:val="0"/>
        <w:keepLines w:val="0"/>
        <w:tabs>
          <w:tab w:pos="9288" w:val="right" w:leader="dot"/>
        </w:tabs>
        <w:spacing w:after="0" w:line="240" w:lineRule="auto" w:before="0"/>
        <w:ind w:left="403"/>
      </w:pPr>
      <w:r>
        <w:rPr>
          <w:b w:val="0"/>
          <w:sz w:val="18"/>
        </w:rPr>
        <w:t>Evidence of ability</w:t>
        <w:tab/>
        <w:t>2</w:t>
      </w:r>
      <w:r>
        <w:rPr>
          <w:sz w:val="18"/>
        </w:rPr>
      </w:r>
    </w:p>
    <w:p>
      <w:pPr>
        <w:keepNext w:val="0"/>
        <w:keepLines w:val="0"/>
        <w:tabs>
          <w:tab w:pos="9288" w:val="right" w:leader="dot"/>
        </w:tabs>
        <w:spacing w:after="0" w:line="240" w:lineRule="auto" w:before="0"/>
        <w:ind w:left="403"/>
      </w:pPr>
      <w:r>
        <w:rPr>
          <w:b w:val="0"/>
          <w:sz w:val="18"/>
        </w:rPr>
        <w:t>Application preparation</w:t>
        <w:tab/>
        <w:t>2</w:t>
      </w:r>
      <w:r>
        <w:rPr>
          <w:sz w:val="18"/>
        </w:rPr>
      </w:r>
    </w:p>
    <w:p>
      <w:pPr>
        <w:keepNext w:val="0"/>
        <w:keepLines w:val="0"/>
        <w:tabs>
          <w:tab w:pos="9288" w:val="right" w:leader="dot"/>
        </w:tabs>
        <w:spacing w:after="0" w:line="240" w:lineRule="auto" w:before="0"/>
        <w:ind w:left="0"/>
      </w:pPr>
      <w:r>
        <w:rPr>
          <w:b/>
          <w:sz w:val="18"/>
        </w:rPr>
        <w:t>11. Advancement, Portability, and Exit Planning</w:t>
        <w:tab/>
        <w:t>2</w:t>
      </w:r>
      <w:r>
        <w:rPr>
          <w:sz w:val="18"/>
        </w:rPr>
      </w:r>
    </w:p>
    <w:p>
      <w:pPr>
        <w:keepNext w:val="0"/>
        <w:keepLines w:val="0"/>
        <w:tabs>
          <w:tab w:pos="9288" w:val="right" w:leader="dot"/>
        </w:tabs>
        <w:spacing w:after="0" w:line="240" w:lineRule="auto" w:before="0"/>
        <w:ind w:left="403"/>
      </w:pPr>
      <w:r>
        <w:rPr>
          <w:b w:val="0"/>
          <w:sz w:val="18"/>
        </w:rPr>
        <w:t>Career development</w:t>
        <w:tab/>
        <w:t>2</w:t>
      </w:r>
      <w:r>
        <w:rPr>
          <w:sz w:val="18"/>
        </w:rPr>
      </w:r>
    </w:p>
    <w:p>
      <w:pPr>
        <w:keepNext w:val="0"/>
        <w:keepLines w:val="0"/>
        <w:tabs>
          <w:tab w:pos="9288" w:val="right" w:leader="dot"/>
        </w:tabs>
        <w:spacing w:after="0" w:line="240" w:lineRule="auto" w:before="0"/>
        <w:ind w:left="403"/>
      </w:pPr>
      <w:r>
        <w:rPr>
          <w:b w:val="0"/>
          <w:sz w:val="18"/>
        </w:rPr>
        <w:t>Exit options</w:t>
        <w:tab/>
        <w:t>2</w:t>
      </w:r>
      <w:r>
        <w:rPr>
          <w:sz w:val="18"/>
        </w:rPr>
      </w:r>
    </w:p>
    <w:p>
      <w:pPr>
        <w:keepNext w:val="0"/>
        <w:keepLines w:val="0"/>
        <w:tabs>
          <w:tab w:pos="9288" w:val="right" w:leader="dot"/>
        </w:tabs>
        <w:spacing w:after="0" w:line="240" w:lineRule="auto" w:before="0"/>
        <w:ind w:left="0"/>
      </w:pPr>
      <w:r>
        <w:rPr>
          <w:b/>
          <w:sz w:val="18"/>
        </w:rPr>
        <w:t>12. Before You Enroll or Sign</w:t>
        <w:tab/>
        <w:t>2</w:t>
      </w:r>
      <w:r>
        <w:rPr>
          <w:sz w:val="18"/>
        </w:rPr>
      </w:r>
    </w:p>
    <w:p>
      <w:pPr>
        <w:keepNext w:val="0"/>
        <w:keepLines w:val="0"/>
        <w:tabs>
          <w:tab w:pos="9288" w:val="right" w:leader="dot"/>
        </w:tabs>
        <w:spacing w:after="0" w:line="240" w:lineRule="auto" w:before="0"/>
        <w:ind w:left="403"/>
      </w:pPr>
      <w:r>
        <w:rPr>
          <w:b w:val="0"/>
          <w:sz w:val="18"/>
        </w:rPr>
        <w:t>Verification checklist</w:t>
        <w:tab/>
        <w:t>2</w:t>
      </w:r>
      <w:r>
        <w:rPr>
          <w:sz w:val="18"/>
        </w:rPr>
      </w:r>
    </w:p>
    <w:p>
      <w:pPr>
        <w:keepNext w:val="0"/>
        <w:keepLines w:val="0"/>
        <w:tabs>
          <w:tab w:pos="9288" w:val="right" w:leader="dot"/>
        </w:tabs>
        <w:spacing w:after="0" w:line="240" w:lineRule="auto" w:before="0"/>
        <w:ind w:left="0"/>
      </w:pPr>
      <w:r>
        <w:rPr>
          <w:b/>
          <w:sz w:val="18"/>
        </w:rPr>
        <w:t>13. Twelve-Week Action Plan</w:t>
        <w:tab/>
        <w:t>2</w:t>
      </w:r>
      <w:r>
        <w:rPr>
          <w:sz w:val="18"/>
        </w:rPr>
      </w:r>
    </w:p>
    <w:p>
      <w:pPr>
        <w:keepNext w:val="0"/>
        <w:keepLines w:val="0"/>
        <w:tabs>
          <w:tab w:pos="9288" w:val="right" w:leader="dot"/>
        </w:tabs>
        <w:spacing w:after="0" w:line="240" w:lineRule="auto" w:before="0"/>
        <w:ind w:left="403"/>
      </w:pPr>
      <w:r>
        <w:rPr>
          <w:b w:val="0"/>
          <w:sz w:val="18"/>
        </w:rPr>
        <w:t>Sequential plan</w:t>
        <w:tab/>
        <w:t>2</w:t>
      </w:r>
      <w:r>
        <w:rPr>
          <w:sz w:val="18"/>
        </w:rPr>
      </w:r>
    </w:p>
    <w:p>
      <w:pPr>
        <w:keepNext w:val="0"/>
        <w:keepLines w:val="0"/>
        <w:tabs>
          <w:tab w:pos="9288" w:val="right" w:leader="dot"/>
        </w:tabs>
        <w:spacing w:after="0" w:line="240" w:lineRule="auto" w:before="0"/>
        <w:ind w:left="0"/>
      </w:pPr>
      <w:r>
        <w:rPr>
          <w:b/>
          <w:sz w:val="18"/>
        </w:rPr>
        <w:t>14. Worksheets</w:t>
        <w:tab/>
        <w:t>2</w:t>
      </w:r>
      <w:r>
        <w:rPr>
          <w:sz w:val="18"/>
        </w:rPr>
      </w:r>
    </w:p>
    <w:p>
      <w:pPr>
        <w:keepNext w:val="0"/>
        <w:keepLines w:val="0"/>
        <w:tabs>
          <w:tab w:pos="9288" w:val="right" w:leader="dot"/>
        </w:tabs>
        <w:spacing w:after="0" w:line="240" w:lineRule="auto" w:before="0"/>
        <w:ind w:left="403"/>
      </w:pPr>
      <w:r>
        <w:rPr>
          <w:b w:val="0"/>
          <w:sz w:val="18"/>
        </w:rPr>
        <w:t>Career fit</w:t>
        <w:tab/>
        <w:t>2</w:t>
      </w:r>
      <w:r>
        <w:rPr>
          <w:sz w:val="18"/>
        </w:rPr>
      </w:r>
    </w:p>
    <w:p>
      <w:pPr>
        <w:keepNext w:val="0"/>
        <w:keepLines w:val="0"/>
        <w:tabs>
          <w:tab w:pos="9288" w:val="right" w:leader="dot"/>
        </w:tabs>
        <w:spacing w:after="0" w:line="240" w:lineRule="auto" w:before="0"/>
        <w:ind w:left="403"/>
      </w:pPr>
      <w:r>
        <w:rPr>
          <w:b w:val="0"/>
          <w:sz w:val="18"/>
        </w:rPr>
        <w:t>Cost and employer agreement</w:t>
        <w:tab/>
        <w:t>2</w:t>
      </w:r>
      <w:r>
        <w:rPr>
          <w:sz w:val="18"/>
        </w:rPr>
      </w:r>
    </w:p>
    <w:p>
      <w:pPr>
        <w:keepNext w:val="0"/>
        <w:keepLines w:val="0"/>
        <w:tabs>
          <w:tab w:pos="9288" w:val="right" w:leader="dot"/>
        </w:tabs>
        <w:spacing w:after="0" w:line="240" w:lineRule="auto" w:before="0"/>
        <w:ind w:left="0"/>
      </w:pPr>
      <w:r>
        <w:rPr>
          <w:b/>
          <w:sz w:val="18"/>
        </w:rPr>
        <w:t>15. Sources, Versioning, and Maintenance</w:t>
        <w:tab/>
        <w:t>2</w:t>
      </w:r>
      <w:r>
        <w:rPr>
          <w:sz w:val="18"/>
        </w:rPr>
      </w:r>
    </w:p>
    <w:p>
      <w:pPr>
        <w:keepNext w:val="0"/>
        <w:keepLines w:val="0"/>
        <w:tabs>
          <w:tab w:pos="9288" w:val="right" w:leader="dot"/>
        </w:tabs>
        <w:spacing w:after="0" w:line="240" w:lineRule="auto" w:before="0"/>
        <w:ind w:left="403"/>
      </w:pPr>
      <w:r>
        <w:rPr>
          <w:b w:val="0"/>
          <w:sz w:val="18"/>
        </w:rPr>
        <w:t>Official sources</w:t>
        <w:tab/>
        <w:t>2</w:t>
      </w:r>
      <w:r>
        <w:rPr>
          <w:sz w:val="18"/>
        </w:rPr>
      </w:r>
    </w:p>
    <w:p>
      <w:pPr>
        <w:keepNext w:val="0"/>
        <w:keepLines w:val="0"/>
        <w:tabs>
          <w:tab w:pos="9288" w:val="right" w:leader="dot"/>
        </w:tabs>
        <w:spacing w:after="0" w:line="240" w:lineRule="auto" w:before="0"/>
        <w:ind w:left="403"/>
      </w:pPr>
      <w:r>
        <w:rPr>
          <w:b w:val="0"/>
          <w:sz w:val="18"/>
        </w:rPr>
        <w:t>Release policy</w:t>
        <w:tab/>
        <w:t>2</w:t>
      </w:r>
      <w:r>
        <w:rPr>
          <w:sz w:val="18"/>
        </w:rPr>
      </w:r>
      <w:r>
        <w:rPr>
          <w:sz w:val="18"/>
        </w:rPr>
      </w:r>
    </w:p>
    <w:p>
      <w:pPr>
        <w:pStyle w:val="Heading1"/>
        <w:keepNext/>
      </w:pPr>
      <w:r>
        <w:t>1. How to Use This Guide</w:t>
      </w:r>
    </w:p>
    <w:p>
      <w:pPr>
        <w:pStyle w:val="Heading2"/>
        <w:keepNext/>
      </w:pPr>
      <w:r>
        <w:t>A careful decision process</w:t>
      </w:r>
    </w:p>
    <w:p>
      <w:pPr>
        <w:pStyle w:val="ListBullet"/>
        <w:ind w:left="403" w:hanging="259"/>
      </w:pPr>
      <w:r>
        <w:t>Begin with the actual work, not a school advertisement.</w:t>
      </w:r>
    </w:p>
    <w:p>
      <w:pPr>
        <w:pStyle w:val="ListBullet"/>
        <w:ind w:left="403" w:hanging="259"/>
      </w:pPr>
      <w:r>
        <w:t>Verify local requirements and employer expectations before paying.</w:t>
      </w:r>
    </w:p>
    <w:p>
      <w:pPr>
        <w:pStyle w:val="ListBullet"/>
        <w:ind w:left="403" w:hanging="259"/>
      </w:pPr>
      <w:r>
        <w:t>Test interest with ethical, fictional, public, or supervised activities.</w:t>
      </w:r>
    </w:p>
    <w:p>
      <w:pPr>
        <w:pStyle w:val="ListBullet"/>
        <w:ind w:left="403" w:hanging="259"/>
      </w:pPr>
      <w:r>
        <w:t>Keep written copies of costs, promises, accessibility decisions, and repayment terms.</w:t>
      </w:r>
    </w:p>
    <w:p>
      <w:pPr>
        <w:pStyle w:val="ListBullet"/>
        <w:ind w:left="403" w:hanging="259"/>
      </w:pPr>
      <w:r>
        <w:t>Pause when a major safety, debt, privacy, accessibility, or family concern is unresolved.</w:t>
      </w:r>
    </w:p>
    <w:p>
      <w:pPr>
        <w:pStyle w:val="Heading1"/>
        <w:keepNext/>
      </w:pPr>
      <w:r>
        <w:t>2. What the Work Involves</w:t>
      </w:r>
    </w:p>
    <w:p>
      <w:pPr>
        <w:pStyle w:val="Heading2"/>
        <w:keepNext/>
      </w:pPr>
      <w:r>
        <w:t>Purpose and settings</w:t>
      </w:r>
    </w:p>
    <w:p>
      <w:pPr/>
      <w:r>
        <w:t>Retail Supervisor and Merchandising Coordinators coordinate frontline retail work, customer service, staffing, inventory, displays, promotions, loss prevention, safety, and store standards.</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department and specialty stores</w:t>
            </w:r>
          </w:p>
        </w:tc>
      </w:tr>
      <w:tr>
        <w:trPr/>
        <w:tc>
          <w:tcPr>
            <w:tcW w:type="dxa" w:w="10166"/>
            <w:vAlign w:val="top"/>
          </w:tcPr>
          <w:p>
            <w:pPr>
              <w:spacing w:after="20" w:before="0" w:line="240" w:lineRule="auto"/>
            </w:pPr>
            <w:r>
              <w:rPr>
                <w:sz w:val="17"/>
              </w:rPr>
              <w:t>grocery, pharmacy, home-improvement, and mass-merchandise retailers</w:t>
            </w:r>
          </w:p>
        </w:tc>
      </w:tr>
      <w:tr>
        <w:trPr/>
        <w:tc>
          <w:tcPr>
            <w:tcW w:type="dxa" w:w="10166"/>
            <w:vAlign w:val="top"/>
          </w:tcPr>
          <w:p>
            <w:pPr>
              <w:spacing w:after="20" w:before="0" w:line="240" w:lineRule="auto"/>
            </w:pPr>
            <w:r>
              <w:rPr>
                <w:sz w:val="17"/>
              </w:rPr>
              <w:t>outlet, warehouse, and convenience formats</w:t>
            </w:r>
          </w:p>
        </w:tc>
      </w:tr>
      <w:tr>
        <w:trPr/>
        <w:tc>
          <w:tcPr>
            <w:tcW w:type="dxa" w:w="10166"/>
            <w:vAlign w:val="top"/>
          </w:tcPr>
          <w:p>
            <w:pPr>
              <w:spacing w:after="20" w:before="0" w:line="240" w:lineRule="auto"/>
            </w:pPr>
            <w:r>
              <w:rPr>
                <w:sz w:val="17"/>
              </w:rPr>
              <w:t>ecommerce-supported and omnichannel stores</w:t>
            </w:r>
          </w:p>
        </w:tc>
      </w:tr>
    </w:tbl>
    <w:p>
      <w:pPr>
        <w:pStyle w:val="Heading2"/>
        <w:keepNext/>
      </w:pPr>
      <w:r>
        <w:t>Daily and high-consequence work</w:t>
      </w:r>
    </w:p>
    <w:p>
      <w:pPr>
        <w:pStyle w:val="ListBullet"/>
        <w:ind w:left="403" w:hanging="259"/>
      </w:pPr>
      <w:r>
        <w:t>Open or close assigned areas and verify safety and cash procedures.</w:t>
      </w:r>
    </w:p>
    <w:p>
      <w:pPr>
        <w:pStyle w:val="ListBullet"/>
        <w:ind w:left="403" w:hanging="259"/>
      </w:pPr>
      <w:r>
        <w:t>Assign work, coach employees, and respond to customer escalations.</w:t>
      </w:r>
    </w:p>
    <w:p>
      <w:pPr>
        <w:pStyle w:val="ListBullet"/>
        <w:ind w:left="403" w:hanging="259"/>
      </w:pPr>
      <w:r>
        <w:t>Monitor inventory, replenishment, pricing, displays, and promotional execution.</w:t>
      </w:r>
    </w:p>
    <w:p>
      <w:pPr>
        <w:pStyle w:val="ListBullet"/>
        <w:ind w:left="403" w:hanging="259"/>
      </w:pPr>
      <w:r>
        <w:t>Review sales, labor, shrink, returns, and service indicators.</w:t>
      </w:r>
    </w:p>
    <w:p>
      <w:pPr>
        <w:pStyle w:val="ListBullet"/>
        <w:ind w:left="403" w:hanging="259"/>
      </w:pPr>
      <w:r>
        <w:t>Coordinate online pickup, delivery, and store-to-customer processes.</w:t>
      </w:r>
    </w:p>
    <w:p>
      <w:pPr>
        <w:pStyle w:val="ListBullet"/>
        <w:ind w:left="403" w:hanging="259"/>
      </w:pPr>
      <w:r>
        <w:t>Document incidents, discrepancies, and policy exceptions.</w:t>
      </w:r>
    </w:p>
    <w:p>
      <w:pPr>
        <w:pStyle w:val="Heading1"/>
        <w:keepNext/>
      </w:pPr>
      <w:r>
        <w:t>3. Duties, Tools, and Definitions</w:t>
      </w:r>
    </w:p>
    <w:p>
      <w:pPr>
        <w:pStyle w:val="Heading2"/>
        <w:keepNext/>
      </w:pPr>
      <w:r>
        <w:t>Common duties</w:t>
      </w:r>
    </w:p>
    <w:p>
      <w:pPr>
        <w:pStyle w:val="ListBullet"/>
        <w:ind w:left="403" w:hanging="259"/>
      </w:pPr>
      <w:r>
        <w:t>Open or close assigned areas and verify safety and cash procedures.</w:t>
      </w:r>
    </w:p>
    <w:p>
      <w:pPr>
        <w:pStyle w:val="ListBullet"/>
        <w:ind w:left="403" w:hanging="259"/>
      </w:pPr>
      <w:r>
        <w:t>Assign work, coach employees, and respond to customer escalations.</w:t>
      </w:r>
    </w:p>
    <w:p>
      <w:pPr>
        <w:pStyle w:val="ListBullet"/>
        <w:ind w:left="403" w:hanging="259"/>
      </w:pPr>
      <w:r>
        <w:t>Monitor inventory, replenishment, pricing, displays, and promotional execution.</w:t>
      </w:r>
    </w:p>
    <w:p>
      <w:pPr>
        <w:pStyle w:val="ListBullet"/>
        <w:ind w:left="403" w:hanging="259"/>
      </w:pPr>
      <w:r>
        <w:t>Review sales, labor, shrink, returns, and service indicators.</w:t>
      </w:r>
    </w:p>
    <w:p>
      <w:pPr>
        <w:pStyle w:val="ListBullet"/>
        <w:ind w:left="403" w:hanging="259"/>
      </w:pPr>
      <w:r>
        <w:t>Coordinate online pickup, delivery, and store-to-customer processes.</w:t>
      </w:r>
    </w:p>
    <w:p>
      <w:pPr>
        <w:pStyle w:val="ListBullet"/>
        <w:ind w:left="403" w:hanging="259"/>
      </w:pPr>
      <w:r>
        <w:t>Document incidents, discrepancies, and policy exceptions.</w:t>
      </w:r>
    </w:p>
    <w:p>
      <w:pPr>
        <w:pStyle w:val="Heading2"/>
        <w:keepNext/>
      </w:pPr>
      <w:r>
        <w:t>Tools and records</w:t>
      </w:r>
    </w:p>
    <w:p>
      <w:pPr>
        <w:pStyle w:val="ListBullet"/>
        <w:ind w:left="403" w:hanging="259"/>
      </w:pPr>
      <w:r>
        <w:t>Point-of-sale and workforce systems.</w:t>
      </w:r>
    </w:p>
    <w:p>
      <w:pPr>
        <w:pStyle w:val="ListBullet"/>
        <w:ind w:left="403" w:hanging="259"/>
      </w:pPr>
      <w:r>
        <w:t>Inventory scanners and merchandising systems.</w:t>
      </w:r>
    </w:p>
    <w:p>
      <w:pPr>
        <w:pStyle w:val="ListBullet"/>
        <w:ind w:left="403" w:hanging="259"/>
      </w:pPr>
      <w:r>
        <w:t>Planograms, price files, schedules, and safety checklists.</w:t>
      </w:r>
    </w:p>
    <w:p>
      <w:pPr>
        <w:pStyle w:val="ListBullet"/>
        <w:ind w:left="403" w:hanging="259"/>
      </w:pPr>
      <w:r>
        <w:t>Cash-control, loss-prevention, and incident systems.</w:t>
      </w:r>
    </w:p>
    <w:p>
      <w:pPr>
        <w:pStyle w:val="Heading2"/>
        <w:keepNext/>
      </w:pPr>
      <w:r>
        <w:t>Plain-language 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Meaning</w:t>
            </w:r>
          </w:p>
        </w:tc>
      </w:tr>
      <w:tr>
        <w:trPr/>
        <w:tc>
          <w:tcPr>
            <w:tcW w:type="dxa" w:w="5083"/>
            <w:vAlign w:val="top"/>
          </w:tcPr>
          <w:p>
            <w:pPr>
              <w:spacing w:after="20" w:before="0" w:line="240" w:lineRule="auto"/>
            </w:pPr>
            <w:r>
              <w:rPr>
                <w:sz w:val="17"/>
              </w:rPr>
              <w:t>Scope or authority</w:t>
            </w:r>
          </w:p>
        </w:tc>
        <w:tc>
          <w:tcPr>
            <w:tcW w:type="dxa" w:w="5083"/>
            <w:vAlign w:val="top"/>
          </w:tcPr>
          <w:p>
            <w:pPr>
              <w:spacing w:after="20" w:before="0" w:line="240" w:lineRule="auto"/>
            </w:pPr>
            <w:r>
              <w:rPr>
                <w:sz w:val="17"/>
              </w:rPr>
              <w:t>The decisions and tasks a worker is trained, assigned, and permitted to perform.</w:t>
            </w:r>
          </w:p>
        </w:tc>
      </w:tr>
      <w:tr>
        <w:trPr/>
        <w:tc>
          <w:tcPr>
            <w:tcW w:type="dxa" w:w="5083"/>
            <w:vAlign w:val="top"/>
          </w:tcPr>
          <w:p>
            <w:pPr>
              <w:spacing w:after="20" w:before="0" w:line="240" w:lineRule="auto"/>
            </w:pPr>
            <w:r>
              <w:rPr>
                <w:sz w:val="17"/>
              </w:rPr>
              <w:t>Approval</w:t>
            </w:r>
          </w:p>
        </w:tc>
        <w:tc>
          <w:tcPr>
            <w:tcW w:type="dxa" w:w="5083"/>
            <w:vAlign w:val="top"/>
          </w:tcPr>
          <w:p>
            <w:pPr>
              <w:spacing w:after="20" w:before="0" w:line="240" w:lineRule="auto"/>
            </w:pPr>
            <w:r>
              <w:rPr>
                <w:sz w:val="17"/>
              </w:rPr>
              <w:t>Documented authorization from the person or process with decision authority.</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risk, exception, or unresolved decision to someone able to act.</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Design and accommodations that allow people with disabilities to participate effectively.</w:t>
            </w:r>
          </w:p>
        </w:tc>
      </w:tr>
      <w:tr>
        <w:trPr/>
        <w:tc>
          <w:tcPr>
            <w:tcW w:type="dxa" w:w="5083"/>
            <w:vAlign w:val="top"/>
          </w:tcPr>
          <w:p>
            <w:pPr>
              <w:spacing w:after="20" w:before="0" w:line="240" w:lineRule="auto"/>
            </w:pPr>
            <w:r>
              <w:rPr>
                <w:sz w:val="17"/>
              </w:rPr>
              <w:t>Data minimization</w:t>
            </w:r>
          </w:p>
        </w:tc>
        <w:tc>
          <w:tcPr>
            <w:tcW w:type="dxa" w:w="5083"/>
            <w:vAlign w:val="top"/>
          </w:tcPr>
          <w:p>
            <w:pPr>
              <w:spacing w:after="20" w:before="0" w:line="240" w:lineRule="auto"/>
            </w:pPr>
            <w:r>
              <w:rPr>
                <w:sz w:val="17"/>
              </w:rPr>
              <w:t>Collecting and using only the personal information needed for a legitimate purpose.</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education or credentials are recognized beyond one school, vendor, or employer.</w:t>
            </w:r>
          </w:p>
        </w:tc>
      </w:tr>
    </w:tbl>
    <w:p>
      <w:pPr>
        <w:pStyle w:val="Heading1"/>
        <w:keepNext/>
      </w:pPr>
      <w:r>
        <w:t>4. Fit, Accessibility, and Working Conditions</w:t>
      </w:r>
    </w:p>
    <w:p>
      <w:pPr>
        <w:pStyle w:val="Heading2"/>
        <w:keepNext/>
      </w:pPr>
      <w:r>
        <w:t>Career fit</w:t>
      </w:r>
    </w:p>
    <w:p>
      <w:pPr>
        <w:pStyle w:val="ListBullet"/>
        <w:ind w:left="403" w:hanging="259"/>
      </w:pPr>
      <w:r>
        <w:t>Do I enjoy the repeated tasks rather than only the title?</w:t>
      </w:r>
    </w:p>
    <w:p>
      <w:pPr>
        <w:pStyle w:val="ListBullet"/>
        <w:ind w:left="403" w:hanging="259"/>
      </w:pPr>
      <w:r>
        <w:t>Can I handle deadlines, revisions, customer or stakeholder expectations, and screen or standing time?</w:t>
      </w:r>
    </w:p>
    <w:p>
      <w:pPr>
        <w:pStyle w:val="ListBullet"/>
        <w:ind w:left="403" w:hanging="259"/>
      </w:pPr>
      <w:r>
        <w:t>Can I meet schedule, travel, transportation, and caregiving requirements?</w:t>
      </w:r>
    </w:p>
    <w:p>
      <w:pPr>
        <w:pStyle w:val="ListBullet"/>
        <w:ind w:left="403" w:hanging="259"/>
      </w:pPr>
      <w:r>
        <w:t>Can the essential tasks be performed safely with or without reasonable accommodation?</w:t>
      </w:r>
    </w:p>
    <w:p>
      <w:pPr>
        <w:pStyle w:val="ListBullet"/>
        <w:ind w:left="403" w:hanging="259"/>
      </w:pPr>
      <w:r>
        <w:t>Does conservative pay justify the training cost and unpaid preparation time?</w:t>
      </w:r>
    </w:p>
    <w:p>
      <w:pPr>
        <w:pStyle w:val="Heading2"/>
        <w:keepNext/>
      </w:pPr>
      <w:r>
        <w:t>Accommodations and inclusion</w:t>
      </w:r>
    </w:p>
    <w:p>
      <w:pPr>
        <w:pStyle w:val="ListBullet"/>
        <w:ind w:left="403" w:hanging="259"/>
      </w:pPr>
      <w:r>
        <w:t>Verify accessibility in classes, online systems, internships, employer training, travel, events, production environments, and examinations.</w:t>
      </w:r>
    </w:p>
    <w:p>
      <w:pPr>
        <w:pStyle w:val="ListBullet"/>
        <w:ind w:left="403" w:hanging="259"/>
      </w:pPr>
      <w:r>
        <w:t>Ask separately about captioning, interpreters, screen-reader support, keyboard access, flexible schedules, ergonomic equipment, quiet space, and accessible transportation.</w:t>
      </w:r>
    </w:p>
    <w:p>
      <w:pPr>
        <w:pStyle w:val="ListBullet"/>
        <w:ind w:left="403" w:hanging="259"/>
      </w:pPr>
      <w:r>
        <w:t>Language access, inclusive communication, and nondiscrimination apply throughout recruitment, training, work, and advancement.</w:t>
      </w:r>
    </w:p>
    <w:p>
      <w:pPr>
        <w:pStyle w:val="ListBullet"/>
        <w:ind w:left="403" w:hanging="259"/>
      </w:pPr>
      <w:r>
        <w:t>Admission to a course does not prove that the complete pathway is accessible.</w:t>
      </w:r>
    </w:p>
    <w:p>
      <w:pPr>
        <w:pStyle w:val="Heading1"/>
        <w:keepNext/>
      </w:pPr>
      <w:r>
        <w:t>5. Ethics, Safety, Boundaries, and Escalation</w:t>
      </w:r>
    </w:p>
    <w:p>
      <w:pPr>
        <w:pStyle w:val="Heading2"/>
        <w:keepNext/>
      </w:pPr>
      <w:r>
        <w:t>Authority and stop-work rules</w:t>
      </w:r>
    </w:p>
    <w:p>
      <w:pPr>
        <w:pStyle w:val="ListBullet"/>
        <w:ind w:left="403" w:hanging="259"/>
      </w:pPr>
      <w:r>
        <w:t>Do not alter time, sales, return, inventory, or cash records.</w:t>
      </w:r>
    </w:p>
    <w:p>
      <w:pPr>
        <w:pStyle w:val="ListBullet"/>
        <w:ind w:left="403" w:hanging="259"/>
      </w:pPr>
      <w:r>
        <w:t>Do not pressure employees to work off the clock or skip required breaks.</w:t>
      </w:r>
    </w:p>
    <w:p>
      <w:pPr>
        <w:pStyle w:val="ListBullet"/>
        <w:ind w:left="403" w:hanging="259"/>
      </w:pPr>
      <w:r>
        <w:t>Escalate threats, suspected theft, harassment, accessibility concerns, and unsafe conditions.</w:t>
      </w:r>
    </w:p>
    <w:p>
      <w:pPr>
        <w:pStyle w:val="ListBullet"/>
        <w:ind w:left="403" w:hanging="259"/>
      </w:pPr>
      <w:r>
        <w:t>Use fair scheduling, coaching, and discipline practices within policy and law.</w:t>
      </w:r>
    </w:p>
    <w:p>
      <w:pPr>
        <w:pStyle w:val="Heading2"/>
        <w:keepNext/>
      </w:pPr>
      <w:r>
        <w:t>Health and psychological safety</w:t>
      </w:r>
    </w:p>
    <w:p>
      <w:pPr>
        <w:pStyle w:val="ListBullet"/>
        <w:ind w:left="403" w:hanging="259"/>
      </w:pPr>
      <w:r>
        <w:t>Learn emergency, incident, harassment, violence, ergonomic, travel, and lone-work procedures applicable to the role.</w:t>
      </w:r>
    </w:p>
    <w:p>
      <w:pPr>
        <w:pStyle w:val="ListBullet"/>
        <w:ind w:left="403" w:hanging="259"/>
      </w:pPr>
      <w:r>
        <w:t>Watch for burnout, deadline pressure, emotional labor, repetitive strain, visual fatigue, and pressure to conceal errors.</w:t>
      </w:r>
    </w:p>
    <w:p>
      <w:pPr>
        <w:pStyle w:val="ListBullet"/>
        <w:ind w:left="403" w:hanging="259"/>
      </w:pPr>
      <w:r>
        <w:t>Use qualified review for legal, financial, medical, security, accessibility, or technical claims outside your competence.</w:t>
      </w:r>
    </w:p>
    <w:p>
      <w:pPr>
        <w:pStyle w:val="ListBullet"/>
        <w:ind w:left="403" w:hanging="259"/>
      </w:pPr>
      <w:r>
        <w:t>Document material decisions, approvals, corrections, and unresolved risks.</w:t>
      </w:r>
    </w:p>
    <w:p>
      <w:pPr>
        <w:pStyle w:val="Heading1"/>
        <w:keepNext/>
      </w:pPr>
      <w:r>
        <w:t>6. Pay, Benefits, and Labor-Market Research</w:t>
      </w:r>
    </w:p>
    <w:p>
      <w:pPr>
        <w:pStyle w:val="Heading2"/>
        <w:keepNext/>
      </w:pPr>
      <w:r>
        <w:t>National starting point</w:t>
      </w:r>
    </w:p>
    <w:p>
      <w:pPr/>
      <w:r>
        <w:t>BLS projects first-line supervisors of retail sales workers to decline 5 percent from 2024 to 2034, while retail sales worker employment is projected to show little or no change. Replacement openings and local employer demand remain important.</w:t>
      </w:r>
    </w:p>
    <w:p>
      <w:pPr>
        <w:pStyle w:val="Heading2"/>
        <w:keepNext/>
      </w:pPr>
      <w:r>
        <w:t>Local research</w:t>
      </w:r>
    </w:p>
    <w:p>
      <w:pPr>
        <w:pStyle w:val="ListBullet"/>
        <w:ind w:left="403" w:hanging="259"/>
      </w:pPr>
      <w:r>
        <w:t>Review at least 25 current postings in the intended location or remote-work region.</w:t>
      </w:r>
    </w:p>
    <w:p>
      <w:pPr>
        <w:pStyle w:val="ListBullet"/>
        <w:ind w:left="403" w:hanging="259"/>
      </w:pPr>
      <w:r>
        <w:t>Separate entry, experienced, supervisory, freelance, contract, commission, and manager pay.</w:t>
      </w:r>
    </w:p>
    <w:p>
      <w:pPr>
        <w:pStyle w:val="ListBullet"/>
        <w:ind w:left="403" w:hanging="259"/>
      </w:pPr>
      <w:r>
        <w:t>Estimate health insurance, retirement, leave, education assistance, equipment, software, travel, parking, taxes, and unpaid administrative time.</w:t>
      </w:r>
    </w:p>
    <w:p>
      <w:pPr>
        <w:pStyle w:val="ListBullet"/>
        <w:ind w:left="403" w:hanging="259"/>
      </w:pPr>
      <w:r>
        <w:t>Confirm whether the role is employee, contractor, temporary, part-time, or commission-based.</w:t>
      </w:r>
    </w:p>
    <w:p>
      <w:pPr>
        <w:pStyle w:val="ListBullet"/>
        <w:ind w:left="403" w:hanging="259"/>
      </w:pPr>
      <w:r>
        <w:t>Never present a national median as a guaranteed starting wage.</w:t>
      </w:r>
    </w:p>
    <w:p>
      <w:pPr>
        <w:pStyle w:val="Heading1"/>
        <w:keepNext/>
      </w:pPr>
      <w:r>
        <w:t>7. Education, Schools, and Credentials</w:t>
      </w:r>
    </w:p>
    <w:p>
      <w:pPr>
        <w:pStyle w:val="Heading2"/>
        <w:keepNext/>
      </w:pPr>
      <w:r>
        <w:t>Education pathway</w:t>
      </w:r>
    </w:p>
    <w:p>
      <w:pPr/>
      <w:r>
        <w:t>Many supervisors advance through experience and employer training. Some employers support certificates or college study in retail management, business, logistics, or merchandising.</w:t>
      </w:r>
    </w:p>
    <w:p>
      <w:pPr>
        <w:pStyle w:val="Heading2"/>
        <w:keepNext/>
      </w:pPr>
      <w:r>
        <w:t>Program verification</w:t>
      </w:r>
    </w:p>
    <w:p>
      <w:pPr>
        <w:pStyle w:val="ListBullet"/>
        <w:ind w:left="403" w:hanging="259"/>
      </w:pPr>
      <w:r>
        <w:t>Verify institutional accreditation and whether employers recognize the exact program.</w:t>
      </w:r>
    </w:p>
    <w:p>
      <w:pPr>
        <w:pStyle w:val="ListBullet"/>
        <w:ind w:left="403" w:hanging="259"/>
      </w:pPr>
      <w:r>
        <w:t>Confirm credit transfer, portfolio ownership, software or equipment costs, internship terms, and refund rules.</w:t>
      </w:r>
    </w:p>
    <w:p>
      <w:pPr>
        <w:pStyle w:val="ListBullet"/>
        <w:ind w:left="403" w:hanging="259"/>
      </w:pPr>
      <w:r>
        <w:t>Compare completion, withdrawal, debt, placement methodology, and graduate outcomes.</w:t>
      </w:r>
    </w:p>
    <w:p>
      <w:pPr>
        <w:pStyle w:val="ListBullet"/>
        <w:ind w:left="403" w:hanging="259"/>
      </w:pPr>
      <w:r>
        <w:t>Prefer public colleges, libraries, employer-paid learning, recognized apprenticeships, and free-first resources when they meet the goal.</w:t>
      </w:r>
    </w:p>
    <w:p>
      <w:pPr>
        <w:pStyle w:val="ListBullet"/>
        <w:ind w:left="403" w:hanging="259"/>
      </w:pPr>
      <w:r>
        <w:t>Pay only when education produces a verified next step or demonstrable, portable skill.</w:t>
      </w:r>
    </w:p>
    <w:p>
      <w:pPr>
        <w:pStyle w:val="Heading1"/>
        <w:keepNext/>
      </w:pPr>
      <w:r>
        <w:t>8. Employer-Supported Learning</w:t>
      </w:r>
    </w:p>
    <w:p>
      <w:pPr>
        <w:pStyle w:val="Heading2"/>
        <w:keepNext/>
      </w:pPr>
      <w:r>
        <w:t>Tuition and repayment</w:t>
      </w:r>
    </w:p>
    <w:p>
      <w:pPr>
        <w:pStyle w:val="ListBullet"/>
        <w:ind w:left="403" w:hanging="259"/>
      </w:pPr>
      <w:r>
        <w:t>Employers may cover tuition, certificates, software, conferences, examinations, equipment, or paid training time.</w:t>
      </w:r>
    </w:p>
    <w:p>
      <w:pPr>
        <w:pStyle w:val="ListBullet"/>
        <w:ind w:left="403" w:hanging="259"/>
      </w:pPr>
      <w:r>
        <w:t>Obtain prior approval and the full agreement in writing.</w:t>
      </w:r>
    </w:p>
    <w:p>
      <w:pPr>
        <w:pStyle w:val="ListBullet"/>
        <w:ind w:left="403" w:hanging="259"/>
      </w:pPr>
      <w:r>
        <w:t>A service commitment may require continued employment, sometimes for up to two years.</w:t>
      </w:r>
    </w:p>
    <w:p>
      <w:pPr>
        <w:pStyle w:val="ListBullet"/>
        <w:ind w:left="403" w:hanging="259"/>
      </w:pPr>
      <w:r>
        <w:t>Voluntary departure may trigger full or prorated repayment.</w:t>
      </w:r>
    </w:p>
    <w:p>
      <w:pPr>
        <w:pStyle w:val="ListBullet"/>
        <w:ind w:left="403" w:hanging="259"/>
      </w:pPr>
      <w:r>
        <w:t>Layoff, position elimination, restructuring, closure, disability, military service, retirement, and employer-directed transfer should be addressed explicitly.</w:t>
      </w:r>
    </w:p>
    <w:p>
      <w:pPr>
        <w:pStyle w:val="ListBullet"/>
        <w:ind w:left="403" w:hanging="259"/>
      </w:pPr>
      <w:r>
        <w:t>Local law controls whether repayment or wage deductions are enforceable.</w:t>
      </w:r>
    </w:p>
    <w:p>
      <w:pPr>
        <w:pStyle w:val="Heading2"/>
        <w:keepNext/>
      </w:pPr>
      <w:r>
        <w:t>Internships and career ladders</w:t>
      </w:r>
    </w:p>
    <w:p>
      <w:pPr>
        <w:pStyle w:val="ListBullet"/>
        <w:ind w:left="403" w:hanging="259"/>
      </w:pPr>
      <w:r>
        <w:t>Distinguish paid employment, internship, externship, practicum, cooperative education, apprenticeship, mentorship, and job shadowing.</w:t>
      </w:r>
    </w:p>
    <w:p>
      <w:pPr>
        <w:pStyle w:val="ListBullet"/>
        <w:ind w:left="403" w:hanging="259"/>
      </w:pPr>
      <w:r>
        <w:t>Verify pay, supervision, academic credit, ownership of work, confidentiality, accessibility, insurance, and hiring implications.</w:t>
      </w:r>
    </w:p>
    <w:p>
      <w:pPr>
        <w:pStyle w:val="ListBullet"/>
        <w:ind w:left="403" w:hanging="259"/>
      </w:pPr>
      <w:r>
        <w:t>Cross-training and rotational programs should have written objectives and should not quietly add higher-level duties without training or compensation.</w:t>
      </w:r>
    </w:p>
    <w:p>
      <w:pPr>
        <w:pStyle w:val="ListBullet"/>
        <w:ind w:left="403" w:hanging="259"/>
      </w:pPr>
      <w:r>
        <w:t>Education support does not automatically guarantee promotion or placement.</w:t>
      </w:r>
    </w:p>
    <w:p>
      <w:pPr>
        <w:pStyle w:val="Heading1"/>
        <w:keepNext/>
      </w:pPr>
      <w:r>
        <w:t>9. Privacy, Cybersecurity, Worker Rights, and Ethical AI</w:t>
      </w:r>
    </w:p>
    <w:p>
      <w:pPr>
        <w:pStyle w:val="Heading2"/>
        <w:keepNext/>
      </w:pPr>
      <w:r>
        <w:t>Employment protections</w:t>
      </w:r>
    </w:p>
    <w:p>
      <w:pPr>
        <w:pStyle w:val="ListBullet"/>
        <w:ind w:left="403" w:hanging="259"/>
      </w:pPr>
      <w:r>
        <w:t>Verify pay for required training, overtime, travel between sites, and after-hours communication.</w:t>
      </w:r>
    </w:p>
    <w:p>
      <w:pPr>
        <w:pStyle w:val="ListBullet"/>
        <w:ind w:left="403" w:hanging="259"/>
      </w:pPr>
      <w:r>
        <w:t>Understand employee, contractor, temporary, freelance, and commission classifications.</w:t>
      </w:r>
    </w:p>
    <w:p>
      <w:pPr>
        <w:pStyle w:val="ListBullet"/>
        <w:ind w:left="403" w:hanging="259"/>
      </w:pPr>
      <w:r>
        <w:t>Know complaint channels for discrimination, inaccessible systems, retaliation, wage problems, harassment, unsafe work, or deceptive training.</w:t>
      </w:r>
    </w:p>
    <w:p>
      <w:pPr>
        <w:pStyle w:val="ListBullet"/>
        <w:ind w:left="403" w:hanging="259"/>
      </w:pPr>
      <w:r>
        <w:t>Keep agreements, approvals, time records, invoices, evaluations, and accommodation decisions.</w:t>
      </w:r>
    </w:p>
    <w:p>
      <w:pPr>
        <w:pStyle w:val="Heading2"/>
        <w:keepNext/>
      </w:pPr>
      <w:r>
        <w:t>Responsible technology</w:t>
      </w:r>
    </w:p>
    <w:p>
      <w:pPr>
        <w:pStyle w:val="ListBullet"/>
        <w:ind w:left="403" w:hanging="259"/>
      </w:pPr>
      <w:r>
        <w:t>Use only authorized data, systems, content, and accounts.</w:t>
      </w:r>
    </w:p>
    <w:p>
      <w:pPr>
        <w:pStyle w:val="ListBullet"/>
        <w:ind w:left="403" w:hanging="259"/>
      </w:pPr>
      <w:r>
        <w:t>Do not place confidential customer, employee, client, campaign, product, contract, or personal information into public AI tools.</w:t>
      </w:r>
    </w:p>
    <w:p>
      <w:pPr>
        <w:pStyle w:val="ListBullet"/>
        <w:ind w:left="403" w:hanging="259"/>
      </w:pPr>
      <w:r>
        <w:t>Verify AI output, automated analytics, generated images, translations, summaries, and recommendations.</w:t>
      </w:r>
    </w:p>
    <w:p>
      <w:pPr>
        <w:pStyle w:val="ListBullet"/>
        <w:ind w:left="403" w:hanging="259"/>
      </w:pPr>
      <w:r>
        <w:t>Do not fabricate qualifications, metrics, reviews, audience reactions, references, or work samples.</w:t>
      </w:r>
    </w:p>
    <w:p>
      <w:pPr>
        <w:pStyle w:val="ListBullet"/>
        <w:ind w:left="403" w:hanging="259"/>
      </w:pPr>
      <w:r>
        <w:t>Protect passwords, multifactor authentication, payment information, identity data, and access tokens.</w:t>
      </w:r>
    </w:p>
    <w:p>
      <w:pPr>
        <w:pStyle w:val="Heading1"/>
        <w:keepNext/>
      </w:pPr>
      <w:r>
        <w:t>10. Portfolio, Résumé, and Interviews</w:t>
      </w:r>
    </w:p>
    <w:p>
      <w:pPr>
        <w:pStyle w:val="Heading2"/>
        <w:keepNext/>
      </w:pPr>
      <w:r>
        <w:t>Evidence of ability</w:t>
      </w:r>
    </w:p>
    <w:p>
      <w:pPr>
        <w:pStyle w:val="ListBullet"/>
        <w:ind w:left="403" w:hanging="259"/>
      </w:pPr>
      <w:r>
        <w:t>Build fictional, public, volunteer-with-permission, or fully sanitized work samples.</w:t>
      </w:r>
    </w:p>
    <w:p>
      <w:pPr>
        <w:pStyle w:val="ListBullet"/>
        <w:ind w:left="403" w:hanging="259"/>
      </w:pPr>
      <w:r>
        <w:t>Show the brief, constraints, process, evidence, approvals, accessibility checks, and final result.</w:t>
      </w:r>
    </w:p>
    <w:p>
      <w:pPr>
        <w:pStyle w:val="ListBullet"/>
        <w:ind w:left="403" w:hanging="259"/>
      </w:pPr>
      <w:r>
        <w:t>Explain what you would escalate and what remained outside your authority.</w:t>
      </w:r>
    </w:p>
    <w:p>
      <w:pPr>
        <w:pStyle w:val="ListBullet"/>
        <w:ind w:left="403" w:hanging="259"/>
      </w:pPr>
      <w:r>
        <w:t>Preserve source files, version history, permissions, and a plain-language description.</w:t>
      </w:r>
    </w:p>
    <w:p>
      <w:pPr>
        <w:pStyle w:val="Heading2"/>
        <w:keepNext/>
      </w:pPr>
      <w:r>
        <w:t>Application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Found and corrected a material discrepancy before release.</w:t>
            </w:r>
          </w:p>
        </w:tc>
      </w:tr>
      <w:tr>
        <w:trPr/>
        <w:tc>
          <w:tcPr>
            <w:tcW w:type="dxa" w:w="5083"/>
            <w:vAlign w:val="top"/>
          </w:tcPr>
          <w:p>
            <w:pPr>
              <w:spacing w:after="20" w:before="0" w:line="240" w:lineRule="auto"/>
            </w:pPr>
            <w:r>
              <w:rPr>
                <w:sz w:val="17"/>
              </w:rPr>
              <w:t>Coordination</w:t>
            </w:r>
          </w:p>
        </w:tc>
        <w:tc>
          <w:tcPr>
            <w:tcW w:type="dxa" w:w="5083"/>
            <w:vAlign w:val="top"/>
          </w:tcPr>
          <w:p>
            <w:pPr>
              <w:spacing w:after="20" w:before="0" w:line="240" w:lineRule="auto"/>
            </w:pPr>
            <w:r>
              <w:rPr>
                <w:sz w:val="17"/>
              </w:rPr>
              <w:t>Tracked owners, deadlines, approvals, and dependencies.</w:t>
            </w:r>
          </w:p>
        </w:tc>
      </w:tr>
      <w:tr>
        <w:trPr/>
        <w:tc>
          <w:tcPr>
            <w:tcW w:type="dxa" w:w="5083"/>
            <w:vAlign w:val="top"/>
          </w:tcPr>
          <w:p>
            <w:pPr>
              <w:spacing w:after="20" w:before="0" w:line="240" w:lineRule="auto"/>
            </w:pPr>
            <w:r>
              <w:rPr>
                <w:sz w:val="17"/>
              </w:rPr>
              <w:t>Accessibility</w:t>
            </w:r>
          </w:p>
        </w:tc>
        <w:tc>
          <w:tcPr>
            <w:tcW w:type="dxa" w:w="5083"/>
            <w:vAlign w:val="top"/>
          </w:tcPr>
          <w:p>
            <w:pPr>
              <w:spacing w:after="20" w:before="0" w:line="240" w:lineRule="auto"/>
            </w:pPr>
            <w:r>
              <w:rPr>
                <w:sz w:val="17"/>
              </w:rPr>
              <w:t>Identified and corrected a barrier for disabled users.</w:t>
            </w:r>
          </w:p>
        </w:tc>
      </w:tr>
      <w:tr>
        <w:trPr/>
        <w:tc>
          <w:tcPr>
            <w:tcW w:type="dxa" w:w="5083"/>
            <w:vAlign w:val="top"/>
          </w:tcPr>
          <w:p>
            <w:pPr>
              <w:spacing w:after="20" w:before="0" w:line="240" w:lineRule="auto"/>
            </w:pPr>
            <w:r>
              <w:rPr>
                <w:sz w:val="17"/>
              </w:rPr>
              <w:t>Ethics</w:t>
            </w:r>
          </w:p>
        </w:tc>
        <w:tc>
          <w:tcPr>
            <w:tcW w:type="dxa" w:w="5083"/>
            <w:vAlign w:val="top"/>
          </w:tcPr>
          <w:p>
            <w:pPr>
              <w:spacing w:after="20" w:before="0" w:line="240" w:lineRule="auto"/>
            </w:pPr>
            <w:r>
              <w:rPr>
                <w:sz w:val="17"/>
              </w:rPr>
              <w:t>Refused or escalated a misleading, unauthorized, or unsafe request.</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Used feedback and evidence to improve a deliverable.</w:t>
            </w:r>
          </w:p>
        </w:tc>
      </w:tr>
    </w:tbl>
    <w:p>
      <w:pPr>
        <w:pStyle w:val="ListBullet"/>
        <w:ind w:left="403" w:hanging="259"/>
      </w:pPr>
      <w:r>
        <w:t>Describe a project with changing priorities.</w:t>
      </w:r>
    </w:p>
    <w:p>
      <w:pPr>
        <w:pStyle w:val="ListBullet"/>
        <w:ind w:left="403" w:hanging="259"/>
      </w:pPr>
      <w:r>
        <w:t>How do you verify facts and approvals?</w:t>
      </w:r>
    </w:p>
    <w:p>
      <w:pPr>
        <w:pStyle w:val="ListBullet"/>
        <w:ind w:left="403" w:hanging="259"/>
      </w:pPr>
      <w:r>
        <w:t>How do you protect confidential information?</w:t>
      </w:r>
    </w:p>
    <w:p>
      <w:pPr>
        <w:pStyle w:val="ListBullet"/>
        <w:ind w:left="403" w:hanging="259"/>
      </w:pPr>
      <w:r>
        <w:t>What would you do if asked to manipulate a metric or mislead an audience?</w:t>
      </w:r>
    </w:p>
    <w:p>
      <w:pPr>
        <w:pStyle w:val="ListBullet"/>
        <w:ind w:left="403" w:hanging="259"/>
      </w:pPr>
      <w:r>
        <w:t>How do you make work accessible and usable?</w:t>
      </w:r>
    </w:p>
    <w:p>
      <w:pPr>
        <w:pStyle w:val="Heading1"/>
        <w:keepNext/>
      </w:pPr>
      <w:r>
        <w:t>11. Advancement, Portability, and Exit Planning</w:t>
      </w:r>
    </w:p>
    <w:p>
      <w:pPr>
        <w:pStyle w:val="Heading2"/>
        <w:keepNext/>
      </w:pPr>
      <w:r>
        <w:t>Career development</w:t>
      </w:r>
    </w:p>
    <w:p>
      <w:pPr>
        <w:pStyle w:val="ListBullet"/>
        <w:ind w:left="403" w:hanging="259"/>
      </w:pPr>
      <w:r>
        <w:t>Map assistant, coordinator, specialist, senior, lead, manager, consulting, teaching, and adjacent roles.</w:t>
      </w:r>
    </w:p>
    <w:p>
      <w:pPr>
        <w:pStyle w:val="ListBullet"/>
        <w:ind w:left="403" w:hanging="259"/>
      </w:pPr>
      <w:r>
        <w:t>Identify the skills, evidence, education, and compensation change expected at each step.</w:t>
      </w:r>
    </w:p>
    <w:p>
      <w:pPr>
        <w:pStyle w:val="ListBullet"/>
        <w:ind w:left="403" w:hanging="259"/>
      </w:pPr>
      <w:r>
        <w:t>Build portable capabilities in communication, analytics, accessibility, privacy, project coordination, and domain knowledge.</w:t>
      </w:r>
    </w:p>
    <w:p>
      <w:pPr>
        <w:pStyle w:val="ListBullet"/>
        <w:ind w:left="403" w:hanging="259"/>
      </w:pPr>
      <w:r>
        <w:t>Verify whether vendor certificates are valued beyond one platform.</w:t>
      </w:r>
    </w:p>
    <w:p>
      <w:pPr>
        <w:pStyle w:val="Heading2"/>
        <w:keepNext/>
      </w:pPr>
      <w:r>
        <w:t>Exit options</w:t>
      </w:r>
    </w:p>
    <w:p>
      <w:pPr>
        <w:pStyle w:val="ListBullet"/>
        <w:ind w:left="403" w:hanging="259"/>
      </w:pPr>
      <w:r>
        <w:t>Keep portfolios, rights documentation, credentials, reviews, agreements, and training records.</w:t>
      </w:r>
    </w:p>
    <w:p>
      <w:pPr>
        <w:pStyle w:val="ListBullet"/>
        <w:ind w:left="403" w:hanging="259"/>
      </w:pPr>
      <w:r>
        <w:t>Identify adjacent roles that use the same skills with different sales, travel, screen, production, or customer demands.</w:t>
      </w:r>
    </w:p>
    <w:p>
      <w:pPr>
        <w:pStyle w:val="ListBullet"/>
        <w:ind w:left="403" w:hanging="259"/>
      </w:pPr>
      <w:r>
        <w:t>Understand client ownership, confidentiality, non-solicitation, intellectual-property, and repayment obligations.</w:t>
      </w:r>
    </w:p>
    <w:p>
      <w:pPr>
        <w:pStyle w:val="ListBullet"/>
        <w:ind w:left="403" w:hanging="259"/>
      </w:pPr>
      <w:r>
        <w:t>Do not remain in unsafe or exploitative work solely because of an unclear training-cost threat; seek qualified advice.</w:t>
      </w:r>
    </w:p>
    <w:p>
      <w:pPr>
        <w:pStyle w:val="Heading1"/>
        <w:keepNext/>
      </w:pPr>
      <w:r>
        <w:t>12. Before You Enroll or Sign</w:t>
      </w:r>
    </w:p>
    <w:p>
      <w:pPr>
        <w:pStyle w:val="Heading2"/>
        <w:keepNext/>
      </w:pPr>
      <w:r>
        <w:t>Verification checklist</w:t>
      </w:r>
    </w:p>
    <w:p>
      <w:pPr>
        <w:pStyle w:val="ListBullet"/>
        <w:ind w:left="403" w:hanging="259"/>
      </w:pPr>
      <w:r>
        <w:t>I understand the real work, working conditions, and likely entry point.</w:t>
      </w:r>
    </w:p>
    <w:p>
      <w:pPr>
        <w:pStyle w:val="ListBullet"/>
        <w:ind w:left="403" w:hanging="259"/>
      </w:pPr>
      <w:r>
        <w:t>I verified the school, credential, employer, internship, or contract.</w:t>
      </w:r>
    </w:p>
    <w:p>
      <w:pPr>
        <w:pStyle w:val="ListBullet"/>
        <w:ind w:left="403" w:hanging="259"/>
      </w:pPr>
      <w:r>
        <w:t>I calculated complete cost, including equipment, software, travel, childcare, and lost wages.</w:t>
      </w:r>
    </w:p>
    <w:p>
      <w:pPr>
        <w:pStyle w:val="ListBullet"/>
        <w:ind w:left="403" w:hanging="259"/>
      </w:pPr>
      <w:r>
        <w:t>I understand portfolio ownership, confidentiality, accessibility, and data obligations.</w:t>
      </w:r>
    </w:p>
    <w:p>
      <w:pPr>
        <w:pStyle w:val="ListBullet"/>
        <w:ind w:left="403" w:hanging="259"/>
      </w:pPr>
      <w:r>
        <w:t>I obtained employer payment, service, repayment, and layoff terms in writing.</w:t>
      </w:r>
    </w:p>
    <w:p>
      <w:pPr>
        <w:pStyle w:val="ListBullet"/>
        <w:ind w:left="403" w:hanging="259"/>
      </w:pPr>
      <w:r>
        <w:t>I compared conservative pay with debt and unpaid preparation time.</w:t>
      </w:r>
    </w:p>
    <w:p>
      <w:pPr>
        <w:pStyle w:val="ListBullet"/>
        <w:ind w:left="403" w:hanging="259"/>
      </w:pPr>
      <w:r>
        <w:t>I have an exit and transfer plan.</w:t>
      </w:r>
    </w:p>
    <w:p>
      <w:pPr>
        <w:pStyle w:val="Heading1"/>
        <w:keepNext/>
      </w:pPr>
      <w:r>
        <w:t>13. Twelve-Week Action Plan</w:t>
      </w:r>
    </w:p>
    <w:p>
      <w:pPr>
        <w:pStyle w:val="Heading2"/>
        <w:keepNext/>
      </w:pPr>
      <w:r>
        <w:t>Sequential plan</w:t>
      </w:r>
    </w:p>
    <w:p>
      <w:pPr>
        <w:pStyle w:val="ListNumber"/>
        <w:numPr>
          <w:ilvl w:val="0"/>
          <w:numId w:val="10"/>
        </w:numPr>
      </w:pPr>
      <w:r>
        <w:t>Weeks 1–2: Define strengths, constraints, access needs, schedule, and nonnegotiable conditions.</w:t>
      </w:r>
    </w:p>
    <w:p>
      <w:pPr>
        <w:pStyle w:val="ListNumber"/>
        <w:numPr>
          <w:ilvl w:val="0"/>
          <w:numId w:val="10"/>
        </w:numPr>
      </w:pPr>
      <w:r>
        <w:t>Weeks 3–4: Study duties, tools, work settings, ethics, risks, and local requirements.</w:t>
      </w:r>
    </w:p>
    <w:p>
      <w:pPr>
        <w:pStyle w:val="ListNumber"/>
        <w:numPr>
          <w:ilvl w:val="0"/>
          <w:numId w:val="10"/>
        </w:numPr>
      </w:pPr>
      <w:r>
        <w:t>Weeks 5–6: Analyze local postings, pay, benefits, portfolios, and employer expectations.</w:t>
      </w:r>
    </w:p>
    <w:p>
      <w:pPr>
        <w:pStyle w:val="ListNumber"/>
        <w:numPr>
          <w:ilvl w:val="0"/>
          <w:numId w:val="10"/>
        </w:numPr>
      </w:pPr>
      <w:r>
        <w:t>Weeks 7–8: Compare free learning, schools, employer programs, internships, and credentials.</w:t>
      </w:r>
    </w:p>
    <w:p>
      <w:pPr>
        <w:pStyle w:val="ListNumber"/>
        <w:numPr>
          <w:ilvl w:val="0"/>
          <w:numId w:val="10"/>
        </w:numPr>
      </w:pPr>
      <w:r>
        <w:t>Weeks 9–10: Verify cost, repayment, accessibility, privacy, legal, and ownership issues.</w:t>
      </w:r>
    </w:p>
    <w:p>
      <w:pPr>
        <w:pStyle w:val="ListNumber"/>
        <w:numPr>
          <w:ilvl w:val="0"/>
          <w:numId w:val="10"/>
        </w:numPr>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would enjoy repeatedly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travel, and caregiving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work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fees, software,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Portfolio, credential, and work-product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sources</w:t>
      </w:r>
    </w:p>
    <w:p>
      <w:pPr>
        <w:pStyle w:val="ListBullet"/>
      </w:pPr>
      <w:hyperlink r:id="rId11">
        <w:r>
          <w:rPr>
            <w:color w:val="0563C1"/>
            <w:u w:val="single"/>
          </w:rPr>
          <w:t>https://www.bls.gov/ooh/sales/retail-sales-workers.htm</w:t>
        </w:r>
      </w:hyperlink>
    </w:p>
    <w:p>
      <w:pPr>
        <w:pStyle w:val="ListBullet"/>
      </w:pPr>
      <w:hyperlink r:id="rId12">
        <w:r>
          <w:rPr>
            <w:color w:val="0563C1"/>
            <w:u w:val="single"/>
          </w:rPr>
          <w:t>https://www.bls.gov/emp/tables/occupations-largest-job-declines.htm</w:t>
        </w:r>
      </w:hyperlink>
    </w:p>
    <w:p>
      <w:pPr>
        <w:pStyle w:val="ListBullet"/>
        <w:ind w:left="403" w:hanging="259"/>
      </w:pPr>
      <w:r>
        <w:t>Applicable labor, consumer-protection, accessibility, privacy, education, tax, licensing, and professional authorities.</w:t>
      </w:r>
    </w:p>
    <w:p>
      <w:pPr>
        <w:pStyle w:val="ListBullet"/>
        <w:ind w:left="403" w:hanging="259"/>
      </w:pPr>
      <w:r>
        <w:t>Current employers, public colleges, unions, professional associations, and recognized training providers.</w:t>
      </w:r>
    </w:p>
    <w:p>
      <w:pPr>
        <w:pStyle w:val="ListBullet"/>
        <w:ind w:left="403" w:hanging="259"/>
      </w:pPr>
      <w:r>
        <w:t>IRS education-credit and employer educational-assistance guidance for the applicable tax year.</w:t>
      </w:r>
    </w:p>
    <w:p>
      <w:pPr>
        <w:pStyle w:val="Heading2"/>
        <w:keepNext/>
      </w:pPr>
      <w:r>
        <w:t>Release policy</w:t>
      </w:r>
    </w:p>
    <w:p>
      <w:pPr>
        <w:pStyle w:val="ListBullet"/>
        <w:ind w:left="403" w:hanging="259"/>
      </w:pPr>
      <w:r>
        <w:t>Status: Release candidate pending owner review.</w:t>
      </w:r>
    </w:p>
    <w:p>
      <w:pPr>
        <w:pStyle w:val="ListBullet"/>
        <w:ind w:left="403" w:hanging="259"/>
      </w:pPr>
      <w:r>
        <w:t>Version: v1.0 after approval.</w:t>
      </w:r>
    </w:p>
    <w:p>
      <w:pPr>
        <w:pStyle w:val="ListBullet"/>
        <w:ind w:left="403" w:hanging="259"/>
      </w:pPr>
      <w:r>
        <w:t>Factual review date: July 2026.</w:t>
      </w:r>
    </w:p>
    <w:p>
      <w:pPr>
        <w:pStyle w:val="ListBullet"/>
        <w:ind w:left="403" w:hanging="259"/>
      </w:pPr>
      <w:r>
        <w:t>Next review: July 2027 or sooner after a material change.</w:t>
      </w:r>
    </w:p>
    <w:p>
      <w:pPr>
        <w:pStyle w:val="ListBullet"/>
        <w:ind w:left="403" w:hanging="259"/>
      </w:pPr>
      <w:r>
        <w:t>Corrections should identify the guide, section, source, and requested change.</w:t>
      </w:r>
    </w:p>
    <w:p>
      <w:pPr>
        <w:pStyle w:val="SmallNote"/>
      </w:pPr>
      <w:r>
        <w:rPr>
          <w:b/>
        </w:rPr>
        <w:t xml:space="preserve">Final governing principle: </w:t>
      </w:r>
      <w:r>
        <w:t>When speed and completeness conflict, completeness wins. Uncertainty is disclosed. The reader’s safety, dignity, and informed choice come first.</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Lifelong Opportunity Guides | Retail Supervisor and Merchandising Coordinator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ind w:left="259" w:right="259"/>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sales/retail-sales-workers.htm" TargetMode="External"/><Relationship Id="rId12" Type="http://schemas.openxmlformats.org/officeDocument/2006/relationships/hyperlink" Target="https://www.bls.gov/emp/tables/occupations-largest-job-decline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Retail Supervisor and Merchandising Coordinator Guide English v1.0</dc:title>
  <dc:subject>Career guide for Retail Supervisor and Merchandising Coordinator</dc:subject>
  <dc:creator>Alberto (Al) Leiva</dc:creator>
  <cp:keywords>career guide, education, accessibility, employer tuition assistance, ethical AI, worker rights</cp:keywords>
  <dc:description>generated by python-docx</dc:description>
  <cp:lastModifiedBy/>
  <cp:revision>1</cp:revision>
  <dcterms:created xsi:type="dcterms:W3CDTF">2013-12-23T23:15:00Z</dcterms:created>
  <dcterms:modified xsi:type="dcterms:W3CDTF">2013-12-23T23:15:00Z</dcterms:modified>
  <cp:category/>
</cp:coreProperties>
</file>