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PUBLIC RELATIONS ASSISTANT AND COMMUNICATIONS COORDINATOR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Public Relations Assistant and Communications Coordinator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Public Relations Assistant and Communications Coordinators support accurate, accessible, timely communication with employees, communities, media, partners, and the public.</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Public Relations Assistant and Communications Coordinator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tab/>
        <w:t>2</w:t>
      </w:r>
      <w:r>
        <w:rPr>
          <w:sz w:val="18"/>
        </w:rPr>
      </w:r>
    </w:p>
    <w:p>
      <w:pPr>
        <w:keepNext w:val="0"/>
        <w:keepLines w:val="0"/>
        <w:tabs>
          <w:tab w:pos="9288" w:val="right" w:leader="dot"/>
        </w:tabs>
        <w:spacing w:after="0" w:line="240" w:lineRule="auto" w:before="0"/>
        <w:ind w:left="0"/>
      </w:pPr>
      <w:r>
        <w:rPr>
          <w:b/>
          <w:sz w:val="18"/>
        </w:rPr>
        <w:t>Acknowledgment of AI Assistance</w:t>
        <w:tab/>
        <w:t>2</w:t>
      </w:r>
      <w:r>
        <w:rPr>
          <w:sz w:val="18"/>
        </w:rPr>
      </w:r>
    </w:p>
    <w:p>
      <w:pPr>
        <w:keepNext w:val="0"/>
        <w:keepLines w:val="0"/>
        <w:tabs>
          <w:tab w:pos="9288" w:val="right" w:leader="dot"/>
        </w:tabs>
        <w:spacing w:after="0" w:line="240" w:lineRule="auto" w:before="0"/>
        <w:ind w:left="0"/>
      </w:pPr>
      <w:r>
        <w:rPr>
          <w:b/>
          <w:sz w:val="18"/>
        </w:rPr>
        <w:t>Ethical and Practical Limits</w:t>
        <w:tab/>
        <w:t>2</w:t>
      </w:r>
      <w:r>
        <w:rPr>
          <w:sz w:val="18"/>
        </w:rPr>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Public Relations Assistant and Communications Coordinators support accurate, accessible, timely communication with employees, communities, media, partners, and the public.</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corporate and nonprofit communications teams</w:t>
            </w:r>
          </w:p>
        </w:tc>
      </w:tr>
      <w:tr>
        <w:trPr/>
        <w:tc>
          <w:tcPr>
            <w:tcW w:type="dxa" w:w="10166"/>
            <w:vAlign w:val="top"/>
          </w:tcPr>
          <w:p>
            <w:pPr>
              <w:spacing w:after="20" w:before="0" w:line="240" w:lineRule="auto"/>
            </w:pPr>
            <w:r>
              <w:rPr>
                <w:sz w:val="17"/>
              </w:rPr>
              <w:t>government and education offices</w:t>
            </w:r>
          </w:p>
        </w:tc>
      </w:tr>
      <w:tr>
        <w:trPr/>
        <w:tc>
          <w:tcPr>
            <w:tcW w:type="dxa" w:w="10166"/>
            <w:vAlign w:val="top"/>
          </w:tcPr>
          <w:p>
            <w:pPr>
              <w:spacing w:after="20" w:before="0" w:line="240" w:lineRule="auto"/>
            </w:pPr>
            <w:r>
              <w:rPr>
                <w:sz w:val="17"/>
              </w:rPr>
              <w:t>healthcare, associations, and public affairs organizations</w:t>
            </w:r>
          </w:p>
        </w:tc>
      </w:tr>
      <w:tr>
        <w:trPr/>
        <w:tc>
          <w:tcPr>
            <w:tcW w:type="dxa" w:w="10166"/>
            <w:vAlign w:val="top"/>
          </w:tcPr>
          <w:p>
            <w:pPr>
              <w:spacing w:after="20" w:before="0" w:line="240" w:lineRule="auto"/>
            </w:pPr>
            <w:r>
              <w:rPr>
                <w:sz w:val="17"/>
              </w:rPr>
              <w:t>public relations agencies and community organizations</w:t>
            </w:r>
          </w:p>
        </w:tc>
      </w:tr>
    </w:tbl>
    <w:p>
      <w:pPr>
        <w:pStyle w:val="Heading2"/>
        <w:keepNext/>
      </w:pPr>
      <w:r>
        <w:t>Daily and high-consequence work</w:t>
      </w:r>
    </w:p>
    <w:p>
      <w:pPr>
        <w:pStyle w:val="ListBullet"/>
        <w:ind w:left="403" w:hanging="259"/>
      </w:pPr>
      <w:r>
        <w:t>Maintain media and stakeholder lists with appropriate consent.</w:t>
      </w:r>
    </w:p>
    <w:p>
      <w:pPr>
        <w:pStyle w:val="ListBullet"/>
        <w:ind w:left="403" w:hanging="259"/>
      </w:pPr>
      <w:r>
        <w:t>Draft and route announcements, releases, newsletters, and talking points.</w:t>
      </w:r>
    </w:p>
    <w:p>
      <w:pPr>
        <w:pStyle w:val="ListBullet"/>
        <w:ind w:left="403" w:hanging="259"/>
      </w:pPr>
      <w:r>
        <w:t>Coordinate interviews, events, approvals, monitoring, and follow-up.</w:t>
      </w:r>
    </w:p>
    <w:p>
      <w:pPr>
        <w:pStyle w:val="ListBullet"/>
        <w:ind w:left="403" w:hanging="259"/>
      </w:pPr>
      <w:r>
        <w:t>Verify facts, names, dates, quotations, permissions, and accessibility.</w:t>
      </w:r>
    </w:p>
    <w:p>
      <w:pPr>
        <w:pStyle w:val="ListBullet"/>
        <w:ind w:left="403" w:hanging="259"/>
      </w:pPr>
      <w:r>
        <w:t>Track coverage, questions, corrections, and public feedback.</w:t>
      </w:r>
    </w:p>
    <w:p>
      <w:pPr>
        <w:pStyle w:val="ListBullet"/>
        <w:ind w:left="403" w:hanging="259"/>
      </w:pPr>
      <w:r>
        <w:t>Support crisis communication under authorized leadership.</w:t>
      </w:r>
    </w:p>
    <w:p>
      <w:pPr>
        <w:pStyle w:val="Heading1"/>
        <w:keepNext/>
      </w:pPr>
      <w:r>
        <w:t>3. Duties, Tools, and Definitions</w:t>
      </w:r>
    </w:p>
    <w:p>
      <w:pPr>
        <w:pStyle w:val="Heading2"/>
        <w:keepNext/>
      </w:pPr>
      <w:r>
        <w:t>Common duties</w:t>
      </w:r>
    </w:p>
    <w:p>
      <w:pPr>
        <w:pStyle w:val="ListBullet"/>
        <w:ind w:left="403" w:hanging="259"/>
      </w:pPr>
      <w:r>
        <w:t>Maintain media and stakeholder lists with appropriate consent.</w:t>
      </w:r>
    </w:p>
    <w:p>
      <w:pPr>
        <w:pStyle w:val="ListBullet"/>
        <w:ind w:left="403" w:hanging="259"/>
      </w:pPr>
      <w:r>
        <w:t>Draft and route announcements, releases, newsletters, and talking points.</w:t>
      </w:r>
    </w:p>
    <w:p>
      <w:pPr>
        <w:pStyle w:val="ListBullet"/>
        <w:ind w:left="403" w:hanging="259"/>
      </w:pPr>
      <w:r>
        <w:t>Coordinate interviews, events, approvals, monitoring, and follow-up.</w:t>
      </w:r>
    </w:p>
    <w:p>
      <w:pPr>
        <w:pStyle w:val="ListBullet"/>
        <w:ind w:left="403" w:hanging="259"/>
      </w:pPr>
      <w:r>
        <w:t>Verify facts, names, dates, quotations, permissions, and accessibility.</w:t>
      </w:r>
    </w:p>
    <w:p>
      <w:pPr>
        <w:pStyle w:val="ListBullet"/>
        <w:ind w:left="403" w:hanging="259"/>
      </w:pPr>
      <w:r>
        <w:t>Track coverage, questions, corrections, and public feedback.</w:t>
      </w:r>
    </w:p>
    <w:p>
      <w:pPr>
        <w:pStyle w:val="ListBullet"/>
        <w:ind w:left="403" w:hanging="259"/>
      </w:pPr>
      <w:r>
        <w:t>Support crisis communication under authorized leadership.</w:t>
      </w:r>
    </w:p>
    <w:p>
      <w:pPr>
        <w:pStyle w:val="Heading2"/>
        <w:keepNext/>
      </w:pPr>
      <w:r>
        <w:t>Tools and records</w:t>
      </w:r>
    </w:p>
    <w:p>
      <w:pPr>
        <w:pStyle w:val="ListBullet"/>
        <w:ind w:left="403" w:hanging="259"/>
      </w:pPr>
      <w:r>
        <w:t>Media databases and monitoring tools.</w:t>
      </w:r>
    </w:p>
    <w:p>
      <w:pPr>
        <w:pStyle w:val="ListBullet"/>
        <w:ind w:left="403" w:hanging="259"/>
      </w:pPr>
      <w:r>
        <w:t>Content-management, email, social, and collaboration platforms.</w:t>
      </w:r>
    </w:p>
    <w:p>
      <w:pPr>
        <w:pStyle w:val="ListBullet"/>
        <w:ind w:left="403" w:hanging="259"/>
      </w:pPr>
      <w:r>
        <w:t>Style guides, approval workflows, contact lists, and issue logs.</w:t>
      </w:r>
    </w:p>
    <w:p>
      <w:pPr>
        <w:pStyle w:val="ListBullet"/>
        <w:ind w:left="403" w:hanging="259"/>
      </w:pPr>
      <w:r>
        <w:t>Recording, captioning, transcription, and accessibility tools.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knowingly distribute false, misleading, defamatory, or confidential information.</w:t>
      </w:r>
    </w:p>
    <w:p>
      <w:pPr>
        <w:pStyle w:val="ListBullet"/>
        <w:ind w:left="403" w:hanging="259"/>
      </w:pPr>
      <w:r>
        <w:t>Correct material errors promptly and preserve approval records.</w:t>
      </w:r>
    </w:p>
    <w:p>
      <w:pPr>
        <w:pStyle w:val="ListBullet"/>
        <w:ind w:left="403" w:hanging="259"/>
      </w:pPr>
      <w:r>
        <w:t>Do not impersonate independent community voices or hide sponsorship.</w:t>
      </w:r>
    </w:p>
    <w:p>
      <w:pPr>
        <w:pStyle w:val="ListBullet"/>
        <w:ind w:left="403" w:hanging="259"/>
      </w:pPr>
      <w:r>
        <w:t>Escalate legal, safety, privacy, crisis, and reputational issues.</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projects public relations specialist employment to grow 5 percent from 2024 to 2034. Assistant and coordinator roles may have lower entry requirements and different wages.</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A bachelor’s degree is common for public relations specialists, but assistant roles may accept relevant writing, communications, customer-service, community, or administrative experience plus a strong ethical portfolio.</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https://www.bls.gov/ooh/media-and-communication/public-relations-specialists.htm</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Public Relations Assistant and Communications Coordinator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media-and-communication/public-relations-specialis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Public Relations Assistant and Communications Coordinator Guide English v1.0</dc:title>
  <dc:subject>Career guide for Public Relations Assistant and Communications Coordinator</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