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WEB AND DIGITAL INTERFACE DESIGNER</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SmallNote"/>
        <w:jc w:val="center"/>
      </w:pPr>
      <w:r>
        <w:rPr>
          <w:b/>
        </w:rPr>
        <w:t xml:space="preserve">The promise of this guide: </w:t>
      </w:r>
      <w:r>
        <w:t>This guide does not promise that Web and Digital Interface Designer work is right for everyone, that training will be free, or that a credential will lead to employment. It helps readers understand the work, verify requirements, compare funding, protect themselves,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and ethical guidance.</w:t>
      </w:r>
    </w:p>
    <w:p>
      <w:pPr/>
      <w:r>
        <w:t>Web and Digital Interface Designers design usable, accessible, responsive interfaces and visual systems for websites and digital products while collaborating with research, content, development, and product teams.</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ind w:left="403" w:hanging="259"/>
      </w:pPr>
      <w:r>
        <w:t>No career assessment can guarantee that you will enjoy Web and Digital Interface Designer work.</w:t>
      </w:r>
    </w:p>
    <w:p>
      <w:pPr>
        <w:pStyle w:val="ListBullet"/>
        <w:ind w:left="403" w:hanging="259"/>
      </w:pPr>
      <w:r>
        <w:t>No school, credential, government program, recruiter, or employer can guarantee employment, funding, promotion, or a particular salary.</w:t>
      </w:r>
    </w:p>
    <w:p>
      <w:pPr>
        <w:pStyle w:val="ListBullet"/>
        <w:ind w:left="403" w:hanging="259"/>
      </w:pPr>
      <w:r>
        <w:t>Job titles, education, technology, privacy, labor, accessibility, and hiring expectations vary by employer and jurisdiction.</w:t>
      </w:r>
    </w:p>
    <w:p>
      <w:pPr>
        <w:pStyle w:val="ListBullet"/>
        <w:ind w:left="403" w:hanging="259"/>
      </w:pPr>
      <w:r>
        <w:t>This guide is educational and not individualized legal, tax, immigration, financial, medical, or licensed vocational advice.</w:t>
      </w:r>
    </w:p>
    <w:p>
      <w:pPr>
        <w:pStyle w:val="ListBullet"/>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40" w:lineRule="auto" w:before="0"/>
        <w:ind w:left="0"/>
      </w:pPr>
      <w:r>
        <w:rPr>
          <w:b/>
          <w:sz w:val="18"/>
        </w:rPr>
        <w:t>Why I Created This Guide</w:t>
      </w:r>
      <w:r>
        <w:rPr>
          <w:sz w:val="18"/>
        </w:rPr>
        <w:tab/>
        <w:t>2</w:t>
      </w:r>
    </w:p>
    <w:p>
      <w:pPr>
        <w:keepNext w:val="0"/>
        <w:keepLines w:val="0"/>
        <w:tabs>
          <w:tab w:pos="9288" w:val="right" w:leader="dot"/>
        </w:tabs>
        <w:spacing w:after="0" w:line="240" w:lineRule="auto" w:before="0"/>
        <w:ind w:left="0"/>
      </w:pPr>
      <w:r>
        <w:rPr>
          <w:b/>
          <w:sz w:val="18"/>
        </w:rPr>
        <w:t>Acknowledgment of AI Assistance</w:t>
      </w:r>
      <w:r>
        <w:rPr>
          <w:sz w:val="18"/>
        </w:rPr>
        <w:tab/>
        <w:t>2</w:t>
      </w:r>
    </w:p>
    <w:p>
      <w:pPr>
        <w:keepNext w:val="0"/>
        <w:keepLines w:val="0"/>
        <w:tabs>
          <w:tab w:pos="9288" w:val="right" w:leader="dot"/>
        </w:tabs>
        <w:spacing w:after="0" w:line="240" w:lineRule="auto" w:before="0"/>
        <w:ind w:left="0"/>
      </w:pPr>
      <w:r>
        <w:rPr>
          <w:b/>
          <w:sz w:val="18"/>
        </w:rPr>
        <w:t>Ethical and Practical Limits</w:t>
      </w:r>
      <w:r>
        <w:rPr>
          <w:sz w:val="18"/>
        </w:rPr>
        <w:tab/>
        <w:t>2</w:t>
      </w:r>
    </w:p>
    <w:p>
      <w:pPr>
        <w:keepNext w:val="0"/>
        <w:keepLines w:val="0"/>
        <w:tabs>
          <w:tab w:pos="9288" w:val="right" w:leader="dot"/>
        </w:tabs>
        <w:spacing w:after="0" w:line="240" w:lineRule="auto" w:before="0"/>
        <w:ind w:left="0"/>
      </w:pPr>
      <w:r>
        <w:rPr>
          <w:b/>
          <w:sz w:val="18"/>
        </w:rPr>
        <w:t>1. How to Use This Guide</w:t>
        <w:tab/>
        <w:t>2</w:t>
      </w:r>
      <w:r>
        <w:rPr>
          <w:sz w:val="18"/>
        </w:rPr>
      </w:r>
    </w:p>
    <w:p>
      <w:pPr>
        <w:keepNext w:val="0"/>
        <w:keepLines w:val="0"/>
        <w:tabs>
          <w:tab w:pos="9288" w:val="right" w:leader="dot"/>
        </w:tabs>
        <w:spacing w:after="0" w:line="240" w:lineRule="auto" w:before="0"/>
        <w:ind w:left="403"/>
      </w:pPr>
      <w:r>
        <w:rPr>
          <w:b w:val="0"/>
          <w:sz w:val="18"/>
        </w:rPr>
        <w:t>A careful decision process</w:t>
        <w:tab/>
        <w:t>2</w:t>
      </w:r>
      <w:r>
        <w:rPr>
          <w:sz w:val="18"/>
        </w:rPr>
      </w:r>
    </w:p>
    <w:p>
      <w:pPr>
        <w:keepNext w:val="0"/>
        <w:keepLines w:val="0"/>
        <w:tabs>
          <w:tab w:pos="9288" w:val="right" w:leader="dot"/>
        </w:tabs>
        <w:spacing w:after="0" w:line="240" w:lineRule="auto" w:before="0"/>
        <w:ind w:left="0"/>
      </w:pPr>
      <w:r>
        <w:rPr>
          <w:b/>
          <w:sz w:val="18"/>
        </w:rPr>
        <w:t>2. What the Work Involves</w:t>
        <w:tab/>
        <w:t>2</w:t>
      </w:r>
      <w:r>
        <w:rPr>
          <w:sz w:val="18"/>
        </w:rPr>
      </w:r>
    </w:p>
    <w:p>
      <w:pPr>
        <w:keepNext w:val="0"/>
        <w:keepLines w:val="0"/>
        <w:tabs>
          <w:tab w:pos="9288" w:val="right" w:leader="dot"/>
        </w:tabs>
        <w:spacing w:after="0" w:line="240" w:lineRule="auto" w:before="0"/>
        <w:ind w:left="403"/>
      </w:pPr>
      <w:r>
        <w:rPr>
          <w:b w:val="0"/>
          <w:sz w:val="18"/>
        </w:rPr>
        <w:t>Purpose and settings</w:t>
        <w:tab/>
        <w:t>2</w:t>
      </w:r>
      <w:r>
        <w:rPr>
          <w:sz w:val="18"/>
        </w:rPr>
      </w:r>
    </w:p>
    <w:p>
      <w:pPr>
        <w:keepNext w:val="0"/>
        <w:keepLines w:val="0"/>
        <w:tabs>
          <w:tab w:pos="9288" w:val="right" w:leader="dot"/>
        </w:tabs>
        <w:spacing w:after="0" w:line="240" w:lineRule="auto" w:before="0"/>
        <w:ind w:left="403"/>
      </w:pPr>
      <w:r>
        <w:rPr>
          <w:b w:val="0"/>
          <w:sz w:val="18"/>
        </w:rPr>
        <w:t>Daily and high-consequence work</w:t>
        <w:tab/>
        <w:t>2</w:t>
      </w:r>
      <w:r>
        <w:rPr>
          <w:sz w:val="18"/>
        </w:rPr>
      </w:r>
    </w:p>
    <w:p>
      <w:pPr>
        <w:keepNext w:val="0"/>
        <w:keepLines w:val="0"/>
        <w:tabs>
          <w:tab w:pos="9288" w:val="right" w:leader="dot"/>
        </w:tabs>
        <w:spacing w:after="0" w:line="240" w:lineRule="auto" w:before="0"/>
        <w:ind w:left="0"/>
      </w:pPr>
      <w:r>
        <w:rPr>
          <w:b/>
          <w:sz w:val="18"/>
        </w:rPr>
        <w:t>3. Duties, Tools, and Definitions</w:t>
        <w:tab/>
        <w:t>2</w:t>
      </w:r>
      <w:r>
        <w:rPr>
          <w:sz w:val="18"/>
        </w:rPr>
      </w:r>
    </w:p>
    <w:p>
      <w:pPr>
        <w:keepNext w:val="0"/>
        <w:keepLines w:val="0"/>
        <w:tabs>
          <w:tab w:pos="9288" w:val="right" w:leader="dot"/>
        </w:tabs>
        <w:spacing w:after="0" w:line="240" w:lineRule="auto" w:before="0"/>
        <w:ind w:left="403"/>
      </w:pPr>
      <w:r>
        <w:rPr>
          <w:b w:val="0"/>
          <w:sz w:val="18"/>
        </w:rPr>
        <w:t>Common duties</w:t>
        <w:tab/>
        <w:t>2</w:t>
      </w:r>
      <w:r>
        <w:rPr>
          <w:sz w:val="18"/>
        </w:rPr>
      </w:r>
    </w:p>
    <w:p>
      <w:pPr>
        <w:keepNext w:val="0"/>
        <w:keepLines w:val="0"/>
        <w:tabs>
          <w:tab w:pos="9288" w:val="right" w:leader="dot"/>
        </w:tabs>
        <w:spacing w:after="0" w:line="240" w:lineRule="auto" w:before="0"/>
        <w:ind w:left="403"/>
      </w:pPr>
      <w:r>
        <w:rPr>
          <w:b w:val="0"/>
          <w:sz w:val="18"/>
        </w:rPr>
        <w:t>Tools and records</w:t>
        <w:tab/>
        <w:t>2</w:t>
      </w:r>
      <w:r>
        <w:rPr>
          <w:sz w:val="18"/>
        </w:rPr>
      </w:r>
    </w:p>
    <w:p>
      <w:pPr>
        <w:keepNext w:val="0"/>
        <w:keepLines w:val="0"/>
        <w:tabs>
          <w:tab w:pos="9288" w:val="right" w:leader="dot"/>
        </w:tabs>
        <w:spacing w:after="0" w:line="240" w:lineRule="auto" w:before="0"/>
        <w:ind w:left="403"/>
      </w:pPr>
      <w:r>
        <w:rPr>
          <w:b w:val="0"/>
          <w:sz w:val="18"/>
        </w:rPr>
        <w:t>Plain-language definitions</w:t>
        <w:tab/>
        <w:t>2</w:t>
      </w:r>
      <w:r>
        <w:rPr>
          <w:sz w:val="18"/>
        </w:rPr>
      </w:r>
    </w:p>
    <w:p>
      <w:pPr>
        <w:keepNext w:val="0"/>
        <w:keepLines w:val="0"/>
        <w:tabs>
          <w:tab w:pos="9288" w:val="right" w:leader="dot"/>
        </w:tabs>
        <w:spacing w:after="0" w:line="240" w:lineRule="auto" w:before="0"/>
        <w:ind w:left="0"/>
      </w:pPr>
      <w:r>
        <w:rPr>
          <w:b/>
          <w:sz w:val="18"/>
        </w:rPr>
        <w:t>4. Fit, Accessibility, and Working Conditions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Accommodations and inclusion</w:t>
        <w:tab/>
        <w:t>2</w:t>
      </w:r>
      <w:r>
        <w:rPr>
          <w:sz w:val="18"/>
        </w:rPr>
      </w:r>
    </w:p>
    <w:p>
      <w:pPr>
        <w:keepNext w:val="0"/>
        <w:keepLines w:val="0"/>
        <w:tabs>
          <w:tab w:pos="9288" w:val="right" w:leader="dot"/>
        </w:tabs>
        <w:spacing w:after="0" w:line="240" w:lineRule="auto" w:before="0"/>
        <w:ind w:left="0"/>
      </w:pPr>
      <w:r>
        <w:rPr>
          <w:b/>
          <w:sz w:val="18"/>
        </w:rPr>
        <w:t>5. Ethics, Safety, Boundaries, and Escalation</w:t>
        <w:tab/>
        <w:t>2</w:t>
      </w:r>
      <w:r>
        <w:rPr>
          <w:sz w:val="18"/>
        </w:rPr>
      </w:r>
    </w:p>
    <w:p>
      <w:pPr>
        <w:keepNext w:val="0"/>
        <w:keepLines w:val="0"/>
        <w:tabs>
          <w:tab w:pos="9288" w:val="right" w:leader="dot"/>
        </w:tabs>
        <w:spacing w:after="0" w:line="240" w:lineRule="auto" w:before="0"/>
        <w:ind w:left="403"/>
      </w:pPr>
      <w:r>
        <w:rPr>
          <w:b w:val="0"/>
          <w:sz w:val="18"/>
        </w:rPr>
        <w:t>Authority and stop-work rules</w:t>
        <w:tab/>
        <w:t>2</w:t>
      </w:r>
      <w:r>
        <w:rPr>
          <w:sz w:val="18"/>
        </w:rPr>
      </w:r>
    </w:p>
    <w:p>
      <w:pPr>
        <w:keepNext w:val="0"/>
        <w:keepLines w:val="0"/>
        <w:tabs>
          <w:tab w:pos="9288" w:val="right" w:leader="dot"/>
        </w:tabs>
        <w:spacing w:after="0" w:line="240" w:lineRule="auto" w:before="0"/>
        <w:ind w:left="403"/>
      </w:pPr>
      <w:r>
        <w:rPr>
          <w:b w:val="0"/>
          <w:sz w:val="18"/>
        </w:rPr>
        <w:t>Health and psychological safety</w:t>
        <w:tab/>
        <w:t>2</w:t>
      </w:r>
      <w:r>
        <w:rPr>
          <w:sz w:val="18"/>
        </w:rPr>
      </w:r>
    </w:p>
    <w:p>
      <w:pPr>
        <w:keepNext w:val="0"/>
        <w:keepLines w:val="0"/>
        <w:tabs>
          <w:tab w:pos="9288" w:val="right" w:leader="dot"/>
        </w:tabs>
        <w:spacing w:after="0" w:line="240" w:lineRule="auto" w:before="0"/>
        <w:ind w:left="0"/>
      </w:pPr>
      <w:r>
        <w:rPr>
          <w:b/>
          <w:sz w:val="18"/>
        </w:rPr>
        <w:t>6. Pay, Benefits, and Labor-Market Research</w:t>
        <w:tab/>
        <w:t>2</w:t>
      </w:r>
      <w:r>
        <w:rPr>
          <w:sz w:val="18"/>
        </w:rPr>
      </w:r>
    </w:p>
    <w:p>
      <w:pPr>
        <w:keepNext w:val="0"/>
        <w:keepLines w:val="0"/>
        <w:tabs>
          <w:tab w:pos="9288" w:val="right" w:leader="dot"/>
        </w:tabs>
        <w:spacing w:after="0" w:line="240" w:lineRule="auto" w:before="0"/>
        <w:ind w:left="403"/>
      </w:pPr>
      <w:r>
        <w:rPr>
          <w:b w:val="0"/>
          <w:sz w:val="18"/>
        </w:rPr>
        <w:t>National starting point</w:t>
        <w:tab/>
        <w:t>2</w:t>
      </w:r>
      <w:r>
        <w:rPr>
          <w:sz w:val="18"/>
        </w:rPr>
      </w:r>
    </w:p>
    <w:p>
      <w:pPr>
        <w:keepNext w:val="0"/>
        <w:keepLines w:val="0"/>
        <w:tabs>
          <w:tab w:pos="9288" w:val="right" w:leader="dot"/>
        </w:tabs>
        <w:spacing w:after="0" w:line="240" w:lineRule="auto" w:before="0"/>
        <w:ind w:left="403"/>
      </w:pPr>
      <w:r>
        <w:rPr>
          <w:b w:val="0"/>
          <w:sz w:val="18"/>
        </w:rPr>
        <w:t>Local research</w:t>
        <w:tab/>
        <w:t>2</w:t>
      </w:r>
      <w:r>
        <w:rPr>
          <w:sz w:val="18"/>
        </w:rPr>
      </w:r>
    </w:p>
    <w:p>
      <w:pPr>
        <w:keepNext w:val="0"/>
        <w:keepLines w:val="0"/>
        <w:tabs>
          <w:tab w:pos="9288" w:val="right" w:leader="dot"/>
        </w:tabs>
        <w:spacing w:after="0" w:line="240" w:lineRule="auto" w:before="0"/>
        <w:ind w:left="0"/>
      </w:pPr>
      <w:r>
        <w:rPr>
          <w:b/>
          <w:sz w:val="18"/>
        </w:rPr>
        <w:t>7. Education, Schools, and Credentials</w:t>
        <w:tab/>
        <w:t>2</w:t>
      </w:r>
      <w:r>
        <w:rPr>
          <w:sz w:val="18"/>
        </w:rPr>
      </w:r>
    </w:p>
    <w:p>
      <w:pPr>
        <w:keepNext w:val="0"/>
        <w:keepLines w:val="0"/>
        <w:tabs>
          <w:tab w:pos="9288" w:val="right" w:leader="dot"/>
        </w:tabs>
        <w:spacing w:after="0" w:line="240" w:lineRule="auto" w:before="0"/>
        <w:ind w:left="403"/>
      </w:pPr>
      <w:r>
        <w:rPr>
          <w:b w:val="0"/>
          <w:sz w:val="18"/>
        </w:rPr>
        <w:t>Education pathway</w:t>
        <w:tab/>
        <w:t>2</w:t>
      </w:r>
      <w:r>
        <w:rPr>
          <w:sz w:val="18"/>
        </w:rPr>
      </w:r>
      <w:r>
        <w:rPr>
          <w:sz w:val="18"/>
        </w:rPr>
      </w:r>
    </w:p>
    <w:p>
      <w:pPr>
        <w:keepNext w:val="0"/>
        <w:keepLines w:val="0"/>
        <w:tabs>
          <w:tab w:pos="9288" w:val="right" w:leader="dot"/>
        </w:tabs>
        <w:spacing w:after="0" w:line="240" w:lineRule="auto" w:before="0"/>
        <w:ind w:left="403"/>
      </w:pPr>
      <w:r>
        <w:rPr>
          <w:b w:val="0"/>
          <w:sz w:val="18"/>
        </w:rPr>
        <w:t>Program verification</w:t>
        <w:tab/>
        <w:t>2</w:t>
      </w:r>
      <w:r>
        <w:rPr>
          <w:sz w:val="18"/>
        </w:rPr>
      </w:r>
    </w:p>
    <w:p>
      <w:pPr>
        <w:keepNext w:val="0"/>
        <w:keepLines w:val="0"/>
        <w:tabs>
          <w:tab w:pos="9288" w:val="right" w:leader="dot"/>
        </w:tabs>
        <w:spacing w:after="0" w:line="240" w:lineRule="auto" w:before="0"/>
        <w:ind w:left="0"/>
      </w:pPr>
      <w:r>
        <w:rPr>
          <w:b/>
          <w:sz w:val="18"/>
        </w:rPr>
        <w:t>8. Employer-Supported Learning</w:t>
        <w:tab/>
        <w:t>2</w:t>
      </w:r>
      <w:r>
        <w:rPr>
          <w:sz w:val="18"/>
        </w:rPr>
      </w:r>
    </w:p>
    <w:p>
      <w:pPr>
        <w:keepNext w:val="0"/>
        <w:keepLines w:val="0"/>
        <w:tabs>
          <w:tab w:pos="9288" w:val="right" w:leader="dot"/>
        </w:tabs>
        <w:spacing w:after="0" w:line="240" w:lineRule="auto" w:before="0"/>
        <w:ind w:left="403"/>
      </w:pPr>
      <w:r>
        <w:rPr>
          <w:b w:val="0"/>
          <w:sz w:val="18"/>
        </w:rPr>
        <w:t>Tuition and repayment</w:t>
        <w:tab/>
        <w:t>2</w:t>
      </w:r>
      <w:r>
        <w:rPr>
          <w:sz w:val="18"/>
        </w:rPr>
      </w:r>
    </w:p>
    <w:p>
      <w:pPr>
        <w:keepNext w:val="0"/>
        <w:keepLines w:val="0"/>
        <w:tabs>
          <w:tab w:pos="9288" w:val="right" w:leader="dot"/>
        </w:tabs>
        <w:spacing w:after="0" w:line="240" w:lineRule="auto" w:before="0"/>
        <w:ind w:left="403"/>
      </w:pPr>
      <w:r>
        <w:rPr>
          <w:b w:val="0"/>
          <w:sz w:val="18"/>
        </w:rPr>
        <w:t>Internships and career ladders</w:t>
        <w:tab/>
        <w:t>2</w:t>
      </w:r>
      <w:r>
        <w:rPr>
          <w:sz w:val="18"/>
        </w:rPr>
      </w:r>
    </w:p>
    <w:p>
      <w:pPr>
        <w:keepNext w:val="0"/>
        <w:keepLines w:val="0"/>
        <w:tabs>
          <w:tab w:pos="9288" w:val="right" w:leader="dot"/>
        </w:tabs>
        <w:spacing w:after="0" w:line="240" w:lineRule="auto" w:before="0"/>
        <w:ind w:left="0"/>
      </w:pPr>
      <w:r>
        <w:rPr>
          <w:b/>
          <w:sz w:val="18"/>
        </w:rPr>
        <w:t>9. Privacy, Cybersecurity, Worker Rights, and Ethical AI</w:t>
        <w:tab/>
        <w:t>2</w:t>
      </w:r>
      <w:r>
        <w:rPr>
          <w:sz w:val="18"/>
        </w:rPr>
      </w:r>
    </w:p>
    <w:p>
      <w:pPr>
        <w:keepNext w:val="0"/>
        <w:keepLines w:val="0"/>
        <w:tabs>
          <w:tab w:pos="9288" w:val="right" w:leader="dot"/>
        </w:tabs>
        <w:spacing w:after="0" w:line="240" w:lineRule="auto" w:before="0"/>
        <w:ind w:left="403"/>
      </w:pPr>
      <w:r>
        <w:rPr>
          <w:b w:val="0"/>
          <w:sz w:val="18"/>
        </w:rPr>
        <w:t>Employment protections</w:t>
        <w:tab/>
        <w:t>2</w:t>
      </w:r>
      <w:r>
        <w:rPr>
          <w:sz w:val="18"/>
        </w:rPr>
      </w:r>
    </w:p>
    <w:p>
      <w:pPr>
        <w:keepNext w:val="0"/>
        <w:keepLines w:val="0"/>
        <w:tabs>
          <w:tab w:pos="9288" w:val="right" w:leader="dot"/>
        </w:tabs>
        <w:spacing w:after="0" w:line="240" w:lineRule="auto" w:before="0"/>
        <w:ind w:left="403"/>
      </w:pPr>
      <w:r>
        <w:rPr>
          <w:b w:val="0"/>
          <w:sz w:val="18"/>
        </w:rPr>
        <w:t>Responsible technology</w:t>
        <w:tab/>
        <w:t>2</w:t>
      </w:r>
      <w:r>
        <w:rPr>
          <w:sz w:val="18"/>
        </w:rPr>
      </w:r>
    </w:p>
    <w:p>
      <w:pPr>
        <w:keepNext w:val="0"/>
        <w:keepLines w:val="0"/>
        <w:tabs>
          <w:tab w:pos="9288" w:val="right" w:leader="dot"/>
        </w:tabs>
        <w:spacing w:after="0" w:line="240" w:lineRule="auto" w:before="0"/>
        <w:ind w:left="0"/>
      </w:pPr>
      <w:r>
        <w:rPr>
          <w:b/>
          <w:sz w:val="18"/>
        </w:rPr>
        <w:t>10. Portfolio, Résumé, and Interviews</w:t>
        <w:tab/>
        <w:t>2</w:t>
      </w:r>
      <w:r>
        <w:rPr>
          <w:sz w:val="18"/>
        </w:rPr>
      </w:r>
    </w:p>
    <w:p>
      <w:pPr>
        <w:keepNext w:val="0"/>
        <w:keepLines w:val="0"/>
        <w:tabs>
          <w:tab w:pos="9288" w:val="right" w:leader="dot"/>
        </w:tabs>
        <w:spacing w:after="0" w:line="240" w:lineRule="auto" w:before="0"/>
        <w:ind w:left="403"/>
      </w:pPr>
      <w:r>
        <w:rPr>
          <w:b w:val="0"/>
          <w:sz w:val="18"/>
        </w:rPr>
        <w:t>Evidence of ability</w:t>
        <w:tab/>
        <w:t>2</w:t>
      </w:r>
      <w:r>
        <w:rPr>
          <w:sz w:val="18"/>
        </w:rPr>
      </w:r>
    </w:p>
    <w:p>
      <w:pPr>
        <w:keepNext w:val="0"/>
        <w:keepLines w:val="0"/>
        <w:tabs>
          <w:tab w:pos="9288" w:val="right" w:leader="dot"/>
        </w:tabs>
        <w:spacing w:after="0" w:line="240" w:lineRule="auto" w:before="0"/>
        <w:ind w:left="403"/>
      </w:pPr>
      <w:r>
        <w:rPr>
          <w:b w:val="0"/>
          <w:sz w:val="18"/>
        </w:rPr>
        <w:t>Application preparation</w:t>
        <w:tab/>
        <w:t>2</w:t>
      </w:r>
      <w:r>
        <w:rPr>
          <w:sz w:val="18"/>
        </w:rPr>
      </w:r>
    </w:p>
    <w:p>
      <w:pPr>
        <w:keepNext w:val="0"/>
        <w:keepLines w:val="0"/>
        <w:tabs>
          <w:tab w:pos="9288" w:val="right" w:leader="dot"/>
        </w:tabs>
        <w:spacing w:after="0" w:line="240" w:lineRule="auto" w:before="0"/>
        <w:ind w:left="0"/>
      </w:pPr>
      <w:r>
        <w:rPr>
          <w:b/>
          <w:sz w:val="18"/>
        </w:rPr>
        <w:t>11. Advancement, Portability, and Exit Planning</w:t>
        <w:tab/>
        <w:t>2</w:t>
      </w:r>
      <w:r>
        <w:rPr>
          <w:sz w:val="18"/>
        </w:rPr>
      </w:r>
    </w:p>
    <w:p>
      <w:pPr>
        <w:keepNext w:val="0"/>
        <w:keepLines w:val="0"/>
        <w:tabs>
          <w:tab w:pos="9288" w:val="right" w:leader="dot"/>
        </w:tabs>
        <w:spacing w:after="0" w:line="240" w:lineRule="auto" w:before="0"/>
        <w:ind w:left="403"/>
      </w:pPr>
      <w:r>
        <w:rPr>
          <w:b w:val="0"/>
          <w:sz w:val="18"/>
        </w:rPr>
        <w:t>Career development</w:t>
        <w:tab/>
        <w:t>2</w:t>
      </w:r>
      <w:r>
        <w:rPr>
          <w:sz w:val="18"/>
        </w:rPr>
      </w:r>
    </w:p>
    <w:p>
      <w:pPr>
        <w:keepNext w:val="0"/>
        <w:keepLines w:val="0"/>
        <w:tabs>
          <w:tab w:pos="9288" w:val="right" w:leader="dot"/>
        </w:tabs>
        <w:spacing w:after="0" w:line="240" w:lineRule="auto" w:before="0"/>
        <w:ind w:left="403"/>
      </w:pPr>
      <w:r>
        <w:rPr>
          <w:b w:val="0"/>
          <w:sz w:val="18"/>
        </w:rPr>
        <w:t>Exit options</w:t>
        <w:tab/>
        <w:t>2</w:t>
      </w:r>
      <w:r>
        <w:rPr>
          <w:sz w:val="18"/>
        </w:rPr>
      </w:r>
    </w:p>
    <w:p>
      <w:pPr>
        <w:keepNext w:val="0"/>
        <w:keepLines w:val="0"/>
        <w:tabs>
          <w:tab w:pos="9288" w:val="right" w:leader="dot"/>
        </w:tabs>
        <w:spacing w:after="0" w:line="240" w:lineRule="auto" w:before="0"/>
        <w:ind w:left="0"/>
      </w:pPr>
      <w:r>
        <w:rPr>
          <w:b/>
          <w:sz w:val="18"/>
        </w:rPr>
        <w:t>12. Before You Enroll or Sign</w:t>
        <w:tab/>
        <w:t>2</w:t>
      </w:r>
      <w:r>
        <w:rPr>
          <w:sz w:val="18"/>
        </w:rPr>
      </w:r>
    </w:p>
    <w:p>
      <w:pPr>
        <w:keepNext w:val="0"/>
        <w:keepLines w:val="0"/>
        <w:tabs>
          <w:tab w:pos="9288" w:val="right" w:leader="dot"/>
        </w:tabs>
        <w:spacing w:after="0" w:line="240" w:lineRule="auto" w:before="0"/>
        <w:ind w:left="403"/>
      </w:pPr>
      <w:r>
        <w:rPr>
          <w:b w:val="0"/>
          <w:sz w:val="18"/>
        </w:rPr>
        <w:t>Verification checklist</w:t>
        <w:tab/>
        <w:t>2</w:t>
      </w:r>
      <w:r>
        <w:rPr>
          <w:sz w:val="18"/>
        </w:rPr>
      </w:r>
    </w:p>
    <w:p>
      <w:pPr>
        <w:keepNext w:val="0"/>
        <w:keepLines w:val="0"/>
        <w:tabs>
          <w:tab w:pos="9288" w:val="right" w:leader="dot"/>
        </w:tabs>
        <w:spacing w:after="0" w:line="240" w:lineRule="auto" w:before="0"/>
        <w:ind w:left="0"/>
      </w:pPr>
      <w:r>
        <w:rPr>
          <w:b/>
          <w:sz w:val="18"/>
        </w:rPr>
        <w:t>13. Twelve-Week Action Plan</w:t>
        <w:tab/>
        <w:t>2</w:t>
      </w:r>
      <w:r>
        <w:rPr>
          <w:sz w:val="18"/>
        </w:rPr>
      </w:r>
    </w:p>
    <w:p>
      <w:pPr>
        <w:keepNext w:val="0"/>
        <w:keepLines w:val="0"/>
        <w:tabs>
          <w:tab w:pos="9288" w:val="right" w:leader="dot"/>
        </w:tabs>
        <w:spacing w:after="0" w:line="240" w:lineRule="auto" w:before="0"/>
        <w:ind w:left="403"/>
      </w:pPr>
      <w:r>
        <w:rPr>
          <w:b w:val="0"/>
          <w:sz w:val="18"/>
        </w:rPr>
        <w:t>Sequential plan</w:t>
        <w:tab/>
        <w:t>2</w:t>
      </w:r>
      <w:r>
        <w:rPr>
          <w:sz w:val="18"/>
        </w:rPr>
      </w:r>
    </w:p>
    <w:p>
      <w:pPr>
        <w:keepNext w:val="0"/>
        <w:keepLines w:val="0"/>
        <w:tabs>
          <w:tab w:pos="9288" w:val="right" w:leader="dot"/>
        </w:tabs>
        <w:spacing w:after="0" w:line="240" w:lineRule="auto" w:before="0"/>
        <w:ind w:left="0"/>
      </w:pPr>
      <w:r>
        <w:rPr>
          <w:b/>
          <w:sz w:val="18"/>
        </w:rPr>
        <w:t>14. Worksheets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Cost and employer agreement</w:t>
        <w:tab/>
        <w:t>2</w:t>
      </w:r>
      <w:r>
        <w:rPr>
          <w:sz w:val="18"/>
        </w:rPr>
      </w:r>
    </w:p>
    <w:p>
      <w:pPr>
        <w:keepNext w:val="0"/>
        <w:keepLines w:val="0"/>
        <w:tabs>
          <w:tab w:pos="9288" w:val="right" w:leader="dot"/>
        </w:tabs>
        <w:spacing w:after="0" w:line="240" w:lineRule="auto" w:before="0"/>
        <w:ind w:left="0"/>
      </w:pPr>
      <w:r>
        <w:rPr>
          <w:b/>
          <w:sz w:val="18"/>
        </w:rPr>
        <w:t>15. Sources, Versioning, and Maintenance</w:t>
        <w:tab/>
        <w:t>2</w:t>
      </w:r>
      <w:r>
        <w:rPr>
          <w:sz w:val="18"/>
        </w:rPr>
      </w:r>
    </w:p>
    <w:p>
      <w:pPr>
        <w:keepNext w:val="0"/>
        <w:keepLines w:val="0"/>
        <w:tabs>
          <w:tab w:pos="9288" w:val="right" w:leader="dot"/>
        </w:tabs>
        <w:spacing w:after="0" w:line="240" w:lineRule="auto" w:before="0"/>
        <w:ind w:left="403"/>
      </w:pPr>
      <w:r>
        <w:rPr>
          <w:b w:val="0"/>
          <w:sz w:val="18"/>
        </w:rPr>
        <w:t>Official sources</w:t>
        <w:tab/>
        <w:t>2</w:t>
      </w:r>
      <w:r>
        <w:rPr>
          <w:sz w:val="18"/>
        </w:rPr>
      </w:r>
    </w:p>
    <w:p>
      <w:pPr>
        <w:keepNext w:val="0"/>
        <w:keepLines w:val="0"/>
        <w:tabs>
          <w:tab w:pos="9288" w:val="right" w:leader="dot"/>
        </w:tabs>
        <w:spacing w:after="0" w:line="240" w:lineRule="auto" w:before="0"/>
        <w:ind w:left="403"/>
      </w:pPr>
      <w:r>
        <w:rPr>
          <w:b w:val="0"/>
          <w:sz w:val="18"/>
        </w:rPr>
        <w:t>Release policy</w:t>
        <w:tab/>
        <w:t>2</w:t>
      </w:r>
      <w:r>
        <w:rPr>
          <w:sz w:val="18"/>
        </w:rPr>
      </w:r>
      <w:r>
        <w:rPr>
          <w:sz w:val="18"/>
        </w:rPr>
      </w:r>
    </w:p>
    <w:p>
      <w:pPr>
        <w:pStyle w:val="Heading1"/>
        <w:keepNext/>
      </w:pPr>
      <w:r>
        <w:t>1. How to Use This Guide</w:t>
      </w:r>
    </w:p>
    <w:p>
      <w:pPr>
        <w:pStyle w:val="Heading2"/>
        <w:keepNext/>
      </w:pPr>
      <w:r>
        <w:t>A careful decision process</w:t>
      </w:r>
    </w:p>
    <w:p>
      <w:pPr>
        <w:pStyle w:val="ListBullet"/>
        <w:ind w:left="403" w:hanging="259"/>
      </w:pPr>
      <w:r>
        <w:t>Begin with the actual work, not a school advertisement.</w:t>
      </w:r>
    </w:p>
    <w:p>
      <w:pPr>
        <w:pStyle w:val="ListBullet"/>
        <w:ind w:left="403" w:hanging="259"/>
      </w:pPr>
      <w:r>
        <w:t>Verify local requirements and employer expectations before paying.</w:t>
      </w:r>
    </w:p>
    <w:p>
      <w:pPr>
        <w:pStyle w:val="ListBullet"/>
        <w:ind w:left="403" w:hanging="259"/>
      </w:pPr>
      <w:r>
        <w:t>Test interest with ethical, fictional, public, or supervised activities.</w:t>
      </w:r>
    </w:p>
    <w:p>
      <w:pPr>
        <w:pStyle w:val="ListBullet"/>
        <w:ind w:left="403" w:hanging="259"/>
      </w:pPr>
      <w:r>
        <w:t>Keep written copies of costs, promises, accessibility decisions, and repayment terms.</w:t>
      </w:r>
    </w:p>
    <w:p>
      <w:pPr>
        <w:pStyle w:val="ListBullet"/>
        <w:ind w:left="403" w:hanging="259"/>
      </w:pPr>
      <w:r>
        <w:t>Pause when a major safety, debt, privacy, accessibility, or family concern is unresolved.</w:t>
      </w:r>
    </w:p>
    <w:p>
      <w:pPr>
        <w:pStyle w:val="Heading1"/>
        <w:keepNext/>
      </w:pPr>
      <w:r>
        <w:t>2. What the Work Involves</w:t>
      </w:r>
    </w:p>
    <w:p>
      <w:pPr>
        <w:pStyle w:val="Heading2"/>
        <w:keepNext/>
      </w:pPr>
      <w:r>
        <w:t>Purpose and settings</w:t>
      </w:r>
    </w:p>
    <w:p>
      <w:pPr/>
      <w:r>
        <w:t>Web and Digital Interface Designers design usable, accessible, responsive interfaces and visual systems for websites and digital products while collaborating with research, content, development, and product teams.</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technology and software companies</w:t>
            </w:r>
          </w:p>
        </w:tc>
      </w:tr>
      <w:tr>
        <w:trPr/>
        <w:tc>
          <w:tcPr>
            <w:tcW w:type="dxa" w:w="10166"/>
            <w:vAlign w:val="top"/>
          </w:tcPr>
          <w:p>
            <w:pPr>
              <w:spacing w:after="20" w:before="0" w:line="240" w:lineRule="auto"/>
            </w:pPr>
            <w:r>
              <w:rPr>
                <w:sz w:val="17"/>
              </w:rPr>
              <w:t>agencies and consulting firms</w:t>
            </w:r>
          </w:p>
        </w:tc>
      </w:tr>
      <w:tr>
        <w:trPr/>
        <w:tc>
          <w:tcPr>
            <w:tcW w:type="dxa" w:w="10166"/>
            <w:vAlign w:val="top"/>
          </w:tcPr>
          <w:p>
            <w:pPr>
              <w:spacing w:after="20" w:before="0" w:line="240" w:lineRule="auto"/>
            </w:pPr>
            <w:r>
              <w:rPr>
                <w:sz w:val="17"/>
              </w:rPr>
              <w:t>corporate, nonprofit, education, healthcare, and government digital teams</w:t>
            </w:r>
          </w:p>
        </w:tc>
      </w:tr>
      <w:tr>
        <w:trPr/>
        <w:tc>
          <w:tcPr>
            <w:tcW w:type="dxa" w:w="10166"/>
            <w:vAlign w:val="top"/>
          </w:tcPr>
          <w:p>
            <w:pPr>
              <w:spacing w:after="20" w:before="0" w:line="240" w:lineRule="auto"/>
            </w:pPr>
            <w:r>
              <w:rPr>
                <w:sz w:val="17"/>
              </w:rPr>
              <w:t>freelance and contract work</w:t>
            </w:r>
          </w:p>
        </w:tc>
      </w:tr>
    </w:tbl>
    <w:p>
      <w:pPr>
        <w:pStyle w:val="Heading2"/>
        <w:keepNext/>
      </w:pPr>
      <w:r>
        <w:t>Daily and high-consequence work</w:t>
      </w:r>
    </w:p>
    <w:p>
      <w:pPr>
        <w:pStyle w:val="ListBullet"/>
        <w:ind w:left="403" w:hanging="259"/>
      </w:pPr>
      <w:r>
        <w:t>Translate user needs and requirements into flows, wireframes, prototypes, and visual designs.</w:t>
      </w:r>
    </w:p>
    <w:p>
      <w:pPr>
        <w:pStyle w:val="ListBullet"/>
        <w:ind w:left="403" w:hanging="259"/>
      </w:pPr>
      <w:r>
        <w:t>Design responsive layouts, components, states, and interaction patterns.</w:t>
      </w:r>
    </w:p>
    <w:p>
      <w:pPr>
        <w:pStyle w:val="ListBullet"/>
        <w:ind w:left="403" w:hanging="259"/>
      </w:pPr>
      <w:r>
        <w:t>Apply accessibility, readability, localization, and inclusive-design principles.</w:t>
      </w:r>
    </w:p>
    <w:p>
      <w:pPr>
        <w:pStyle w:val="ListBullet"/>
        <w:ind w:left="403" w:hanging="259"/>
      </w:pPr>
      <w:r>
        <w:t>Prepare design specifications and collaborate with developers.</w:t>
      </w:r>
    </w:p>
    <w:p>
      <w:pPr>
        <w:pStyle w:val="ListBullet"/>
        <w:ind w:left="403" w:hanging="259"/>
      </w:pPr>
      <w:r>
        <w:t>Test prototypes and document findings and decisions.</w:t>
      </w:r>
    </w:p>
    <w:p>
      <w:pPr>
        <w:pStyle w:val="ListBullet"/>
        <w:ind w:left="403" w:hanging="259"/>
      </w:pPr>
      <w:r>
        <w:t>Maintain design systems, versions, assets, and approvals.</w:t>
      </w:r>
    </w:p>
    <w:p>
      <w:pPr>
        <w:pStyle w:val="Heading1"/>
        <w:keepNext/>
      </w:pPr>
      <w:r>
        <w:t>3. Duties, Tools, and Definitions</w:t>
      </w:r>
    </w:p>
    <w:p>
      <w:pPr>
        <w:pStyle w:val="Heading2"/>
        <w:keepNext/>
      </w:pPr>
      <w:r>
        <w:t>Common duties</w:t>
      </w:r>
    </w:p>
    <w:p>
      <w:pPr>
        <w:pStyle w:val="ListBullet"/>
        <w:ind w:left="403" w:hanging="259"/>
      </w:pPr>
      <w:r>
        <w:t>Translate user needs and requirements into flows, wireframes, prototypes, and visual designs.</w:t>
      </w:r>
    </w:p>
    <w:p>
      <w:pPr>
        <w:pStyle w:val="ListBullet"/>
        <w:ind w:left="403" w:hanging="259"/>
      </w:pPr>
      <w:r>
        <w:t>Design responsive layouts, components, states, and interaction patterns.</w:t>
      </w:r>
    </w:p>
    <w:p>
      <w:pPr>
        <w:pStyle w:val="ListBullet"/>
        <w:ind w:left="403" w:hanging="259"/>
      </w:pPr>
      <w:r>
        <w:t>Apply accessibility, readability, localization, and inclusive-design principles.</w:t>
      </w:r>
    </w:p>
    <w:p>
      <w:pPr>
        <w:pStyle w:val="ListBullet"/>
        <w:ind w:left="403" w:hanging="259"/>
      </w:pPr>
      <w:r>
        <w:t>Prepare design specifications and collaborate with developers.</w:t>
      </w:r>
    </w:p>
    <w:p>
      <w:pPr>
        <w:pStyle w:val="ListBullet"/>
        <w:ind w:left="403" w:hanging="259"/>
      </w:pPr>
      <w:r>
        <w:t>Test prototypes and document findings and decisions.</w:t>
      </w:r>
    </w:p>
    <w:p>
      <w:pPr>
        <w:pStyle w:val="ListBullet"/>
        <w:ind w:left="403" w:hanging="259"/>
      </w:pPr>
      <w:r>
        <w:t>Maintain design systems, versions, assets, and approvals.</w:t>
      </w:r>
    </w:p>
    <w:p>
      <w:pPr>
        <w:pStyle w:val="Heading2"/>
        <w:keepNext/>
      </w:pPr>
      <w:r>
        <w:t>Tools and records</w:t>
      </w:r>
    </w:p>
    <w:p>
      <w:pPr>
        <w:pStyle w:val="ListBullet"/>
        <w:ind w:left="403" w:hanging="259"/>
      </w:pPr>
      <w:r>
        <w:t>Interface-design and prototyping tools.</w:t>
      </w:r>
    </w:p>
    <w:p>
      <w:pPr>
        <w:pStyle w:val="ListBullet"/>
        <w:ind w:left="403" w:hanging="259"/>
      </w:pPr>
      <w:r>
        <w:t>Design systems, component libraries, and collaboration platforms.</w:t>
      </w:r>
    </w:p>
    <w:p>
      <w:pPr>
        <w:pStyle w:val="ListBullet"/>
        <w:ind w:left="403" w:hanging="259"/>
      </w:pPr>
      <w:r>
        <w:t>Accessibility, contrast, keyboard, screen-reader, and usability testing tools.</w:t>
      </w:r>
    </w:p>
    <w:p>
      <w:pPr>
        <w:pStyle w:val="ListBullet"/>
        <w:ind w:left="403" w:hanging="259"/>
      </w:pPr>
      <w:r>
        <w:t>Analytics, issue trackers, content systems, and version repositories.</w:t>
      </w:r>
    </w:p>
    <w:p>
      <w:pPr>
        <w:pStyle w:val="Heading2"/>
        <w:keepNext/>
      </w:pPr>
      <w:r>
        <w:t>Plain-language 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Meaning</w:t>
            </w:r>
          </w:p>
        </w:tc>
      </w:tr>
      <w:tr>
        <w:trPr/>
        <w:tc>
          <w:tcPr>
            <w:tcW w:type="dxa" w:w="5083"/>
            <w:vAlign w:val="top"/>
          </w:tcPr>
          <w:p>
            <w:pPr>
              <w:spacing w:after="20" w:before="0" w:line="240" w:lineRule="auto"/>
            </w:pPr>
            <w:r>
              <w:rPr>
                <w:sz w:val="17"/>
              </w:rPr>
              <w:t>Scope or authority</w:t>
            </w:r>
          </w:p>
        </w:tc>
        <w:tc>
          <w:tcPr>
            <w:tcW w:type="dxa" w:w="5083"/>
            <w:vAlign w:val="top"/>
          </w:tcPr>
          <w:p>
            <w:pPr>
              <w:spacing w:after="20" w:before="0" w:line="240" w:lineRule="auto"/>
            </w:pPr>
            <w:r>
              <w:rPr>
                <w:sz w:val="17"/>
              </w:rPr>
              <w:t>The decisions and tasks a worker is trained, assigned, and permitted to perform.</w:t>
            </w:r>
          </w:p>
        </w:tc>
      </w:tr>
      <w:tr>
        <w:trPr/>
        <w:tc>
          <w:tcPr>
            <w:tcW w:type="dxa" w:w="5083"/>
            <w:vAlign w:val="top"/>
          </w:tcPr>
          <w:p>
            <w:pPr>
              <w:spacing w:after="20" w:before="0" w:line="240" w:lineRule="auto"/>
            </w:pPr>
            <w:r>
              <w:rPr>
                <w:sz w:val="17"/>
              </w:rPr>
              <w:t>Approval</w:t>
            </w:r>
          </w:p>
        </w:tc>
        <w:tc>
          <w:tcPr>
            <w:tcW w:type="dxa" w:w="5083"/>
            <w:vAlign w:val="top"/>
          </w:tcPr>
          <w:p>
            <w:pPr>
              <w:spacing w:after="20" w:before="0" w:line="240" w:lineRule="auto"/>
            </w:pPr>
            <w:r>
              <w:rPr>
                <w:sz w:val="17"/>
              </w:rPr>
              <w:t>Documented authorization from the person or process with decision authority.</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risk, exception, or unresolved decision to someone able to act.</w:t>
            </w:r>
          </w:p>
        </w:tc>
      </w:tr>
      <w:tr>
        <w:trPr/>
        <w:tc>
          <w:tcPr>
            <w:tcW w:type="dxa" w:w="5083"/>
            <w:vAlign w:val="top"/>
          </w:tcPr>
          <w:p>
            <w:pPr>
              <w:spacing w:after="20" w:before="0" w:line="240" w:lineRule="auto"/>
            </w:pPr>
            <w:r>
              <w:rPr>
                <w:sz w:val="17"/>
              </w:rPr>
              <w:t>Accessibility</w:t>
            </w:r>
          </w:p>
        </w:tc>
        <w:tc>
          <w:tcPr>
            <w:tcW w:type="dxa" w:w="5083"/>
            <w:vAlign w:val="top"/>
          </w:tcPr>
          <w:p>
            <w:pPr>
              <w:spacing w:after="20" w:before="0" w:line="240" w:lineRule="auto"/>
            </w:pPr>
            <w:r>
              <w:rPr>
                <w:sz w:val="17"/>
              </w:rPr>
              <w:t>Design and accommodations that allow people with disabilities to participate effectively.</w:t>
            </w:r>
          </w:p>
        </w:tc>
      </w:tr>
      <w:tr>
        <w:trPr/>
        <w:tc>
          <w:tcPr>
            <w:tcW w:type="dxa" w:w="5083"/>
            <w:vAlign w:val="top"/>
          </w:tcPr>
          <w:p>
            <w:pPr>
              <w:spacing w:after="20" w:before="0" w:line="240" w:lineRule="auto"/>
            </w:pPr>
            <w:r>
              <w:rPr>
                <w:sz w:val="17"/>
              </w:rPr>
              <w:t>Data minimization</w:t>
            </w:r>
          </w:p>
        </w:tc>
        <w:tc>
          <w:tcPr>
            <w:tcW w:type="dxa" w:w="5083"/>
            <w:vAlign w:val="top"/>
          </w:tcPr>
          <w:p>
            <w:pPr>
              <w:spacing w:after="20" w:before="0" w:line="240" w:lineRule="auto"/>
            </w:pPr>
            <w:r>
              <w:rPr>
                <w:sz w:val="17"/>
              </w:rPr>
              <w:t>Collecting and using only the personal information needed for a legitimate purpose.</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education or credentials are recognized beyond one school, vendor, or employer.</w:t>
            </w:r>
          </w:p>
        </w:tc>
      </w:tr>
    </w:tbl>
    <w:p>
      <w:pPr>
        <w:pStyle w:val="Heading1"/>
        <w:keepNext/>
      </w:pPr>
      <w:r>
        <w:t>4. Fit, Accessibility, and Working Conditions</w:t>
      </w:r>
    </w:p>
    <w:p>
      <w:pPr>
        <w:pStyle w:val="Heading2"/>
        <w:keepNext/>
      </w:pPr>
      <w:r>
        <w:t>Career fit</w:t>
      </w:r>
    </w:p>
    <w:p>
      <w:pPr>
        <w:pStyle w:val="ListBullet"/>
        <w:ind w:left="403" w:hanging="259"/>
      </w:pPr>
      <w:r>
        <w:t>Do I enjoy the repeated tasks rather than only the title?</w:t>
      </w:r>
    </w:p>
    <w:p>
      <w:pPr>
        <w:pStyle w:val="ListBullet"/>
        <w:ind w:left="403" w:hanging="259"/>
      </w:pPr>
      <w:r>
        <w:t>Can I handle deadlines, revisions, customer or stakeholder expectations, and screen or standing time?</w:t>
      </w:r>
    </w:p>
    <w:p>
      <w:pPr>
        <w:pStyle w:val="ListBullet"/>
        <w:ind w:left="403" w:hanging="259"/>
      </w:pPr>
      <w:r>
        <w:t>Can I meet schedule, travel, transportation, and caregiving requirements?</w:t>
      </w:r>
    </w:p>
    <w:p>
      <w:pPr>
        <w:pStyle w:val="ListBullet"/>
        <w:ind w:left="403" w:hanging="259"/>
      </w:pPr>
      <w:r>
        <w:t>Can the essential tasks be performed safely with or without reasonable accommodation?</w:t>
      </w:r>
    </w:p>
    <w:p>
      <w:pPr>
        <w:pStyle w:val="ListBullet"/>
        <w:ind w:left="403" w:hanging="259"/>
      </w:pPr>
      <w:r>
        <w:t>Does conservative pay justify the training cost and unpaid preparation time?</w:t>
      </w:r>
    </w:p>
    <w:p>
      <w:pPr>
        <w:pStyle w:val="Heading2"/>
        <w:keepNext/>
      </w:pPr>
      <w:r>
        <w:t>Accommodations and inclusion</w:t>
      </w:r>
    </w:p>
    <w:p>
      <w:pPr>
        <w:pStyle w:val="ListBullet"/>
        <w:ind w:left="403" w:hanging="259"/>
      </w:pPr>
      <w:r>
        <w:t>Verify accessibility in classes, online systems, internships, employer training, travel, events, production environments, and examinations.</w:t>
      </w:r>
    </w:p>
    <w:p>
      <w:pPr>
        <w:pStyle w:val="ListBullet"/>
        <w:ind w:left="403" w:hanging="259"/>
      </w:pPr>
      <w:r>
        <w:t>Ask separately about captioning, interpreters, screen-reader support, keyboard access, flexible schedules, ergonomic equipment, quiet space, and accessible transportation.</w:t>
      </w:r>
    </w:p>
    <w:p>
      <w:pPr>
        <w:pStyle w:val="ListBullet"/>
        <w:ind w:left="403" w:hanging="259"/>
      </w:pPr>
      <w:r>
        <w:t>Language access, inclusive communication, and nondiscrimination apply throughout recruitment, training, work, and advancement.</w:t>
      </w:r>
    </w:p>
    <w:p>
      <w:pPr>
        <w:pStyle w:val="ListBullet"/>
        <w:ind w:left="403" w:hanging="259"/>
      </w:pPr>
      <w:r>
        <w:t>Admission to a course does not prove that the complete pathway is accessible.</w:t>
      </w:r>
    </w:p>
    <w:p>
      <w:pPr>
        <w:pStyle w:val="Heading1"/>
        <w:keepNext/>
      </w:pPr>
      <w:r>
        <w:t>5. Ethics, Safety, Boundaries, and Escalation</w:t>
      </w:r>
    </w:p>
    <w:p>
      <w:pPr>
        <w:pStyle w:val="Heading2"/>
        <w:keepNext/>
      </w:pPr>
      <w:r>
        <w:t>Authority and stop-work rules</w:t>
      </w:r>
    </w:p>
    <w:p>
      <w:pPr>
        <w:pStyle w:val="ListBullet"/>
        <w:ind w:left="403" w:hanging="259"/>
      </w:pPr>
      <w:r>
        <w:t>Do not use deceptive design patterns that manipulate consent, payment, cancellation, or privacy choices.</w:t>
      </w:r>
    </w:p>
    <w:p>
      <w:pPr>
        <w:pStyle w:val="ListBullet"/>
        <w:ind w:left="403" w:hanging="259"/>
      </w:pPr>
      <w:r>
        <w:t>Treat accessibility as a core requirement, not an optional feature.</w:t>
      </w:r>
    </w:p>
    <w:p>
      <w:pPr>
        <w:pStyle w:val="ListBullet"/>
        <w:ind w:left="403" w:hanging="259"/>
      </w:pPr>
      <w:r>
        <w:t>Use real user data only with authorization and appropriate protection.</w:t>
      </w:r>
    </w:p>
    <w:p>
      <w:pPr>
        <w:pStyle w:val="ListBullet"/>
        <w:ind w:left="403" w:hanging="259"/>
      </w:pPr>
      <w:r>
        <w:t>Do not promise that a visual design alone meets legal, security, or technical requirements.</w:t>
      </w:r>
    </w:p>
    <w:p>
      <w:pPr>
        <w:pStyle w:val="Heading2"/>
        <w:keepNext/>
      </w:pPr>
      <w:r>
        <w:t>Health and psychological safety</w:t>
      </w:r>
    </w:p>
    <w:p>
      <w:pPr>
        <w:pStyle w:val="ListBullet"/>
        <w:ind w:left="403" w:hanging="259"/>
      </w:pPr>
      <w:r>
        <w:t>Learn emergency, incident, harassment, violence, ergonomic, travel, and lone-work procedures applicable to the role.</w:t>
      </w:r>
    </w:p>
    <w:p>
      <w:pPr>
        <w:pStyle w:val="ListBullet"/>
        <w:ind w:left="403" w:hanging="259"/>
      </w:pPr>
      <w:r>
        <w:t>Watch for burnout, deadline pressure, emotional labor, repetitive strain, visual fatigue, and pressure to conceal errors.</w:t>
      </w:r>
    </w:p>
    <w:p>
      <w:pPr>
        <w:pStyle w:val="ListBullet"/>
        <w:ind w:left="403" w:hanging="259"/>
      </w:pPr>
      <w:r>
        <w:t>Use qualified review for legal, financial, medical, security, accessibility, or technical claims outside your competence.</w:t>
      </w:r>
    </w:p>
    <w:p>
      <w:pPr>
        <w:pStyle w:val="ListBullet"/>
        <w:ind w:left="403" w:hanging="259"/>
      </w:pPr>
      <w:r>
        <w:t>Document material decisions, approvals, corrections, and unresolved risks.</w:t>
      </w:r>
    </w:p>
    <w:p>
      <w:pPr>
        <w:pStyle w:val="Heading1"/>
        <w:keepNext/>
      </w:pPr>
      <w:r>
        <w:t>6. Pay, Benefits, and Labor-Market Research</w:t>
      </w:r>
    </w:p>
    <w:p>
      <w:pPr>
        <w:pStyle w:val="Heading2"/>
        <w:keepNext/>
      </w:pPr>
      <w:r>
        <w:t>National starting point</w:t>
      </w:r>
    </w:p>
    <w:p>
      <w:pPr/>
      <w:r>
        <w:t>BLS groups web and digital interface designers with web developers and digital designers and projects much-faster-than-average growth from 2024 to 2034. Confirm the current designer-specific wage table and local portfolio expectations.</w:t>
      </w:r>
    </w:p>
    <w:p>
      <w:pPr>
        <w:pStyle w:val="Heading2"/>
        <w:keepNext/>
      </w:pPr>
      <w:r>
        <w:t>Local research</w:t>
      </w:r>
    </w:p>
    <w:p>
      <w:pPr>
        <w:pStyle w:val="ListBullet"/>
        <w:ind w:left="403" w:hanging="259"/>
      </w:pPr>
      <w:r>
        <w:t>Review at least 25 current postings in the intended location or remote-work region.</w:t>
      </w:r>
    </w:p>
    <w:p>
      <w:pPr>
        <w:pStyle w:val="ListBullet"/>
        <w:ind w:left="403" w:hanging="259"/>
      </w:pPr>
      <w:r>
        <w:t>Separate entry, experienced, supervisory, freelance, contract, commission, and manager pay.</w:t>
      </w:r>
    </w:p>
    <w:p>
      <w:pPr>
        <w:pStyle w:val="ListBullet"/>
        <w:ind w:left="403" w:hanging="259"/>
      </w:pPr>
      <w:r>
        <w:t>Estimate health insurance, retirement, leave, education assistance, equipment, software, travel, parking, taxes, and unpaid administrative time.</w:t>
      </w:r>
    </w:p>
    <w:p>
      <w:pPr>
        <w:pStyle w:val="ListBullet"/>
        <w:ind w:left="403" w:hanging="259"/>
      </w:pPr>
      <w:r>
        <w:t>Confirm whether the role is employee, contractor, temporary, part-time, or commission-based.</w:t>
      </w:r>
    </w:p>
    <w:p>
      <w:pPr>
        <w:pStyle w:val="ListBullet"/>
        <w:ind w:left="403" w:hanging="259"/>
      </w:pPr>
      <w:r>
        <w:t>Never present a national median as a guaranteed starting wage.</w:t>
      </w:r>
    </w:p>
    <w:p>
      <w:pPr>
        <w:pStyle w:val="Heading1"/>
        <w:keepNext/>
      </w:pPr>
      <w:r>
        <w:t>7. Education, Schools, and Credentials</w:t>
      </w:r>
    </w:p>
    <w:p>
      <w:pPr>
        <w:pStyle w:val="Heading2"/>
        <w:keepNext/>
      </w:pPr>
      <w:r>
        <w:t>Education pathway</w:t>
      </w:r>
    </w:p>
    <w:p>
      <w:pPr/>
      <w:r>
        <w:t>Education ranges from certificates and portfolios to bachelor’s degrees. Employers often evaluate work samples, accessibility knowledge, collaboration, and understanding of web technology.</w:t>
      </w:r>
    </w:p>
    <w:p>
      <w:pPr>
        <w:pStyle w:val="Heading2"/>
        <w:keepNext/>
      </w:pPr>
      <w:r>
        <w:t>Program verification</w:t>
      </w:r>
    </w:p>
    <w:p>
      <w:pPr>
        <w:pStyle w:val="ListBullet"/>
        <w:ind w:left="403" w:hanging="259"/>
      </w:pPr>
      <w:r>
        <w:t>Verify institutional accreditation and whether employers recognize the exact program.</w:t>
      </w:r>
    </w:p>
    <w:p>
      <w:pPr>
        <w:pStyle w:val="ListBullet"/>
        <w:ind w:left="403" w:hanging="259"/>
      </w:pPr>
      <w:r>
        <w:t>Confirm credit transfer, portfolio ownership, software or equipment costs, internship terms, and refund rules.</w:t>
      </w:r>
    </w:p>
    <w:p>
      <w:pPr>
        <w:pStyle w:val="ListBullet"/>
        <w:ind w:left="403" w:hanging="259"/>
      </w:pPr>
      <w:r>
        <w:t>Compare completion, withdrawal, debt, placement methodology, and graduate outcomes.</w:t>
      </w:r>
    </w:p>
    <w:p>
      <w:pPr>
        <w:pStyle w:val="ListBullet"/>
        <w:ind w:left="403" w:hanging="259"/>
      </w:pPr>
      <w:r>
        <w:t>Prefer public colleges, libraries, employer-paid learning, recognized apprenticeships, and free-first resources when they meet the goal.</w:t>
      </w:r>
    </w:p>
    <w:p>
      <w:pPr>
        <w:pStyle w:val="ListBullet"/>
        <w:ind w:left="403" w:hanging="259"/>
      </w:pPr>
      <w:r>
        <w:t>Pay only when education produces a verified next step or demonstrable, portable skill.</w:t>
      </w:r>
    </w:p>
    <w:p>
      <w:pPr>
        <w:pStyle w:val="Heading1"/>
        <w:keepNext/>
      </w:pPr>
      <w:r>
        <w:t>8. Employer-Supported Learning</w:t>
      </w:r>
    </w:p>
    <w:p>
      <w:pPr>
        <w:pStyle w:val="Heading2"/>
        <w:keepNext/>
      </w:pPr>
      <w:r>
        <w:t>Tuition and repayment</w:t>
      </w:r>
    </w:p>
    <w:p>
      <w:pPr>
        <w:pStyle w:val="ListBullet"/>
        <w:ind w:left="403" w:hanging="259"/>
      </w:pPr>
      <w:r>
        <w:t>Employers may cover tuition, certificates, software, conferences, examinations, equipment, or paid training time.</w:t>
      </w:r>
    </w:p>
    <w:p>
      <w:pPr>
        <w:pStyle w:val="ListBullet"/>
        <w:ind w:left="403" w:hanging="259"/>
      </w:pPr>
      <w:r>
        <w:t>Obtain prior approval and the full agreement in writing.</w:t>
      </w:r>
    </w:p>
    <w:p>
      <w:pPr>
        <w:pStyle w:val="ListBullet"/>
        <w:ind w:left="403" w:hanging="259"/>
      </w:pPr>
      <w:r>
        <w:t>A service commitment may require continued employment, sometimes for up to two years.</w:t>
      </w:r>
    </w:p>
    <w:p>
      <w:pPr>
        <w:pStyle w:val="ListBullet"/>
        <w:ind w:left="403" w:hanging="259"/>
      </w:pPr>
      <w:r>
        <w:t>Voluntary departure may trigger full or prorated repayment.</w:t>
      </w:r>
    </w:p>
    <w:p>
      <w:pPr>
        <w:pStyle w:val="ListBullet"/>
        <w:ind w:left="403" w:hanging="259"/>
      </w:pPr>
      <w:r>
        <w:t>Layoff, position elimination, restructuring, closure, disability, military service, retirement, and employer-directed transfer should be addressed explicitly.</w:t>
      </w:r>
    </w:p>
    <w:p>
      <w:pPr>
        <w:pStyle w:val="ListBullet"/>
        <w:ind w:left="403" w:hanging="259"/>
      </w:pPr>
      <w:r>
        <w:t>Local law controls whether repayment or wage deductions are enforceable.</w:t>
      </w:r>
    </w:p>
    <w:p>
      <w:pPr>
        <w:pStyle w:val="Heading2"/>
        <w:keepNext/>
      </w:pPr>
      <w:r>
        <w:t>Internships and career ladders</w:t>
      </w:r>
    </w:p>
    <w:p>
      <w:pPr>
        <w:pStyle w:val="ListBullet"/>
        <w:ind w:left="403" w:hanging="259"/>
      </w:pPr>
      <w:r>
        <w:t>Distinguish paid employment, internship, externship, practicum, cooperative education, apprenticeship, mentorship, and job shadowing.</w:t>
      </w:r>
    </w:p>
    <w:p>
      <w:pPr>
        <w:pStyle w:val="ListBullet"/>
        <w:ind w:left="403" w:hanging="259"/>
      </w:pPr>
      <w:r>
        <w:t>Verify pay, supervision, academic credit, ownership of work, confidentiality, accessibility, insurance, and hiring implications.</w:t>
      </w:r>
    </w:p>
    <w:p>
      <w:pPr>
        <w:pStyle w:val="ListBullet"/>
        <w:ind w:left="403" w:hanging="259"/>
      </w:pPr>
      <w:r>
        <w:t>Cross-training and rotational programs should have written objectives and should not quietly add higher-level duties without training or compensation.</w:t>
      </w:r>
    </w:p>
    <w:p>
      <w:pPr>
        <w:pStyle w:val="ListBullet"/>
        <w:ind w:left="403" w:hanging="259"/>
      </w:pPr>
      <w:r>
        <w:t>Education support does not automatically guarantee promotion or placement.</w:t>
      </w:r>
    </w:p>
    <w:p>
      <w:pPr>
        <w:pStyle w:val="Heading1"/>
        <w:keepNext/>
      </w:pPr>
      <w:r>
        <w:t>9. Privacy, Cybersecurity, Worker Rights, and Ethical AI</w:t>
      </w:r>
    </w:p>
    <w:p>
      <w:pPr>
        <w:pStyle w:val="Heading2"/>
        <w:keepNext/>
      </w:pPr>
      <w:r>
        <w:t>Employment protections</w:t>
      </w:r>
    </w:p>
    <w:p>
      <w:pPr>
        <w:pStyle w:val="ListBullet"/>
        <w:ind w:left="403" w:hanging="259"/>
      </w:pPr>
      <w:r>
        <w:t>Verify pay for required training, overtime, travel between sites, and after-hours communication.</w:t>
      </w:r>
    </w:p>
    <w:p>
      <w:pPr>
        <w:pStyle w:val="ListBullet"/>
        <w:ind w:left="403" w:hanging="259"/>
      </w:pPr>
      <w:r>
        <w:t>Understand employee, contractor, temporary, freelance, and commission classifications.</w:t>
      </w:r>
    </w:p>
    <w:p>
      <w:pPr>
        <w:pStyle w:val="ListBullet"/>
        <w:ind w:left="403" w:hanging="259"/>
      </w:pPr>
      <w:r>
        <w:t>Know complaint channels for discrimination, inaccessible systems, retaliation, wage problems, harassment, unsafe work, or deceptive training.</w:t>
      </w:r>
    </w:p>
    <w:p>
      <w:pPr>
        <w:pStyle w:val="ListBullet"/>
        <w:ind w:left="403" w:hanging="259"/>
      </w:pPr>
      <w:r>
        <w:t>Keep agreements, approvals, time records, invoices, evaluations, and accommodation decisions.</w:t>
      </w:r>
    </w:p>
    <w:p>
      <w:pPr>
        <w:pStyle w:val="Heading2"/>
        <w:keepNext/>
      </w:pPr>
      <w:r>
        <w:t>Responsible technology</w:t>
      </w:r>
    </w:p>
    <w:p>
      <w:pPr>
        <w:pStyle w:val="ListBullet"/>
        <w:ind w:left="403" w:hanging="259"/>
      </w:pPr>
      <w:r>
        <w:t>Use only authorized data, systems, content, and accounts.</w:t>
      </w:r>
    </w:p>
    <w:p>
      <w:pPr>
        <w:pStyle w:val="ListBullet"/>
        <w:ind w:left="403" w:hanging="259"/>
      </w:pPr>
      <w:r>
        <w:t>Do not place confidential customer, employee, client, campaign, product, contract, or personal information into public AI tools.</w:t>
      </w:r>
    </w:p>
    <w:p>
      <w:pPr>
        <w:pStyle w:val="ListBullet"/>
        <w:ind w:left="403" w:hanging="259"/>
      </w:pPr>
      <w:r>
        <w:t>Verify AI output, automated analytics, generated images, translations, summaries, and recommendations.</w:t>
      </w:r>
    </w:p>
    <w:p>
      <w:pPr>
        <w:pStyle w:val="ListBullet"/>
        <w:ind w:left="403" w:hanging="259"/>
      </w:pPr>
      <w:r>
        <w:t>Do not fabricate qualifications, metrics, reviews, audience reactions, references, or work samples.</w:t>
      </w:r>
    </w:p>
    <w:p>
      <w:pPr>
        <w:pStyle w:val="ListBullet"/>
        <w:ind w:left="403" w:hanging="259"/>
      </w:pPr>
      <w:r>
        <w:t>Protect passwords, multifactor authentication, payment information, identity data, and access tokens.</w:t>
      </w:r>
    </w:p>
    <w:p>
      <w:pPr>
        <w:pStyle w:val="Heading1"/>
        <w:keepNext/>
      </w:pPr>
      <w:r>
        <w:t>10. Portfolio, Résumé, and Interviews</w:t>
      </w:r>
    </w:p>
    <w:p>
      <w:pPr>
        <w:pStyle w:val="Heading2"/>
        <w:keepNext/>
      </w:pPr>
      <w:r>
        <w:t>Evidence of ability</w:t>
      </w:r>
    </w:p>
    <w:p>
      <w:pPr>
        <w:pStyle w:val="ListBullet"/>
        <w:ind w:left="403" w:hanging="259"/>
      </w:pPr>
      <w:r>
        <w:t>Build fictional, public, volunteer-with-permission, or fully sanitized work samples.</w:t>
      </w:r>
    </w:p>
    <w:p>
      <w:pPr>
        <w:pStyle w:val="ListBullet"/>
        <w:ind w:left="403" w:hanging="259"/>
      </w:pPr>
      <w:r>
        <w:t>Show the brief, constraints, process, evidence, approvals, accessibility checks, and final result.</w:t>
      </w:r>
    </w:p>
    <w:p>
      <w:pPr>
        <w:pStyle w:val="ListBullet"/>
        <w:ind w:left="403" w:hanging="259"/>
      </w:pPr>
      <w:r>
        <w:t>Explain what you would escalate and what remained outside your authority.</w:t>
      </w:r>
    </w:p>
    <w:p>
      <w:pPr>
        <w:pStyle w:val="ListBullet"/>
        <w:ind w:left="403" w:hanging="259"/>
      </w:pPr>
      <w:r>
        <w:t>Preserve source files, version history, permissions, and a plain-language description.</w:t>
      </w:r>
    </w:p>
    <w:p>
      <w:pPr>
        <w:pStyle w:val="Heading2"/>
        <w:keepNext/>
      </w:pPr>
      <w:r>
        <w:t>Application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Found and corrected a material discrepancy before release.</w:t>
            </w:r>
          </w:p>
        </w:tc>
      </w:tr>
      <w:tr>
        <w:trPr/>
        <w:tc>
          <w:tcPr>
            <w:tcW w:type="dxa" w:w="5083"/>
            <w:vAlign w:val="top"/>
          </w:tcPr>
          <w:p>
            <w:pPr>
              <w:spacing w:after="20" w:before="0" w:line="240" w:lineRule="auto"/>
            </w:pPr>
            <w:r>
              <w:rPr>
                <w:sz w:val="17"/>
              </w:rPr>
              <w:t>Coordination</w:t>
            </w:r>
          </w:p>
        </w:tc>
        <w:tc>
          <w:tcPr>
            <w:tcW w:type="dxa" w:w="5083"/>
            <w:vAlign w:val="top"/>
          </w:tcPr>
          <w:p>
            <w:pPr>
              <w:spacing w:after="20" w:before="0" w:line="240" w:lineRule="auto"/>
            </w:pPr>
            <w:r>
              <w:rPr>
                <w:sz w:val="17"/>
              </w:rPr>
              <w:t>Tracked owners, deadlines, approvals, and dependencies.</w:t>
            </w:r>
          </w:p>
        </w:tc>
      </w:tr>
      <w:tr>
        <w:trPr/>
        <w:tc>
          <w:tcPr>
            <w:tcW w:type="dxa" w:w="5083"/>
            <w:vAlign w:val="top"/>
          </w:tcPr>
          <w:p>
            <w:pPr>
              <w:spacing w:after="20" w:before="0" w:line="240" w:lineRule="auto"/>
            </w:pPr>
            <w:r>
              <w:rPr>
                <w:sz w:val="17"/>
              </w:rPr>
              <w:t>Accessibility</w:t>
            </w:r>
          </w:p>
        </w:tc>
        <w:tc>
          <w:tcPr>
            <w:tcW w:type="dxa" w:w="5083"/>
            <w:vAlign w:val="top"/>
          </w:tcPr>
          <w:p>
            <w:pPr>
              <w:spacing w:after="20" w:before="0" w:line="240" w:lineRule="auto"/>
            </w:pPr>
            <w:r>
              <w:rPr>
                <w:sz w:val="17"/>
              </w:rPr>
              <w:t>Identified and corrected a barrier for disabled users.</w:t>
            </w:r>
          </w:p>
        </w:tc>
      </w:tr>
      <w:tr>
        <w:trPr/>
        <w:tc>
          <w:tcPr>
            <w:tcW w:type="dxa" w:w="5083"/>
            <w:vAlign w:val="top"/>
          </w:tcPr>
          <w:p>
            <w:pPr>
              <w:spacing w:after="20" w:before="0" w:line="240" w:lineRule="auto"/>
            </w:pPr>
            <w:r>
              <w:rPr>
                <w:sz w:val="17"/>
              </w:rPr>
              <w:t>Ethics</w:t>
            </w:r>
          </w:p>
        </w:tc>
        <w:tc>
          <w:tcPr>
            <w:tcW w:type="dxa" w:w="5083"/>
            <w:vAlign w:val="top"/>
          </w:tcPr>
          <w:p>
            <w:pPr>
              <w:spacing w:after="20" w:before="0" w:line="240" w:lineRule="auto"/>
            </w:pPr>
            <w:r>
              <w:rPr>
                <w:sz w:val="17"/>
              </w:rPr>
              <w:t>Refused or escalated a misleading, unauthorized, or unsafe request.</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Used feedback and evidence to improve a deliverable.</w:t>
            </w:r>
          </w:p>
        </w:tc>
      </w:tr>
    </w:tbl>
    <w:p>
      <w:pPr>
        <w:pStyle w:val="ListBullet"/>
        <w:ind w:left="403" w:hanging="259"/>
      </w:pPr>
      <w:r>
        <w:t>Describe a project with changing priorities.</w:t>
      </w:r>
    </w:p>
    <w:p>
      <w:pPr>
        <w:pStyle w:val="ListBullet"/>
        <w:ind w:left="403" w:hanging="259"/>
      </w:pPr>
      <w:r>
        <w:t>How do you verify facts and approvals?</w:t>
      </w:r>
    </w:p>
    <w:p>
      <w:pPr>
        <w:pStyle w:val="ListBullet"/>
        <w:ind w:left="403" w:hanging="259"/>
      </w:pPr>
      <w:r>
        <w:t>How do you protect confidential information?</w:t>
      </w:r>
    </w:p>
    <w:p>
      <w:pPr>
        <w:pStyle w:val="ListBullet"/>
        <w:ind w:left="403" w:hanging="259"/>
      </w:pPr>
      <w:r>
        <w:t>What would you do if asked to manipulate a metric or mislead an audience?</w:t>
      </w:r>
    </w:p>
    <w:p>
      <w:pPr>
        <w:pStyle w:val="ListBullet"/>
        <w:ind w:left="403" w:hanging="259"/>
      </w:pPr>
      <w:r>
        <w:t>How do you make work accessible and usable?</w:t>
      </w:r>
    </w:p>
    <w:p>
      <w:pPr>
        <w:pStyle w:val="Heading1"/>
        <w:keepNext/>
      </w:pPr>
      <w:r>
        <w:t>11. Advancement, Portability, and Exit Planning</w:t>
      </w:r>
    </w:p>
    <w:p>
      <w:pPr>
        <w:pStyle w:val="Heading2"/>
        <w:keepNext/>
      </w:pPr>
      <w:r>
        <w:t>Career development</w:t>
      </w:r>
    </w:p>
    <w:p>
      <w:pPr>
        <w:pStyle w:val="ListBullet"/>
        <w:ind w:left="403" w:hanging="259"/>
      </w:pPr>
      <w:r>
        <w:t>Map assistant, coordinator, specialist, senior, lead, manager, consulting, teaching, and adjacent roles.</w:t>
      </w:r>
    </w:p>
    <w:p>
      <w:pPr>
        <w:pStyle w:val="ListBullet"/>
        <w:ind w:left="403" w:hanging="259"/>
      </w:pPr>
      <w:r>
        <w:t>Identify the skills, evidence, education, and compensation change expected at each step.</w:t>
      </w:r>
    </w:p>
    <w:p>
      <w:pPr>
        <w:pStyle w:val="ListBullet"/>
        <w:ind w:left="403" w:hanging="259"/>
      </w:pPr>
      <w:r>
        <w:t>Build portable capabilities in communication, analytics, accessibility, privacy, project coordination, and domain knowledge.</w:t>
      </w:r>
    </w:p>
    <w:p>
      <w:pPr>
        <w:pStyle w:val="ListBullet"/>
        <w:ind w:left="403" w:hanging="259"/>
      </w:pPr>
      <w:r>
        <w:t>Verify whether vendor certificates are valued beyond one platform.</w:t>
      </w:r>
    </w:p>
    <w:p>
      <w:pPr>
        <w:pStyle w:val="Heading2"/>
        <w:keepNext/>
      </w:pPr>
      <w:r>
        <w:t>Exit options</w:t>
      </w:r>
    </w:p>
    <w:p>
      <w:pPr>
        <w:pStyle w:val="ListBullet"/>
        <w:ind w:left="403" w:hanging="259"/>
      </w:pPr>
      <w:r>
        <w:t>Keep portfolios, rights documentation, credentials, reviews, agreements, and training records.</w:t>
      </w:r>
    </w:p>
    <w:p>
      <w:pPr>
        <w:pStyle w:val="ListBullet"/>
        <w:ind w:left="403" w:hanging="259"/>
      </w:pPr>
      <w:r>
        <w:t>Identify adjacent roles that use the same skills with different sales, travel, screen, production, or customer demands.</w:t>
      </w:r>
    </w:p>
    <w:p>
      <w:pPr>
        <w:pStyle w:val="ListBullet"/>
        <w:ind w:left="403" w:hanging="259"/>
      </w:pPr>
      <w:r>
        <w:t>Understand client ownership, confidentiality, non-solicitation, intellectual-property, and repayment obligations.</w:t>
      </w:r>
    </w:p>
    <w:p>
      <w:pPr>
        <w:pStyle w:val="ListBullet"/>
        <w:ind w:left="403" w:hanging="259"/>
      </w:pPr>
      <w:r>
        <w:t>Do not remain in unsafe or exploitative work solely because of an unclear training-cost threat; seek qualified advice.</w:t>
      </w:r>
    </w:p>
    <w:p>
      <w:pPr>
        <w:pStyle w:val="Heading1"/>
        <w:keepNext/>
      </w:pPr>
      <w:r>
        <w:t>12. Before You Enroll or Sign</w:t>
      </w:r>
    </w:p>
    <w:p>
      <w:pPr>
        <w:pStyle w:val="Heading2"/>
        <w:keepNext/>
      </w:pPr>
      <w:r>
        <w:t>Verification checklist</w:t>
      </w:r>
    </w:p>
    <w:p>
      <w:pPr>
        <w:pStyle w:val="ListBullet"/>
        <w:ind w:left="403" w:hanging="259"/>
      </w:pPr>
      <w:r>
        <w:t>I understand the real work, working conditions, and likely entry point.</w:t>
      </w:r>
    </w:p>
    <w:p>
      <w:pPr>
        <w:pStyle w:val="ListBullet"/>
        <w:ind w:left="403" w:hanging="259"/>
      </w:pPr>
      <w:r>
        <w:t>I verified the school, credential, employer, internship, or contract.</w:t>
      </w:r>
    </w:p>
    <w:p>
      <w:pPr>
        <w:pStyle w:val="ListBullet"/>
        <w:ind w:left="403" w:hanging="259"/>
      </w:pPr>
      <w:r>
        <w:t>I calculated complete cost, including equipment, software, travel, childcare, and lost wages.</w:t>
      </w:r>
    </w:p>
    <w:p>
      <w:pPr>
        <w:pStyle w:val="ListBullet"/>
        <w:ind w:left="403" w:hanging="259"/>
      </w:pPr>
      <w:r>
        <w:t>I understand portfolio ownership, confidentiality, accessibility, and data obligations.</w:t>
      </w:r>
    </w:p>
    <w:p>
      <w:pPr>
        <w:pStyle w:val="ListBullet"/>
        <w:ind w:left="403" w:hanging="259"/>
      </w:pPr>
      <w:r>
        <w:t>I obtained employer payment, service, repayment, and layoff terms in writing.</w:t>
      </w:r>
    </w:p>
    <w:p>
      <w:pPr>
        <w:pStyle w:val="ListBullet"/>
        <w:ind w:left="403" w:hanging="259"/>
      </w:pPr>
      <w:r>
        <w:t>I compared conservative pay with debt and unpaid preparation time.</w:t>
      </w:r>
    </w:p>
    <w:p>
      <w:pPr>
        <w:pStyle w:val="ListBullet"/>
        <w:ind w:left="403" w:hanging="259"/>
      </w:pPr>
      <w:r>
        <w:t>I have an exit and transfer plan.</w:t>
      </w:r>
    </w:p>
    <w:p>
      <w:pPr>
        <w:pStyle w:val="Heading1"/>
        <w:keepNext/>
      </w:pPr>
      <w:r>
        <w:t>13. Twelve-Week Action Plan</w:t>
      </w:r>
    </w:p>
    <w:p>
      <w:pPr>
        <w:pStyle w:val="Heading2"/>
        <w:keepNext/>
      </w:pPr>
      <w:r>
        <w:t>Sequential plan</w:t>
      </w:r>
    </w:p>
    <w:p>
      <w:pPr>
        <w:pStyle w:val="ListNumber"/>
        <w:numPr>
          <w:ilvl w:val="0"/>
          <w:numId w:val="10"/>
        </w:numPr>
      </w:pPr>
      <w:r>
        <w:t>Weeks 1–2: Define strengths, constraints, access needs, schedule, and nonnegotiable conditions.</w:t>
      </w:r>
    </w:p>
    <w:p>
      <w:pPr>
        <w:pStyle w:val="ListNumber"/>
        <w:numPr>
          <w:ilvl w:val="0"/>
          <w:numId w:val="10"/>
        </w:numPr>
      </w:pPr>
      <w:r>
        <w:t>Weeks 3–4: Study duties, tools, work settings, ethics, risks, and local requirements.</w:t>
      </w:r>
    </w:p>
    <w:p>
      <w:pPr>
        <w:pStyle w:val="ListNumber"/>
        <w:numPr>
          <w:ilvl w:val="0"/>
          <w:numId w:val="10"/>
        </w:numPr>
      </w:pPr>
      <w:r>
        <w:t>Weeks 5–6: Analyze local postings, pay, benefits, portfolios, and employer expectations.</w:t>
      </w:r>
    </w:p>
    <w:p>
      <w:pPr>
        <w:pStyle w:val="ListNumber"/>
        <w:numPr>
          <w:ilvl w:val="0"/>
          <w:numId w:val="10"/>
        </w:numPr>
      </w:pPr>
      <w:r>
        <w:t>Weeks 7–8: Compare free learning, schools, employer programs, internships, and credentials.</w:t>
      </w:r>
    </w:p>
    <w:p>
      <w:pPr>
        <w:pStyle w:val="ListNumber"/>
        <w:numPr>
          <w:ilvl w:val="0"/>
          <w:numId w:val="10"/>
        </w:numPr>
      </w:pPr>
      <w:r>
        <w:t>Weeks 9–10: Verify cost, repayment, accessibility, privacy, legal, and ownership issues.</w:t>
      </w:r>
    </w:p>
    <w:p>
      <w:pPr>
        <w:pStyle w:val="ListNumber"/>
        <w:numPr>
          <w:ilvl w:val="0"/>
          <w:numId w:val="10"/>
        </w:numPr>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would enjoy repeatedly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travel, and caregiving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work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fees, software,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Portfolio, credential, and work-product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sources</w:t>
      </w:r>
    </w:p>
    <w:p>
      <w:pPr>
        <w:pStyle w:val="ListBullet"/>
      </w:pPr>
      <w:hyperlink r:id="rId11">
        <w:r>
          <w:rPr>
            <w:color w:val="0563C1"/>
            <w:u w:val="single"/>
          </w:rPr>
          <w:t>https://www.bls.gov/ooh/computer-and-information-technology/web-developers.htm</w:t>
        </w:r>
      </w:hyperlink>
    </w:p>
    <w:p>
      <w:pPr>
        <w:pStyle w:val="ListBullet"/>
      </w:pPr>
      <w:hyperlink r:id="rId12">
        <w:r>
          <w:rPr>
            <w:color w:val="0563C1"/>
            <w:u w:val="single"/>
          </w:rPr>
          <w:t>https://www.w3.org/WAI/</w:t>
        </w:r>
      </w:hyperlink>
    </w:p>
    <w:p>
      <w:pPr>
        <w:pStyle w:val="ListBullet"/>
        <w:ind w:left="403" w:hanging="259"/>
      </w:pPr>
      <w:r>
        <w:t>Applicable labor, consumer-protection, accessibility, privacy, education, tax, licensing, and professional authorities.</w:t>
      </w:r>
    </w:p>
    <w:p>
      <w:pPr>
        <w:pStyle w:val="ListBullet"/>
        <w:ind w:left="403" w:hanging="259"/>
      </w:pPr>
      <w:r>
        <w:t>Current employers, public colleges, unions, professional associations, and recognized training providers.</w:t>
      </w:r>
    </w:p>
    <w:p>
      <w:pPr>
        <w:pStyle w:val="ListBullet"/>
        <w:ind w:left="403" w:hanging="259"/>
      </w:pPr>
      <w:r>
        <w:t>IRS education-credit and employer educational-assistance guidance for the applicable tax year.</w:t>
      </w:r>
    </w:p>
    <w:p>
      <w:pPr>
        <w:pStyle w:val="Heading2"/>
        <w:keepNext/>
      </w:pPr>
      <w:r>
        <w:t>Release policy</w:t>
      </w:r>
    </w:p>
    <w:p>
      <w:pPr>
        <w:pStyle w:val="ListBullet"/>
        <w:ind w:left="403" w:hanging="259"/>
      </w:pPr>
      <w:r>
        <w:t>Status: Release candidate pending owner review.</w:t>
      </w:r>
    </w:p>
    <w:p>
      <w:pPr>
        <w:pStyle w:val="ListBullet"/>
        <w:ind w:left="403" w:hanging="259"/>
      </w:pPr>
      <w:r>
        <w:t>Version: v1.0 after approval.</w:t>
      </w:r>
    </w:p>
    <w:p>
      <w:pPr>
        <w:pStyle w:val="ListBullet"/>
        <w:ind w:left="403" w:hanging="259"/>
      </w:pPr>
      <w:r>
        <w:t>Factual review date: July 2026.</w:t>
      </w:r>
    </w:p>
    <w:p>
      <w:pPr>
        <w:pStyle w:val="ListBullet"/>
        <w:ind w:left="403" w:hanging="259"/>
      </w:pPr>
      <w:r>
        <w:t>Next review: July 2027 or sooner after a material change.</w:t>
      </w:r>
    </w:p>
    <w:p>
      <w:pPr>
        <w:pStyle w:val="ListBullet"/>
        <w:ind w:left="403" w:hanging="259"/>
      </w:pPr>
      <w:r>
        <w:t>Corrections should identify the guide, section, source, and requested change.</w:t>
      </w:r>
    </w:p>
    <w:p>
      <w:pPr>
        <w:pStyle w:val="SmallNote"/>
      </w:pPr>
      <w:r>
        <w:rPr>
          <w:b/>
        </w:rPr>
        <w:t xml:space="preserve">Final governing principle: </w:t>
      </w:r>
      <w:r>
        <w:t>When speed and completeness conflict, completeness wins. Uncertainty is disclosed. The reader’s safety, dignity, and informed choice come first.</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Lifelong Opportunity Guides | Web and Digital Interface Designer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style>
  <w:style w:type="paragraph" w:styleId="ListBullet2">
    <w:name w:val="List Bullet 2"/>
    <w:basedOn w:val="Normal"/>
    <w:uiPriority w:val="99"/>
    <w:unhideWhenUsed/>
    <w:rsid w:val="00326F90"/>
    <w:pPr>
      <w:numPr>
        <w:numId w:val="2"/>
      </w:numPr>
      <w:spacing w:before="0" w:after="2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20" w:line="240" w:lineRule="auto"/>
      <w:contextualSpacing/>
    </w:pPr>
  </w:style>
  <w:style w:type="paragraph" w:styleId="ListNumber2">
    <w:name w:val="List Number 2"/>
    <w:basedOn w:val="Normal"/>
    <w:uiPriority w:val="99"/>
    <w:unhideWhenUsed/>
    <w:rsid w:val="0029639D"/>
    <w:pPr>
      <w:numPr>
        <w:numId w:val="6"/>
      </w:numPr>
      <w:spacing w:before="0" w:after="2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ind w:left="259" w:right="259"/>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computer-and-information-technology/web-developers.htm" TargetMode="External"/><Relationship Id="rId12" Type="http://schemas.openxmlformats.org/officeDocument/2006/relationships/hyperlink" Target="https://www.w3.org/W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Web and Digital Interface Designer Guide English v1.0</dc:title>
  <dc:subject>Career guide for Web and Digital Interface Designer</dc:subject>
  <dc:creator>Alberto (Al) Leiva</dc:creator>
  <cp:keywords>career guide, education, accessibility, employer tuition assistance, ethical AI, worker rights</cp:keywords>
  <dc:description>generated by python-docx</dc:description>
  <cp:lastModifiedBy/>
  <cp:revision>1</cp:revision>
  <dcterms:created xsi:type="dcterms:W3CDTF">2013-12-23T23:15:00Z</dcterms:created>
  <dcterms:modified xsi:type="dcterms:W3CDTF">2013-12-23T23:15:00Z</dcterms:modified>
  <cp:category/>
</cp:coreProperties>
</file>