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2c03576ff0e8a41917e10ca8872157794081147"/>
    <w:p>
      <w:pPr>
        <w:pStyle w:val="Heading1"/>
      </w:pPr>
      <w:r>
        <w:t xml:space="preserve">Guia Fundamental de Oportunidades ao Longo da Vida</w:t>
      </w:r>
    </w:p>
    <w:bookmarkStart w:id="20" w:name="X0c7bef6bd2f5e015779aaa2129de6e059dea0e6"/>
    <w:p>
      <w:pPr>
        <w:pStyle w:val="Heading2"/>
      </w:pPr>
      <w:r>
        <w:t xml:space="preserve">Escolhendo um trabalho que você possa apreciar</w:t>
      </w:r>
    </w:p>
    <w:p>
      <w:pPr>
        <w:pStyle w:val="FirstParagraph"/>
      </w:pPr>
      <w:r>
        <w:rPr>
          <w:bCs/>
          <w:b/>
        </w:rPr>
        <w:t xml:space="preserve">Um guia gratuito sobre afinidade profissional, educação acessível, acessibilidade, financiamento e reinvenção ao longo da vida</w:t>
      </w:r>
    </w:p>
    <w:p>
      <w:pPr>
        <w:pStyle w:val="BodyText"/>
      </w:pPr>
      <w:r>
        <w:t xml:space="preserve">Para pessoas de todas as idades, habilidades, origens e níveis de renda.</w:t>
      </w:r>
    </w:p>
    <w:p>
      <w:pPr>
        <w:pStyle w:val="BodyText"/>
      </w:pPr>
      <w:r>
        <w:rPr>
          <w:bCs/>
          <w:b/>
        </w:rPr>
        <w:t xml:space="preserve">Criado e dirigido por:</w:t>
      </w:r>
      <w:r>
        <w:t xml:space="preserve"> </w:t>
      </w:r>
      <w:r>
        <w:t xml:space="preserve">Alberto “Al” Leiva</w:t>
      </w:r>
      <w:r>
        <w:br/>
      </w:r>
      <w:r>
        <w:rPr>
          <w:bCs/>
          <w:b/>
        </w:rPr>
        <w:t xml:space="preserve">Edição em português brasileiro:</w:t>
      </w:r>
      <w:r>
        <w:t xml:space="preserve"> </w:t>
      </w:r>
      <w:r>
        <w:t xml:space="preserve">versão 1.1 — tradução assistida por IA e revisão editorial interna</w:t>
      </w:r>
      <w:r>
        <w:br/>
      </w:r>
      <w:r>
        <w:rPr>
          <w:bCs/>
          <w:b/>
        </w:rPr>
        <w:t xml:space="preserve">Data da revisão:</w:t>
      </w:r>
      <w:r>
        <w:t xml:space="preserve"> </w:t>
      </w:r>
      <w:r>
        <w:t xml:space="preserve">2 de agosto de 2026</w:t>
      </w:r>
      <w:r>
        <w:br/>
      </w:r>
      <w:r>
        <w:rPr>
          <w:bCs/>
          <w:b/>
        </w:rPr>
        <w:t xml:space="preserve">Licença:</w:t>
      </w:r>
      <w:r>
        <w:t xml:space="preserve"> </w:t>
      </w:r>
      <w:r>
        <w:t xml:space="preserve">CC BY-NC-SA 4.0</w:t>
      </w:r>
    </w:p>
    <w:bookmarkEnd w:id="20"/>
    <w:bookmarkStart w:id="21" w:name="a-promessa-deste-guia"/>
    <w:p>
      <w:pPr>
        <w:pStyle w:val="Heading2"/>
      </w:pPr>
      <w:r>
        <w:t xml:space="preserve">A promessa deste guia</w:t>
      </w:r>
    </w:p>
    <w:p>
      <w:pPr>
        <w:pStyle w:val="FirstParagraph"/>
      </w:pPr>
      <w:r>
        <w:t xml:space="preserve">Você não está velho demais, atrasado demais, sem dinheiro demais, diferente demais ou distante demais para voltar a aprender. Este guia não promete um caminho fácil, financiamento garantido ou emprego. Ele ajuda o leitor a compreender o trabalho real, comparar caminhos acessíveis, proteger-se contra pressão e dar o próximo passo possível.</w:t>
      </w:r>
    </w:p>
    <w:bookmarkEnd w:id="21"/>
    <w:bookmarkStart w:id="22" w:name="sobre-o-autor-e-a-missão"/>
    <w:p>
      <w:pPr>
        <w:pStyle w:val="Heading2"/>
      </w:pPr>
      <w:r>
        <w:t xml:space="preserve">Sobre o autor e a missão</w:t>
      </w:r>
    </w:p>
    <w:p>
      <w:pPr>
        <w:pStyle w:val="FirstParagraph"/>
      </w:pPr>
      <w:r>
        <w:t xml:space="preserve">Criei os Guias de Oportunidades ao Longo da Vida depois de uma vida de aprendizagem, trabalho, mentoria e reinvenção. Convivo com disgrafia e estou no espectro do autismo. Essas experiências fortaleceram meu compromisso com linguagem clara, acessibilidade, paciência, orientação ética e respeito por formas de capacidade que podem permanecer ocultas por barreiras de comunicação ou educação.</w:t>
      </w:r>
    </w:p>
    <w:p>
      <w:pPr>
        <w:pStyle w:val="BodyText"/>
      </w:pPr>
      <w:r>
        <w:t xml:space="preserve">Iniciei este projeto aos 70 anos. Minha mensagem é prática: aprender não é privilégio dos jovens, e uma carreira não precisa ser uma escolha única e imutável. Podemos continuar aprendendo, contribuindo, adaptando-nos e nos reinventando ao longo da vida.</w:t>
      </w:r>
    </w:p>
    <w:bookmarkEnd w:id="22"/>
    <w:bookmarkStart w:id="23" w:name="reconhecimento-da-assistência-de-ia"/>
    <w:p>
      <w:pPr>
        <w:pStyle w:val="Heading2"/>
      </w:pPr>
      <w:r>
        <w:t xml:space="preserve">Reconhecimento da assistência de IA</w:t>
      </w:r>
    </w:p>
    <w:p>
      <w:pPr>
        <w:pStyle w:val="FirstParagraph"/>
      </w:pPr>
      <w:r>
        <w:t xml:space="preserve">Concebi, dirigi e continuo responsável por este projeto. O ChatGPT, da OpenAI, auxiliou na pesquisa, organização, edição, apoio à tradução e preparação de documentos sob minha direção. A assistência de IA não substitui fontes oficiais, profissionais qualificados, revisão humana independente nem a responsabilidade do leitor de verificar decisões importantes.</w:t>
      </w:r>
    </w:p>
    <w:bookmarkEnd w:id="23"/>
    <w:bookmarkStart w:id="24" w:name="limites-éticos-e-práticos"/>
    <w:p>
      <w:pPr>
        <w:pStyle w:val="Heading2"/>
      </w:pPr>
      <w:r>
        <w:t xml:space="preserve">Limites éticos e práticos</w:t>
      </w:r>
    </w:p>
    <w:p>
      <w:pPr>
        <w:numPr>
          <w:ilvl w:val="0"/>
          <w:numId w:val="1001"/>
        </w:numPr>
        <w:pStyle w:val="Compact"/>
      </w:pPr>
      <w:r>
        <w:t xml:space="preserve">Nenhuma avaliação pode garantir que uma pessoa gostará ou terá sucesso em uma ocupação.</w:t>
      </w:r>
    </w:p>
    <w:p>
      <w:pPr>
        <w:numPr>
          <w:ilvl w:val="0"/>
          <w:numId w:val="1001"/>
        </w:numPr>
        <w:pStyle w:val="Compact"/>
      </w:pPr>
      <w:r>
        <w:t xml:space="preserve">Nenhuma escola, credencial, bootcamp, aprendizagem profissional, empregador, recrutador ou programa governamental pode garantir emprego, financiamento, licença, promoção ou renda.</w:t>
      </w:r>
    </w:p>
    <w:p>
      <w:pPr>
        <w:numPr>
          <w:ilvl w:val="0"/>
          <w:numId w:val="1001"/>
        </w:numPr>
        <w:pStyle w:val="Compact"/>
      </w:pPr>
      <w:r>
        <w:t xml:space="preserve">Requisitos, salários, custos, benefícios, horários, licenças e reconhecimento variam conforme jurisdição, empregador e momento.</w:t>
      </w:r>
    </w:p>
    <w:p>
      <w:pPr>
        <w:numPr>
          <w:ilvl w:val="0"/>
          <w:numId w:val="1001"/>
        </w:numPr>
        <w:pStyle w:val="Compact"/>
      </w:pPr>
      <w:r>
        <w:t xml:space="preserve">Este guia oferece educação geral e orientação. Não constitui aconselhamento jurídico, médico, psicológico, migratório, financeiro, tributário ou vocacional licenciado e individualizado.</w:t>
      </w:r>
    </w:p>
    <w:p>
      <w:pPr>
        <w:numPr>
          <w:ilvl w:val="0"/>
          <w:numId w:val="1001"/>
        </w:numPr>
        <w:pStyle w:val="Compact"/>
      </w:pPr>
      <w:r>
        <w:t xml:space="preserve">Nunca contraia dívida ou pague uma taxa alta e não reembolsável porque alguém exige uma decisão imediata.</w:t>
      </w:r>
    </w:p>
    <w:p>
      <w:pPr>
        <w:numPr>
          <w:ilvl w:val="0"/>
          <w:numId w:val="1001"/>
        </w:numPr>
        <w:pStyle w:val="Compact"/>
      </w:pPr>
      <w:r>
        <w:t xml:space="preserve">Nunca coloque informações confidenciais de empregadores, clientes, pacientes, estudantes, candidatos, finanças, segurança ou identidade em ferramentas públicas de IA ou contas pessoais.</w:t>
      </w:r>
    </w:p>
    <w:bookmarkEnd w:id="24"/>
    <w:bookmarkEnd w:id="25"/>
    <w:bookmarkStart w:id="26" w:name="Xf0e818332f417403a118250fbceec1d4d94fcf6"/>
    <w:p>
      <w:pPr>
        <w:pStyle w:val="Heading1"/>
      </w:pPr>
      <w:r>
        <w:t xml:space="preserve">1. Use os guias como um sistema de decisão</w:t>
      </w:r>
    </w:p>
    <w:p>
      <w:pPr>
        <w:pStyle w:val="FirstParagraph"/>
      </w:pPr>
      <w:r>
        <w:t xml:space="preserve">Não comece escolhendo uma escola. Comece entendendo a si mesmo, o trabalho e as oportunidades disponíveis onde você pode realisticamente viver e trabalhar.</w:t>
      </w:r>
    </w:p>
    <w:p>
      <w:pPr>
        <w:pStyle w:val="BodyText"/>
      </w:pPr>
      <w:r>
        <w:t xml:space="preserve">Use esta sequência:</w:t>
      </w:r>
    </w:p>
    <w:p>
      <w:pPr>
        <w:numPr>
          <w:ilvl w:val="0"/>
          <w:numId w:val="1002"/>
        </w:numPr>
        <w:pStyle w:val="Compact"/>
      </w:pPr>
      <w:r>
        <w:t xml:space="preserve">Descreva sua situação atual sem vergonha.</w:t>
      </w:r>
    </w:p>
    <w:p>
      <w:pPr>
        <w:numPr>
          <w:ilvl w:val="0"/>
          <w:numId w:val="1002"/>
        </w:numPr>
        <w:pStyle w:val="Compact"/>
      </w:pPr>
      <w:r>
        <w:t xml:space="preserve">Identifique pontos fortes, valores, restrições, necessidades de acessibilidade e condições de trabalho preferidas.</w:t>
      </w:r>
    </w:p>
    <w:p>
      <w:pPr>
        <w:numPr>
          <w:ilvl w:val="0"/>
          <w:numId w:val="1002"/>
        </w:numPr>
        <w:pStyle w:val="Compact"/>
      </w:pPr>
      <w:r>
        <w:t xml:space="preserve">Explore de três a cinco famílias de carreira em vez de procurar uma única ocupação perfeita.</w:t>
      </w:r>
    </w:p>
    <w:p>
      <w:pPr>
        <w:numPr>
          <w:ilvl w:val="0"/>
          <w:numId w:val="1002"/>
        </w:numPr>
        <w:pStyle w:val="Compact"/>
      </w:pPr>
      <w:r>
        <w:t xml:space="preserve">Estude o trabalho diário real, inclusive tarefas rotineiras, estressantes, físicas, emocionais e administrativas.</w:t>
      </w:r>
    </w:p>
    <w:p>
      <w:pPr>
        <w:numPr>
          <w:ilvl w:val="0"/>
          <w:numId w:val="1002"/>
        </w:numPr>
        <w:pStyle w:val="Compact"/>
      </w:pPr>
      <w:r>
        <w:t xml:space="preserve">Teste a ocupação por observação, entrevistas informativas e pequenas atividades práticas.</w:t>
      </w:r>
    </w:p>
    <w:p>
      <w:pPr>
        <w:numPr>
          <w:ilvl w:val="0"/>
          <w:numId w:val="1002"/>
        </w:numPr>
        <w:pStyle w:val="Compact"/>
      </w:pPr>
      <w:r>
        <w:t xml:space="preserve">Analise vagas atuais na sua região ou abertas a candidatos da sua localização.</w:t>
      </w:r>
    </w:p>
    <w:p>
      <w:pPr>
        <w:numPr>
          <w:ilvl w:val="0"/>
          <w:numId w:val="1002"/>
        </w:numPr>
        <w:pStyle w:val="Compact"/>
      </w:pPr>
      <w:r>
        <w:t xml:space="preserve">Pesquise remuneração, benefícios, perspectivas, licenciamento e requisitos de contratação.</w:t>
      </w:r>
    </w:p>
    <w:p>
      <w:pPr>
        <w:numPr>
          <w:ilvl w:val="0"/>
          <w:numId w:val="1002"/>
        </w:numPr>
        <w:pStyle w:val="Compact"/>
      </w:pPr>
      <w:r>
        <w:t xml:space="preserve">Compare caminhos gratuitos, financiados, apoiados por empregadores, de aprendizagem profissional e de baixo custo antes de considerar dívida.</w:t>
      </w:r>
    </w:p>
    <w:p>
      <w:pPr>
        <w:numPr>
          <w:ilvl w:val="0"/>
          <w:numId w:val="1002"/>
        </w:numPr>
        <w:pStyle w:val="Compact"/>
      </w:pPr>
      <w:r>
        <w:t xml:space="preserve">Confirme por escrito reconhecimento, transferência de créditos, adaptações, custo total e obrigações de pagamento.</w:t>
      </w:r>
    </w:p>
    <w:p>
      <w:pPr>
        <w:numPr>
          <w:ilvl w:val="0"/>
          <w:numId w:val="1002"/>
        </w:numPr>
        <w:pStyle w:val="Compact"/>
      </w:pPr>
      <w:r>
        <w:t xml:space="preserve">Produza evidências éticas de capacidade e candidate-se a pontos de entrada realistas.</w:t>
      </w:r>
    </w:p>
    <w:p>
      <w:pPr>
        <w:numPr>
          <w:ilvl w:val="0"/>
          <w:numId w:val="1002"/>
        </w:numPr>
        <w:pStyle w:val="Compact"/>
      </w:pPr>
      <w:r>
        <w:t xml:space="preserve">Revise o plano regularmente e mude de direção quando as evidências indicarem uma opção melhor.</w:t>
      </w:r>
    </w:p>
    <w:bookmarkEnd w:id="26"/>
    <w:bookmarkStart w:id="27" w:name="X120a4ca244f5538b355f581d5f02608548e4b16"/>
    <w:p>
      <w:pPr>
        <w:pStyle w:val="Heading1"/>
      </w:pPr>
      <w:r>
        <w:t xml:space="preserve">2. Comece pela afinidade profissional</w:t>
      </w:r>
    </w:p>
    <w:p>
      <w:pPr>
        <w:pStyle w:val="FirstParagraph"/>
      </w:pPr>
      <w:r>
        <w:t xml:space="preserve">Um caminho sustentável precisa combinar com a pessoa real, não com um ideal imaginado.</w:t>
      </w:r>
    </w:p>
    <w:p>
      <w:pPr>
        <w:pStyle w:val="BodyText"/>
      </w:pPr>
      <w:r>
        <w:t xml:space="preserve">Considere:</w:t>
      </w:r>
    </w:p>
    <w:p>
      <w:pPr>
        <w:numPr>
          <w:ilvl w:val="0"/>
          <w:numId w:val="1003"/>
        </w:numPr>
        <w:pStyle w:val="Compact"/>
      </w:pPr>
      <w:r>
        <w:t xml:space="preserve">Interesses e pontos fortes demonstrados</w:t>
      </w:r>
    </w:p>
    <w:p>
      <w:pPr>
        <w:numPr>
          <w:ilvl w:val="0"/>
          <w:numId w:val="1003"/>
        </w:numPr>
        <w:pStyle w:val="Compact"/>
      </w:pPr>
      <w:r>
        <w:t xml:space="preserve">Saúde, resistência, mobilidade e necessidades sensoriais</w:t>
      </w:r>
    </w:p>
    <w:p>
      <w:pPr>
        <w:numPr>
          <w:ilvl w:val="0"/>
          <w:numId w:val="1003"/>
        </w:numPr>
        <w:pStyle w:val="Compact"/>
      </w:pPr>
      <w:r>
        <w:t xml:space="preserve">Horário, responsabilidades familiares e transporte</w:t>
      </w:r>
    </w:p>
    <w:p>
      <w:pPr>
        <w:numPr>
          <w:ilvl w:val="0"/>
          <w:numId w:val="1003"/>
        </w:numPr>
        <w:pStyle w:val="Compact"/>
      </w:pPr>
      <w:r>
        <w:t xml:space="preserve">Urgência de renda e quanto pode ser gasto com segurança</w:t>
      </w:r>
    </w:p>
    <w:p>
      <w:pPr>
        <w:numPr>
          <w:ilvl w:val="0"/>
          <w:numId w:val="1003"/>
        </w:numPr>
        <w:pStyle w:val="Compact"/>
      </w:pPr>
      <w:r>
        <w:t xml:space="preserve">Idioma, tecnologia e acesso à internet</w:t>
      </w:r>
    </w:p>
    <w:p>
      <w:pPr>
        <w:numPr>
          <w:ilvl w:val="0"/>
          <w:numId w:val="1003"/>
        </w:numPr>
        <w:pStyle w:val="Compact"/>
      </w:pPr>
      <w:r>
        <w:t xml:space="preserve">Autorização de trabalho, antecedentes, limites de idade e licenciamento</w:t>
      </w:r>
    </w:p>
    <w:p>
      <w:pPr>
        <w:numPr>
          <w:ilvl w:val="0"/>
          <w:numId w:val="1003"/>
        </w:numPr>
        <w:pStyle w:val="Compact"/>
      </w:pPr>
      <w:r>
        <w:t xml:space="preserve">Preferência por atendimento ao público, concentração independente, rotina ou mudanças frequentes</w:t>
      </w:r>
    </w:p>
    <w:p>
      <w:pPr>
        <w:numPr>
          <w:ilvl w:val="0"/>
          <w:numId w:val="1003"/>
        </w:numPr>
        <w:pStyle w:val="Compact"/>
      </w:pPr>
      <w:r>
        <w:t xml:space="preserve">Necessidade de trabalho remoto, híbrido, local ou internacionalmente acessível</w:t>
      </w:r>
    </w:p>
    <w:p>
      <w:pPr>
        <w:pStyle w:val="FirstParagraph"/>
      </w:pPr>
      <w:r>
        <w:t xml:space="preserve">Não ignore um problema sério de segurança, licenciamento, dívida, acessibilidade, família ou transporte apenas porque outros aspectos parecem positivos.</w:t>
      </w:r>
    </w:p>
    <w:bookmarkEnd w:id="27"/>
    <w:bookmarkStart w:id="28" w:name="X405c172fac5e11a912b2b191932b6322a979444"/>
    <w:p>
      <w:pPr>
        <w:pStyle w:val="Heading1"/>
      </w:pPr>
      <w:r>
        <w:t xml:space="preserve">3. Entenda o trabalho real</w:t>
      </w:r>
    </w:p>
    <w:p>
      <w:pPr>
        <w:pStyle w:val="FirstParagraph"/>
      </w:pPr>
      <w:r>
        <w:t xml:space="preserve">Títulos de cargos podem esconder diferenças importantes. Estude tarefas, ferramentas, fluxos de trabalho, autoridade, supervisão, registros, indicadores de desempenho, horários, viagens e condições de trabalho.</w:t>
      </w:r>
    </w:p>
    <w:p>
      <w:pPr>
        <w:pStyle w:val="BodyText"/>
      </w:pPr>
      <w:r>
        <w:t xml:space="preserve">Pergunte:</w:t>
      </w:r>
    </w:p>
    <w:p>
      <w:pPr>
        <w:numPr>
          <w:ilvl w:val="0"/>
          <w:numId w:val="1004"/>
        </w:numPr>
        <w:pStyle w:val="Compact"/>
      </w:pPr>
      <w:r>
        <w:t xml:space="preserve">Como é um dia e uma semana normais?</w:t>
      </w:r>
    </w:p>
    <w:p>
      <w:pPr>
        <w:numPr>
          <w:ilvl w:val="0"/>
          <w:numId w:val="1004"/>
        </w:numPr>
        <w:pStyle w:val="Compact"/>
      </w:pPr>
      <w:r>
        <w:t xml:space="preserve">Quais tarefas são repetitivas, estressantes, físicas, emocionalmente exigentes ou críticas para a segurança?</w:t>
      </w:r>
    </w:p>
    <w:p>
      <w:pPr>
        <w:numPr>
          <w:ilvl w:val="0"/>
          <w:numId w:val="1004"/>
        </w:numPr>
        <w:pStyle w:val="Compact"/>
      </w:pPr>
      <w:r>
        <w:t xml:space="preserve">O que um iniciante pode decidir de forma independente?</w:t>
      </w:r>
    </w:p>
    <w:p>
      <w:pPr>
        <w:numPr>
          <w:ilvl w:val="0"/>
          <w:numId w:val="1004"/>
        </w:numPr>
        <w:pStyle w:val="Compact"/>
      </w:pPr>
      <w:r>
        <w:t xml:space="preserve">O que exige aprovação, escalonamento, licença ou supervisão?</w:t>
      </w:r>
    </w:p>
    <w:p>
      <w:pPr>
        <w:numPr>
          <w:ilvl w:val="0"/>
          <w:numId w:val="1004"/>
        </w:numPr>
        <w:pStyle w:val="Compact"/>
      </w:pPr>
      <w:r>
        <w:t xml:space="preserve">Quais ferramentas, sistemas, equipamentos e registros são usados?</w:t>
      </w:r>
    </w:p>
    <w:p>
      <w:pPr>
        <w:numPr>
          <w:ilvl w:val="0"/>
          <w:numId w:val="1004"/>
        </w:numPr>
        <w:pStyle w:val="Compact"/>
      </w:pPr>
      <w:r>
        <w:t xml:space="preserve">Por que as pessoas deixam essa ocupação?</w:t>
      </w:r>
    </w:p>
    <w:p>
      <w:pPr>
        <w:numPr>
          <w:ilvl w:val="0"/>
          <w:numId w:val="1004"/>
        </w:numPr>
        <w:pStyle w:val="Compact"/>
      </w:pPr>
      <w:r>
        <w:t xml:space="preserve">O que um iniciante pode praticar gratuitamente e com segurança?</w:t>
      </w:r>
    </w:p>
    <w:p>
      <w:pPr>
        <w:pStyle w:val="FirstParagraph"/>
      </w:pPr>
      <w:r>
        <w:t xml:space="preserve">Use informações públicas, fictícias ou totalmente anonimizadas para praticar. Nunca use registros confidenciais nem apresente uma simulação como experiência profissional.</w:t>
      </w:r>
    </w:p>
    <w:bookmarkEnd w:id="28"/>
    <w:bookmarkStart w:id="30" w:name="X5408d1521594f14a9c5fbde549924c067c5d8ae"/>
    <w:p>
      <w:pPr>
        <w:pStyle w:val="Heading1"/>
      </w:pPr>
      <w:r>
        <w:t xml:space="preserve">4. Pesquise remuneração, benefícios e perspectivas</w:t>
      </w:r>
    </w:p>
    <w:p>
      <w:pPr>
        <w:pStyle w:val="FirstParagraph"/>
      </w:pPr>
      <w:r>
        <w:t xml:space="preserve">Dados nacionais oferecem contexto, não uma previsão pessoal. A remuneração local pode variar conforme localização, setor, sindicato, licença, experiência, idioma, turno, horas extras, comissão, tipo de contrato e benefícios.</w:t>
      </w:r>
    </w:p>
    <w:bookmarkStart w:id="29" w:name="método-obrigatório-de-pesquisa-de-renda"/>
    <w:p>
      <w:pPr>
        <w:pStyle w:val="Heading2"/>
      </w:pPr>
      <w:r>
        <w:t xml:space="preserve">Método obrigatório de pesquisa de renda</w:t>
      </w:r>
    </w:p>
    <w:p>
      <w:pPr>
        <w:pStyle w:val="FirstParagraph"/>
      </w:pPr>
      <w:r>
        <w:t xml:space="preserve">Cada guia ocupacional deve usar mais de uma fonte quando houver dados disponíveis:</w:t>
      </w:r>
    </w:p>
    <w:p>
      <w:pPr>
        <w:numPr>
          <w:ilvl w:val="0"/>
          <w:numId w:val="1005"/>
        </w:numPr>
        <w:pStyle w:val="Compact"/>
      </w:pPr>
      <w:r>
        <w:t xml:space="preserve">Estatísticas oficiais nacionais ou regionais do trabalho</w:t>
      </w:r>
    </w:p>
    <w:p>
      <w:pPr>
        <w:numPr>
          <w:ilvl w:val="0"/>
          <w:numId w:val="1005"/>
        </w:numPr>
        <w:pStyle w:val="Compact"/>
      </w:pPr>
      <w:r>
        <w:t xml:space="preserve">Vagas atuais de empregadores que divulguem remuneração</w:t>
      </w:r>
    </w:p>
    <w:p>
      <w:pPr>
        <w:numPr>
          <w:ilvl w:val="0"/>
          <w:numId w:val="1005"/>
        </w:numPr>
        <w:pStyle w:val="Compact"/>
      </w:pPr>
      <w:r>
        <w:t xml:space="preserve">Estimativas comerciais ou colaborativas, como Glassdoor, Indeed Salaries, PayScale, Salary.com, Talent.com ou informações salariais do LinkedIn</w:t>
      </w:r>
    </w:p>
    <w:p>
      <w:pPr>
        <w:numPr>
          <w:ilvl w:val="0"/>
          <w:numId w:val="1005"/>
        </w:numPr>
        <w:pStyle w:val="Compact"/>
      </w:pPr>
      <w:r>
        <w:t xml:space="preserve">Tabelas sindicais, acordos coletivos, pesquisas profissionais ou escalas salariais públicas quando relevantes</w:t>
      </w:r>
    </w:p>
    <w:p>
      <w:pPr>
        <w:pStyle w:val="FirstParagraph"/>
      </w:pPr>
      <w:r>
        <w:t xml:space="preserve">Identifique claramente:</w:t>
      </w:r>
    </w:p>
    <w:p>
      <w:pPr>
        <w:numPr>
          <w:ilvl w:val="0"/>
          <w:numId w:val="1006"/>
        </w:numPr>
        <w:pStyle w:val="Compact"/>
      </w:pPr>
      <w:r>
        <w:t xml:space="preserve">País, estado, província, departamento, cidade ou região</w:t>
      </w:r>
    </w:p>
    <w:p>
      <w:pPr>
        <w:numPr>
          <w:ilvl w:val="0"/>
          <w:numId w:val="1006"/>
        </w:numPr>
        <w:pStyle w:val="Compact"/>
      </w:pPr>
      <w:r>
        <w:t xml:space="preserve">Data da consulta</w:t>
      </w:r>
    </w:p>
    <w:p>
      <w:pPr>
        <w:numPr>
          <w:ilvl w:val="0"/>
          <w:numId w:val="1006"/>
        </w:numPr>
        <w:pStyle w:val="Compact"/>
      </w:pPr>
      <w:r>
        <w:t xml:space="preserve">Base horária, mensal, anual, comissão, contrato ou trabalho autônomo</w:t>
      </w:r>
    </w:p>
    <w:p>
      <w:pPr>
        <w:numPr>
          <w:ilvl w:val="0"/>
          <w:numId w:val="1006"/>
        </w:numPr>
        <w:pStyle w:val="Compact"/>
      </w:pPr>
      <w:r>
        <w:t xml:space="preserve">Salário-base versus remuneração total</w:t>
      </w:r>
    </w:p>
    <w:p>
      <w:pPr>
        <w:numPr>
          <w:ilvl w:val="0"/>
          <w:numId w:val="1006"/>
        </w:numPr>
        <w:pStyle w:val="Compact"/>
      </w:pPr>
      <w:r>
        <w:t xml:space="preserve">Faixas de entrada, típicas e experientes</w:t>
      </w:r>
    </w:p>
    <w:p>
      <w:pPr>
        <w:numPr>
          <w:ilvl w:val="0"/>
          <w:numId w:val="1006"/>
        </w:numPr>
        <w:pStyle w:val="Compact"/>
      </w:pPr>
      <w:r>
        <w:t xml:space="preserve">Horas extras, adicionais de turno, bônus, gorjetas ou comissões</w:t>
      </w:r>
    </w:p>
    <w:p>
      <w:pPr>
        <w:numPr>
          <w:ilvl w:val="0"/>
          <w:numId w:val="1006"/>
        </w:numPr>
        <w:pStyle w:val="Compact"/>
      </w:pPr>
      <w:r>
        <w:t xml:space="preserve">Limitações de amostra ou metodologia, quando disponíveis</w:t>
      </w:r>
    </w:p>
    <w:p>
      <w:pPr>
        <w:pStyle w:val="FirstParagraph"/>
      </w:pPr>
      <w:r>
        <w:t xml:space="preserve">Estimativas colaborativas são evidência complementar, não garantia. Receita de trabalho autônomo não é renda líquida; considere impostos, seguros, equipamentos, marketing, tempo não faturado e risco de inadimplência.</w:t>
      </w:r>
    </w:p>
    <w:p>
      <w:pPr>
        <w:pStyle w:val="BodyText"/>
      </w:pPr>
      <w:r>
        <w:t xml:space="preserve">Sempre que houver volume suficiente, revise pelo menos 25 vagas atuais para a ocupação e a localização pretendidas e registre requisitos recorrentes.</w:t>
      </w:r>
    </w:p>
    <w:bookmarkEnd w:id="29"/>
    <w:bookmarkEnd w:id="30"/>
    <w:bookmarkStart w:id="32" w:name="X9cd633dfa9102b94a15ac876a2859d9690c551f"/>
    <w:p>
      <w:pPr>
        <w:pStyle w:val="Heading1"/>
      </w:pPr>
      <w:r>
        <w:t xml:space="preserve">5. Construa um caminho educacional confiável</w:t>
      </w:r>
    </w:p>
    <w:p>
      <w:pPr>
        <w:pStyle w:val="FirstParagraph"/>
      </w:pPr>
      <w:r>
        <w:t xml:space="preserve">Comece pelo passo confiável mais barato que gere evidência útil ou uma próxima opção verificável.</w:t>
      </w:r>
    </w:p>
    <w:bookmarkStart w:id="31" w:name="escada-educacional"/>
    <w:p>
      <w:pPr>
        <w:pStyle w:val="Heading2"/>
      </w:pPr>
      <w:r>
        <w:t xml:space="preserve">Escada educacional</w:t>
      </w:r>
    </w:p>
    <w:p>
      <w:pPr>
        <w:pStyle w:val="FirstParagraph"/>
      </w:pPr>
      <w:r>
        <w:rPr>
          <w:bCs/>
          <w:b/>
        </w:rPr>
        <w:t xml:space="preserve">Nível 1 — Exploração gratuita:</w:t>
      </w:r>
      <w:r>
        <w:t xml:space="preserve"> </w:t>
      </w:r>
      <w:r>
        <w:t xml:space="preserve">bibliotecas, recursos públicos, cursos introdutórios, vídeos, exercícios práticos e entrevistas informativas.</w:t>
      </w:r>
    </w:p>
    <w:p>
      <w:pPr>
        <w:pStyle w:val="BodyText"/>
      </w:pPr>
      <w:r>
        <w:rPr>
          <w:bCs/>
          <w:b/>
        </w:rPr>
        <w:t xml:space="preserve">Nível 2 — Preparação fundamental:</w:t>
      </w:r>
      <w:r>
        <w:t xml:space="preserve"> </w:t>
      </w:r>
      <w:r>
        <w:t xml:space="preserve">alfabetização digital, idiomas, matemática, escrita, técnicas de estudo, comunicação profissional e segurança.</w:t>
      </w:r>
    </w:p>
    <w:p>
      <w:pPr>
        <w:pStyle w:val="BodyText"/>
      </w:pPr>
      <w:r>
        <w:rPr>
          <w:bCs/>
          <w:b/>
        </w:rPr>
        <w:t xml:space="preserve">Nível 3 — Prova de baixo custo:</w:t>
      </w:r>
      <w:r>
        <w:t xml:space="preserve"> </w:t>
      </w:r>
      <w:r>
        <w:t xml:space="preserve">curso curto reconhecido, exame, portfólio, projeto supervisionado ou credencial inicial.</w:t>
      </w:r>
    </w:p>
    <w:p>
      <w:pPr>
        <w:pStyle w:val="BodyText"/>
      </w:pPr>
      <w:r>
        <w:rPr>
          <w:bCs/>
          <w:b/>
        </w:rPr>
        <w:t xml:space="preserve">Nível 4 — Aprendizagem remunerada:</w:t>
      </w:r>
      <w:r>
        <w:t xml:space="preserve"> </w:t>
      </w:r>
      <w:r>
        <w:t xml:space="preserve">aprendizagem profissional, treinamento do empregador, estágio, cooperativa, programa de trainee, serviço ou função inicial com formação estruturada.</w:t>
      </w:r>
    </w:p>
    <w:p>
      <w:pPr>
        <w:pStyle w:val="BodyText"/>
      </w:pPr>
      <w:r>
        <w:rPr>
          <w:bCs/>
          <w:b/>
        </w:rPr>
        <w:t xml:space="preserve">Nível 5 — Educação reconhecida:</w:t>
      </w:r>
      <w:r>
        <w:t xml:space="preserve"> </w:t>
      </w:r>
      <w:r>
        <w:t xml:space="preserve">instituto técnico público, faculdade comunitária, instituição oficialmente reconhecida, programa baseado em competências ou universidade aberta quando a credencial oferece vantagem comprovada.</w:t>
      </w:r>
    </w:p>
    <w:p>
      <w:pPr>
        <w:pStyle w:val="BodyText"/>
      </w:pPr>
      <w:r>
        <w:rPr>
          <w:bCs/>
          <w:b/>
        </w:rPr>
        <w:t xml:space="preserve">Nível 6 — Avanço:</w:t>
      </w:r>
      <w:r>
        <w:t xml:space="preserve"> </w:t>
      </w:r>
      <w:r>
        <w:t xml:space="preserve">especialização, licenciamento, conclusão de graduação, liderança, ensino, consultoria ou negócio próprio.</w:t>
      </w:r>
    </w:p>
    <w:p>
      <w:pPr>
        <w:pStyle w:val="BodyText"/>
      </w:pPr>
      <w:r>
        <w:t xml:space="preserve">Gratuito primeiro não significa baixa qualidade. O aprendizado gratuito é mais valioso quando produz competência, evidência, crédito reconhecido ou um próximo passo definido.</w:t>
      </w:r>
    </w:p>
    <w:bookmarkEnd w:id="31"/>
    <w:bookmarkEnd w:id="32"/>
    <w:bookmarkStart w:id="33" w:name="Xd800e4da556d52c1e0131578a95b4319960624b"/>
    <w:p>
      <w:pPr>
        <w:pStyle w:val="Heading1"/>
      </w:pPr>
      <w:r>
        <w:t xml:space="preserve">6. Verifique reconhecimento, credenciamento e licenciamento</w:t>
      </w:r>
    </w:p>
    <w:p>
      <w:pPr>
        <w:pStyle w:val="FirstParagraph"/>
      </w:pPr>
      <w:r>
        <w:t xml:space="preserve">Uma escola pode operar legalmente sem possuir o reconhecimento exigido por empregadores, conselhos profissionais, universidades, autoridades migratórias ou avaliadores de credenciais.</w:t>
      </w:r>
    </w:p>
    <w:p>
      <w:pPr>
        <w:pStyle w:val="BodyText"/>
      </w:pPr>
      <w:r>
        <w:t xml:space="preserve">Verifique quatro perguntas separadas:</w:t>
      </w:r>
    </w:p>
    <w:p>
      <w:pPr>
        <w:numPr>
          <w:ilvl w:val="0"/>
          <w:numId w:val="1007"/>
        </w:numPr>
        <w:pStyle w:val="Compact"/>
      </w:pPr>
      <w:r>
        <w:t xml:space="preserve">A instituição é oficialmente reconhecida?</w:t>
      </w:r>
    </w:p>
    <w:p>
      <w:pPr>
        <w:numPr>
          <w:ilvl w:val="0"/>
          <w:numId w:val="1007"/>
        </w:numPr>
        <w:pStyle w:val="Compact"/>
      </w:pPr>
      <w:r>
        <w:t xml:space="preserve">O programa específico está autorizado quando necessário?</w:t>
      </w:r>
    </w:p>
    <w:p>
      <w:pPr>
        <w:numPr>
          <w:ilvl w:val="0"/>
          <w:numId w:val="1007"/>
        </w:numPr>
        <w:pStyle w:val="Compact"/>
      </w:pPr>
      <w:r>
        <w:t xml:space="preserve">O programa qualifica seus concluintes para a licença ou certificação pretendida?</w:t>
      </w:r>
    </w:p>
    <w:p>
      <w:pPr>
        <w:numPr>
          <w:ilvl w:val="0"/>
          <w:numId w:val="1007"/>
        </w:numPr>
        <w:pStyle w:val="Compact"/>
      </w:pPr>
      <w:r>
        <w:t xml:space="preserve">O empregador, instituição, regulador ou avaliador de credenciais aceitará a formação?</w:t>
      </w:r>
    </w:p>
    <w:p>
      <w:pPr>
        <w:pStyle w:val="FirstParagraph"/>
      </w:pPr>
      <w:r>
        <w:t xml:space="preserve">Obtenha respostas por escrito. Guarde catálogos, avaliações de transferência, declarações de licenciamento, estimativas de mensalidade, políticas de reembolso e acordos de acessibilidade.</w:t>
      </w:r>
    </w:p>
    <w:p>
      <w:pPr>
        <w:pStyle w:val="BodyText"/>
      </w:pPr>
      <w:r>
        <w:t xml:space="preserve">Sinais de alerta incluem emprego garantido, diplomas baseados principalmente em experiência de vida, pressão para pagar imediatamente, credenciamento pouco claro, taxas ocultas, afirmações de que os créditos são aceitos em qualquer lugar e recusa em identificar reguladores.</w:t>
      </w:r>
    </w:p>
    <w:bookmarkEnd w:id="33"/>
    <w:bookmarkStart w:id="41" w:name="Xbb6c4b1d149b5c249c2824184564100a72ef100"/>
    <w:p>
      <w:pPr>
        <w:pStyle w:val="Heading1"/>
      </w:pPr>
      <w:r>
        <w:t xml:space="preserve">7. Localizador de financiamento, formação gratuita ou de baixo custo, ajuda financeira e aprendizagem profissional</w:t>
      </w:r>
    </w:p>
    <w:p>
      <w:pPr>
        <w:pStyle w:val="FirstParagraph"/>
      </w:pPr>
      <w:r>
        <w:t xml:space="preserve">Cada guia ocupacional deve distinguir:</w:t>
      </w:r>
    </w:p>
    <w:p>
      <w:pPr>
        <w:numPr>
          <w:ilvl w:val="0"/>
          <w:numId w:val="1008"/>
        </w:numPr>
        <w:pStyle w:val="Compact"/>
      </w:pPr>
      <w:r>
        <w:t xml:space="preserve">Formação gratuita</w:t>
      </w:r>
    </w:p>
    <w:p>
      <w:pPr>
        <w:numPr>
          <w:ilvl w:val="0"/>
          <w:numId w:val="1008"/>
        </w:numPr>
        <w:pStyle w:val="Compact"/>
      </w:pPr>
      <w:r>
        <w:t xml:space="preserve">Formação subsidiada ou de baixo custo</w:t>
      </w:r>
    </w:p>
    <w:p>
      <w:pPr>
        <w:numPr>
          <w:ilvl w:val="0"/>
          <w:numId w:val="1008"/>
        </w:numPr>
        <w:pStyle w:val="Compact"/>
      </w:pPr>
      <w:r>
        <w:t xml:space="preserve">Bolsas e auxílios normalmente não reembolsáveis</w:t>
      </w:r>
    </w:p>
    <w:p>
      <w:pPr>
        <w:numPr>
          <w:ilvl w:val="0"/>
          <w:numId w:val="1008"/>
        </w:numPr>
        <w:pStyle w:val="Compact"/>
      </w:pPr>
      <w:r>
        <w:t xml:space="preserve">Apoio perdoável sujeito a condições</w:t>
      </w:r>
    </w:p>
    <w:p>
      <w:pPr>
        <w:numPr>
          <w:ilvl w:val="0"/>
          <w:numId w:val="1008"/>
        </w:numPr>
        <w:pStyle w:val="Compact"/>
      </w:pPr>
      <w:r>
        <w:t xml:space="preserve">Educação paga ou reembolsada pelo empregador</w:t>
      </w:r>
    </w:p>
    <w:p>
      <w:pPr>
        <w:numPr>
          <w:ilvl w:val="0"/>
          <w:numId w:val="1008"/>
        </w:numPr>
        <w:pStyle w:val="Compact"/>
      </w:pPr>
      <w:r>
        <w:t xml:space="preserve">Aprendizagem profissional, cooperativa, trainee ou formação no trabalho remunerada</w:t>
      </w:r>
    </w:p>
    <w:p>
      <w:pPr>
        <w:numPr>
          <w:ilvl w:val="0"/>
          <w:numId w:val="1008"/>
        </w:numPr>
        <w:pStyle w:val="Compact"/>
      </w:pPr>
      <w:r>
        <w:t xml:space="preserve">Estágio não remunerado ou voluntariado</w:t>
      </w:r>
    </w:p>
    <w:p>
      <w:pPr>
        <w:numPr>
          <w:ilvl w:val="0"/>
          <w:numId w:val="1008"/>
        </w:numPr>
        <w:pStyle w:val="Compact"/>
      </w:pPr>
      <w:r>
        <w:t xml:space="preserve">Empréstimos e outros financiamentos reembolsáveis</w:t>
      </w:r>
    </w:p>
    <w:p>
      <w:pPr>
        <w:pStyle w:val="FirstParagraph"/>
      </w:pPr>
      <w:r>
        <w:t xml:space="preserve">Empréstimos não são o primeiro recurso. Esgote bolsas, financiamento público, apoio do empregador, aprendizagem profissional, bibliotecas e alternativas acessíveis antes de assumir dívida.</w:t>
      </w:r>
    </w:p>
    <w:p>
      <w:pPr>
        <w:pStyle w:val="BodyText"/>
      </w:pPr>
      <w:r>
        <w:t xml:space="preserve">Cada oportunidade deve indicar país ou região, provedor, tipo de apoio, elegibilidade básica, status das inscrições quando conhecido, link oficial e data da última verificação.</w:t>
      </w:r>
    </w:p>
    <w:bookmarkStart w:id="34" w:name="estados-unidos"/>
    <w:p>
      <w:pPr>
        <w:pStyle w:val="Heading2"/>
      </w:pPr>
      <w:r>
        <w:t xml:space="preserve">Estados Unidos</w:t>
      </w:r>
    </w:p>
    <w:p>
      <w:pPr>
        <w:numPr>
          <w:ilvl w:val="0"/>
          <w:numId w:val="1009"/>
        </w:numPr>
        <w:pStyle w:val="Compact"/>
      </w:pPr>
      <w:r>
        <w:t xml:space="preserve">CareerOneStop e American Job Centers para serviços de emprego e apoio local à formação</w:t>
      </w:r>
    </w:p>
    <w:p>
      <w:pPr>
        <w:numPr>
          <w:ilvl w:val="0"/>
          <w:numId w:val="1009"/>
        </w:numPr>
        <w:pStyle w:val="Compact"/>
      </w:pPr>
      <w:r>
        <w:t xml:space="preserve">Serviços financiados pelo Workforce Innovation and Opportunity Act por meio de sistemas estaduais e locais</w:t>
      </w:r>
    </w:p>
    <w:p>
      <w:pPr>
        <w:numPr>
          <w:ilvl w:val="0"/>
          <w:numId w:val="1009"/>
        </w:numPr>
        <w:pStyle w:val="Compact"/>
      </w:pPr>
      <w:r>
        <w:t xml:space="preserve">Apprenticeship.gov para informações e vagas de Registered Apprenticeship</w:t>
      </w:r>
    </w:p>
    <w:p>
      <w:pPr>
        <w:numPr>
          <w:ilvl w:val="0"/>
          <w:numId w:val="1009"/>
        </w:numPr>
        <w:pStyle w:val="Compact"/>
      </w:pPr>
      <w:r>
        <w:t xml:space="preserve">Federal Student Aid para bolsas, Federal Work-Study e empréstimos; bolsas devem ser consideradas antes de empréstimos</w:t>
      </w:r>
    </w:p>
    <w:p>
      <w:pPr>
        <w:numPr>
          <w:ilvl w:val="0"/>
          <w:numId w:val="1009"/>
        </w:numPr>
        <w:pStyle w:val="Compact"/>
      </w:pPr>
      <w:r>
        <w:t xml:space="preserve">Agências estaduais de reabilitação profissional para pessoas elegíveis com deficiência</w:t>
      </w:r>
    </w:p>
    <w:p>
      <w:pPr>
        <w:numPr>
          <w:ilvl w:val="0"/>
          <w:numId w:val="1009"/>
        </w:numPr>
        <w:pStyle w:val="Compact"/>
      </w:pPr>
      <w:r>
        <w:t xml:space="preserve">SNAP Employment and Training onde disponível</w:t>
      </w:r>
    </w:p>
    <w:p>
      <w:pPr>
        <w:numPr>
          <w:ilvl w:val="0"/>
          <w:numId w:val="1009"/>
        </w:numPr>
        <w:pStyle w:val="Compact"/>
      </w:pPr>
      <w:r>
        <w:t xml:space="preserve">Bibliotecas públicas, community colleges, sindicatos e programas de formação de empregadores</w:t>
      </w:r>
    </w:p>
    <w:p>
      <w:pPr>
        <w:pStyle w:val="FirstParagraph"/>
      </w:pPr>
      <w:r>
        <w:t xml:space="preserve">Registered Apprenticeship combina emprego remunerado, instrução relacionada, mentoria, progressão salarial e uma credencial reconhecida pelo setor. Uma listagem não garante seleção.</w:t>
      </w:r>
    </w:p>
    <w:bookmarkEnd w:id="34"/>
    <w:bookmarkStart w:id="35" w:name="canadá"/>
    <w:p>
      <w:pPr>
        <w:pStyle w:val="Heading2"/>
      </w:pPr>
      <w:r>
        <w:t xml:space="preserve">Canadá</w:t>
      </w:r>
    </w:p>
    <w:p>
      <w:pPr>
        <w:numPr>
          <w:ilvl w:val="0"/>
          <w:numId w:val="1010"/>
        </w:numPr>
        <w:pStyle w:val="Compact"/>
      </w:pPr>
      <w:r>
        <w:t xml:space="preserve">Job Bank para ocupações, salários, perspectivas, vagas e informações de formação</w:t>
      </w:r>
    </w:p>
    <w:p>
      <w:pPr>
        <w:numPr>
          <w:ilvl w:val="0"/>
          <w:numId w:val="1010"/>
        </w:numPr>
        <w:pStyle w:val="Compact"/>
      </w:pPr>
      <w:r>
        <w:t xml:space="preserve">Serviços de treinamento e ajuda estudantil do Canada.ca</w:t>
      </w:r>
    </w:p>
    <w:p>
      <w:pPr>
        <w:numPr>
          <w:ilvl w:val="0"/>
          <w:numId w:val="1010"/>
        </w:numPr>
        <w:pStyle w:val="Compact"/>
      </w:pPr>
      <w:r>
        <w:t xml:space="preserve">Autoridades provinciais e territoriais de aprendizagem e certificação</w:t>
      </w:r>
    </w:p>
    <w:p>
      <w:pPr>
        <w:numPr>
          <w:ilvl w:val="0"/>
          <w:numId w:val="1010"/>
        </w:numPr>
        <w:pStyle w:val="Compact"/>
      </w:pPr>
      <w:r>
        <w:t xml:space="preserve">Red Seal para ofícios designados</w:t>
      </w:r>
    </w:p>
    <w:p>
      <w:pPr>
        <w:numPr>
          <w:ilvl w:val="0"/>
          <w:numId w:val="1010"/>
        </w:numPr>
        <w:pStyle w:val="Compact"/>
      </w:pPr>
      <w:r>
        <w:t xml:space="preserve">Employment Insurance durante formação técnica elegível de aprendizes</w:t>
      </w:r>
    </w:p>
    <w:p>
      <w:pPr>
        <w:numPr>
          <w:ilvl w:val="0"/>
          <w:numId w:val="1010"/>
        </w:numPr>
        <w:pStyle w:val="Compact"/>
      </w:pPr>
      <w:r>
        <w:t xml:space="preserve">Canada Apprentice Loan e outros apoios federais, provinciais, territoriais, sindicais e de empregadores</w:t>
      </w:r>
    </w:p>
    <w:p>
      <w:pPr>
        <w:pStyle w:val="FirstParagraph"/>
      </w:pPr>
      <w:r>
        <w:t xml:space="preserve">Não apresente o Apprenticeship Incentive Grant nem o Apprenticeship Completion Grant como programas abertos. As páginas federais informam que ambos encerraram novas inscrições em 31 de março de 2025. O Canada Apprentice Loan é crédito reembolsável, não bolsa.</w:t>
      </w:r>
    </w:p>
    <w:bookmarkEnd w:id="35"/>
    <w:bookmarkStart w:id="36" w:name="américa-latina-e-colômbia"/>
    <w:p>
      <w:pPr>
        <w:pStyle w:val="Heading2"/>
      </w:pPr>
      <w:r>
        <w:t xml:space="preserve">América Latina e Colômbia</w:t>
      </w:r>
    </w:p>
    <w:p>
      <w:pPr>
        <w:pStyle w:val="FirstParagraph"/>
      </w:pPr>
      <w:r>
        <w:t xml:space="preserve">Os sistemas variam por país. Cada guia deve identificar o serviço oficial de emprego, o ministério da educação, a autoridade de formação, o órgão de licenciamento, o portal de bolsas e os recursos de emprego para pessoas com deficiência.</w:t>
      </w:r>
    </w:p>
    <w:p>
      <w:pPr>
        <w:pStyle w:val="BodyText"/>
      </w:pPr>
      <w:r>
        <w:t xml:space="preserve">Na Colômbia, comece por:</w:t>
      </w:r>
    </w:p>
    <w:p>
      <w:pPr>
        <w:numPr>
          <w:ilvl w:val="0"/>
          <w:numId w:val="1011"/>
        </w:numPr>
        <w:pStyle w:val="Compact"/>
      </w:pPr>
      <w:r>
        <w:t xml:space="preserve">Servicio Nacional de Aprendizaje (SENA) para formação técnica, tecnológica, complementar, virtual e relacionada à aprendizagem</w:t>
      </w:r>
    </w:p>
    <w:p>
      <w:pPr>
        <w:numPr>
          <w:ilvl w:val="0"/>
          <w:numId w:val="1011"/>
        </w:numPr>
        <w:pStyle w:val="Compact"/>
      </w:pPr>
      <w:r>
        <w:t xml:space="preserve">Servicio Público de Empleo para vagas registradas, prestadores autorizados e acesso ao mercado de trabalho</w:t>
      </w:r>
    </w:p>
    <w:p>
      <w:pPr>
        <w:numPr>
          <w:ilvl w:val="0"/>
          <w:numId w:val="1011"/>
        </w:numPr>
        <w:pStyle w:val="Compact"/>
      </w:pPr>
      <w:r>
        <w:t xml:space="preserve">Ministerio de Educación e sistemas oficiais de qualidade para reconhecimento de instituições e programas</w:t>
      </w:r>
    </w:p>
    <w:p>
      <w:pPr>
        <w:numPr>
          <w:ilvl w:val="0"/>
          <w:numId w:val="1011"/>
        </w:numPr>
        <w:pStyle w:val="Compact"/>
      </w:pPr>
      <w:r>
        <w:t xml:space="preserve">Ministerio del Trabajo e conselhos profissionais para trabalho regulamentado</w:t>
      </w:r>
    </w:p>
    <w:p>
      <w:pPr>
        <w:numPr>
          <w:ilvl w:val="0"/>
          <w:numId w:val="1011"/>
        </w:numPr>
        <w:pStyle w:val="Compact"/>
      </w:pPr>
      <w:r>
        <w:t xml:space="preserve">ICETEX para bolsas, fundos e crédito educativo; crédito é reembolsável salvo disposição oficial em contrário</w:t>
      </w:r>
    </w:p>
    <w:p>
      <w:pPr>
        <w:numPr>
          <w:ilvl w:val="0"/>
          <w:numId w:val="1011"/>
        </w:numPr>
        <w:pStyle w:val="Compact"/>
      </w:pPr>
      <w:r>
        <w:t xml:space="preserve">Universidades públicas, cajas de compensación, governos territoriais e programas de empregadores</w:t>
      </w:r>
    </w:p>
    <w:p>
      <w:pPr>
        <w:pStyle w:val="FirstParagraph"/>
      </w:pPr>
      <w:r>
        <w:t xml:space="preserve">Verifique se cada programa está aberto, financiado, reembolsável, disponível ao leitor e reconhecido para a ocupação pretendida.</w:t>
      </w:r>
    </w:p>
    <w:bookmarkEnd w:id="36"/>
    <w:bookmarkStart w:id="37" w:name="brasil"/>
    <w:p>
      <w:pPr>
        <w:pStyle w:val="Heading2"/>
      </w:pPr>
      <w:r>
        <w:t xml:space="preserve">Brasil</w:t>
      </w:r>
    </w:p>
    <w:p>
      <w:pPr>
        <w:pStyle w:val="FirstParagraph"/>
      </w:pPr>
      <w:r>
        <w:t xml:space="preserve">Pontos oficiais incluem:</w:t>
      </w:r>
    </w:p>
    <w:p>
      <w:pPr>
        <w:numPr>
          <w:ilvl w:val="0"/>
          <w:numId w:val="1012"/>
        </w:numPr>
        <w:pStyle w:val="Compact"/>
      </w:pPr>
      <w:r>
        <w:t xml:space="preserve">Ministério do Trabalho e Emprego e a plataforma QualificaPro para oportunidades públicas de qualificação</w:t>
      </w:r>
    </w:p>
    <w:p>
      <w:pPr>
        <w:numPr>
          <w:ilvl w:val="0"/>
          <w:numId w:val="1012"/>
        </w:numPr>
        <w:pStyle w:val="Compact"/>
      </w:pPr>
      <w:r>
        <w:t xml:space="preserve">Caminho Digital / Escola do Trabalhador 4.0 para cursos gratuitos de competências digitais</w:t>
      </w:r>
    </w:p>
    <w:p>
      <w:pPr>
        <w:numPr>
          <w:ilvl w:val="0"/>
          <w:numId w:val="1012"/>
        </w:numPr>
        <w:pStyle w:val="Compact"/>
      </w:pPr>
      <w:r>
        <w:t xml:space="preserve">Cadastro Nacional de Aprendizagem Profissional e provedores autorizados</w:t>
      </w:r>
    </w:p>
    <w:p>
      <w:pPr>
        <w:numPr>
          <w:ilvl w:val="0"/>
          <w:numId w:val="1012"/>
        </w:numPr>
        <w:pStyle w:val="Compact"/>
      </w:pPr>
      <w:r>
        <w:t xml:space="preserve">Prouni para bolsas integrais ou parciais em instituições privadas participantes</w:t>
      </w:r>
    </w:p>
    <w:p>
      <w:pPr>
        <w:numPr>
          <w:ilvl w:val="0"/>
          <w:numId w:val="1012"/>
        </w:numPr>
        <w:pStyle w:val="Compact"/>
      </w:pPr>
      <w:r>
        <w:t xml:space="preserve">Sisu para seleção em vagas de instituições públicas</w:t>
      </w:r>
    </w:p>
    <w:p>
      <w:pPr>
        <w:numPr>
          <w:ilvl w:val="0"/>
          <w:numId w:val="1012"/>
        </w:numPr>
        <w:pStyle w:val="Compact"/>
      </w:pPr>
      <w:r>
        <w:t xml:space="preserve">FIES para financiamento estudantil reembolsável</w:t>
      </w:r>
    </w:p>
    <w:p>
      <w:pPr>
        <w:pStyle w:val="FirstParagraph"/>
      </w:pPr>
      <w:r>
        <w:t xml:space="preserve">A aprendizagem profissional brasileira geralmente atende pessoas de 14 a 24 anos; pessoas com deficiência não estão sujeitas ao mesmo limite máximo de idade. Um certificado de curso não equivale automaticamente a licença profissional, diploma ou garantia de emprego.</w:t>
      </w:r>
    </w:p>
    <w:bookmarkEnd w:id="37"/>
    <w:bookmarkStart w:id="38" w:name="méxico"/>
    <w:p>
      <w:pPr>
        <w:pStyle w:val="Heading2"/>
      </w:pPr>
      <w:r>
        <w:t xml:space="preserve">México</w:t>
      </w:r>
    </w:p>
    <w:p>
      <w:pPr>
        <w:pStyle w:val="FirstParagraph"/>
      </w:pPr>
      <w:r>
        <w:t xml:space="preserve">Jóvenes Construyendo el Futuro é um caminho governamental de formação em locais de trabalho, geralmente para pessoas de 18 a 29 anos que não estejam estudando nem empregadas ao ingressar. A formação pode durar até 12 meses. As informações oficiais de 2026 indicam auxílio mensal do governo e cobertura médica do IMSS durante a formação.</w:t>
      </w:r>
    </w:p>
    <w:p>
      <w:pPr>
        <w:pStyle w:val="BodyText"/>
      </w:pPr>
      <w:r>
        <w:t xml:space="preserve">Trate o programa como formação no trabalho com apoio público, não como contrato de emprego comum ou garantia de contratação posterior. Verifique plataforma ativa, valor vigente, elegibilidade, documentos, município e disponibilidade de centros.</w:t>
      </w:r>
    </w:p>
    <w:bookmarkEnd w:id="38"/>
    <w:bookmarkStart w:id="39" w:name="argentina"/>
    <w:p>
      <w:pPr>
        <w:pStyle w:val="Heading2"/>
      </w:pPr>
      <w:r>
        <w:t xml:space="preserve">Argentina</w:t>
      </w:r>
    </w:p>
    <w:p>
      <w:pPr>
        <w:pStyle w:val="FirstParagraph"/>
      </w:pPr>
      <w:r>
        <w:t xml:space="preserve">Progresar Formación Profesional / Progresar Trabajo oferece apoio educacional condicionado a pessoas elegíveis matriculadas em cursos aprovados de formação profissional. Não é salário nem emprego garantido.</w:t>
      </w:r>
    </w:p>
    <w:p>
      <w:pPr>
        <w:pStyle w:val="BodyText"/>
      </w:pPr>
      <w:r>
        <w:t xml:space="preserve">O período oficial de inscrição de 2026 foi anunciado de 27 de abril a 27 de novembro de 2026. Use essa data somente como exemplo datado e confirme o calendário atual, as regras de idade, residência, renda e validação do curso antes de orientar qualquer candidatura.</w:t>
      </w:r>
    </w:p>
    <w:bookmarkEnd w:id="39"/>
    <w:bookmarkStart w:id="40" w:name="chile"/>
    <w:p>
      <w:pPr>
        <w:pStyle w:val="Heading2"/>
      </w:pPr>
      <w:r>
        <w:t xml:space="preserve">Chile</w:t>
      </w:r>
    </w:p>
    <w:p>
      <w:pPr>
        <w:pStyle w:val="FirstParagraph"/>
      </w:pPr>
      <w:r>
        <w:t xml:space="preserve">O Servicio Nacional de Capacitación y Empleo (SENCE) administra caminhos de formação financiados por chamadas específicas. Alguns benefícios estão vinculados ao seguro-desemprego e não são bolsas gerais para todas as pessoas em busca de trabalho.</w:t>
      </w:r>
    </w:p>
    <w:p>
      <w:pPr>
        <w:pStyle w:val="BodyText"/>
      </w:pPr>
      <w:r>
        <w:t xml:space="preserve">A página do Programa Becas Fondo Cesantía Solidario revisada para esta edição indicava inscrições encerradas em 28 de maio de 2026. Não apresente essa chamada como aberta sem confirmação atual do ChileAtiende ou do SENCE.</w:t>
      </w:r>
    </w:p>
    <w:bookmarkEnd w:id="40"/>
    <w:bookmarkEnd w:id="41"/>
    <w:bookmarkStart w:id="42" w:name="X3bd4306233c5d206833feeb67528f4ea3d306c7"/>
    <w:p>
      <w:pPr>
        <w:pStyle w:val="Heading1"/>
      </w:pPr>
      <w:r>
        <w:t xml:space="preserve">8. Use o apoio educacional do empregador com cuidado</w:t>
      </w:r>
    </w:p>
    <w:p>
      <w:pPr>
        <w:pStyle w:val="FirstParagraph"/>
      </w:pPr>
      <w:r>
        <w:t xml:space="preserve">Apoio do empregador pode incluir pagamento direto, reembolso, certificação, aprendizagem profissional, assistência educacional ou tempo de estudo remunerado. Obtenha o acordo antes de se matricular.</w:t>
      </w:r>
    </w:p>
    <w:p>
      <w:pPr>
        <w:pStyle w:val="BodyText"/>
      </w:pPr>
      <w:r>
        <w:t xml:space="preserve">Pergunte:</w:t>
      </w:r>
    </w:p>
    <w:p>
      <w:pPr>
        <w:numPr>
          <w:ilvl w:val="0"/>
          <w:numId w:val="1013"/>
        </w:numPr>
        <w:pStyle w:val="Compact"/>
      </w:pPr>
      <w:r>
        <w:t xml:space="preserve">O que está coberto?</w:t>
      </w:r>
    </w:p>
    <w:p>
      <w:pPr>
        <w:numPr>
          <w:ilvl w:val="0"/>
          <w:numId w:val="1013"/>
        </w:numPr>
        <w:pStyle w:val="Compact"/>
      </w:pPr>
      <w:r>
        <w:t xml:space="preserve">O pagamento é direto ou reembolsado depois?</w:t>
      </w:r>
    </w:p>
    <w:p>
      <w:pPr>
        <w:numPr>
          <w:ilvl w:val="0"/>
          <w:numId w:val="1013"/>
        </w:numPr>
        <w:pStyle w:val="Compact"/>
      </w:pPr>
      <w:r>
        <w:t xml:space="preserve">Existe nota mínima ou resultado de exame exigido?</w:t>
      </w:r>
    </w:p>
    <w:p>
      <w:pPr>
        <w:numPr>
          <w:ilvl w:val="0"/>
          <w:numId w:val="1013"/>
        </w:numPr>
        <w:pStyle w:val="Compact"/>
      </w:pPr>
      <w:r>
        <w:t xml:space="preserve">O empregado precisa permanecer por um período definido?</w:t>
      </w:r>
    </w:p>
    <w:p>
      <w:pPr>
        <w:numPr>
          <w:ilvl w:val="0"/>
          <w:numId w:val="1013"/>
        </w:numPr>
        <w:pStyle w:val="Compact"/>
      </w:pPr>
      <w:r>
        <w:t xml:space="preserve">O reembolso é proporcional?</w:t>
      </w:r>
    </w:p>
    <w:p>
      <w:pPr>
        <w:numPr>
          <w:ilvl w:val="0"/>
          <w:numId w:val="1013"/>
        </w:numPr>
        <w:pStyle w:val="Compact"/>
      </w:pPr>
      <w:r>
        <w:t xml:space="preserve">O que acontece em caso de demissão, deficiência, aposentadoria, transferência, eliminação do cargo ou fechamento do programa?</w:t>
      </w:r>
    </w:p>
    <w:p>
      <w:pPr>
        <w:numPr>
          <w:ilvl w:val="0"/>
          <w:numId w:val="1013"/>
        </w:numPr>
        <w:pStyle w:val="Compact"/>
      </w:pPr>
      <w:r>
        <w:t xml:space="preserve">O valor pode ser descontado das verbas finais?</w:t>
      </w:r>
    </w:p>
    <w:p>
      <w:pPr>
        <w:numPr>
          <w:ilvl w:val="0"/>
          <w:numId w:val="1013"/>
        </w:numPr>
        <w:pStyle w:val="Compact"/>
      </w:pPr>
      <w:r>
        <w:t xml:space="preserve">Quem é dono da credencial, dos registros, do portfólio ou do trabalho produzido?</w:t>
      </w:r>
    </w:p>
    <w:p>
      <w:pPr>
        <w:pStyle w:val="FirstParagraph"/>
      </w:pPr>
      <w:r>
        <w:t xml:space="preserve">Não trate o apoio do empregador como gratuito até compreender as condições de permanência e reembolso.</w:t>
      </w:r>
    </w:p>
    <w:bookmarkEnd w:id="42"/>
    <w:bookmarkStart w:id="43" w:name="X0e745fc68bf8a26935d8d1d41d4b1e4379c65d3"/>
    <w:p>
      <w:pPr>
        <w:pStyle w:val="Heading1"/>
      </w:pPr>
      <w:r>
        <w:t xml:space="preserve">9. Proteja-se antes de se matricular</w:t>
      </w:r>
    </w:p>
    <w:p>
      <w:pPr>
        <w:pStyle w:val="FirstParagraph"/>
      </w:pPr>
      <w:r>
        <w:t xml:space="preserve">Compare caminhos completos, não anúncios nem valores mensais isolados.</w:t>
      </w:r>
    </w:p>
    <w:p>
      <w:pPr>
        <w:pStyle w:val="BodyText"/>
      </w:pPr>
      <w:r>
        <w:t xml:space="preserve">Calcule:</w:t>
      </w:r>
    </w:p>
    <w:p>
      <w:pPr>
        <w:numPr>
          <w:ilvl w:val="0"/>
          <w:numId w:val="1014"/>
        </w:numPr>
        <w:pStyle w:val="Compact"/>
      </w:pPr>
      <w:r>
        <w:t xml:space="preserve">Mensalidade e taxas obrigatórias</w:t>
      </w:r>
    </w:p>
    <w:p>
      <w:pPr>
        <w:numPr>
          <w:ilvl w:val="0"/>
          <w:numId w:val="1014"/>
        </w:numPr>
        <w:pStyle w:val="Compact"/>
      </w:pPr>
      <w:r>
        <w:t xml:space="preserve">Livros, software, ferramentas, equipamentos, uniformes e exames</w:t>
      </w:r>
    </w:p>
    <w:p>
      <w:pPr>
        <w:numPr>
          <w:ilvl w:val="0"/>
          <w:numId w:val="1014"/>
        </w:numPr>
        <w:pStyle w:val="Compact"/>
      </w:pPr>
      <w:r>
        <w:t xml:space="preserve">Licenciamento, renovação e associação profissional</w:t>
      </w:r>
    </w:p>
    <w:p>
      <w:pPr>
        <w:numPr>
          <w:ilvl w:val="0"/>
          <w:numId w:val="1014"/>
        </w:numPr>
        <w:pStyle w:val="Compact"/>
      </w:pPr>
      <w:r>
        <w:t xml:space="preserve">Transporte, estacionamento, moradia, alimentação, cuidado infantil e cuidado de idosos</w:t>
      </w:r>
    </w:p>
    <w:p>
      <w:pPr>
        <w:numPr>
          <w:ilvl w:val="0"/>
          <w:numId w:val="1014"/>
        </w:numPr>
        <w:pStyle w:val="Compact"/>
      </w:pPr>
      <w:r>
        <w:t xml:space="preserve">Salários perdidos ou redução de horas de trabalho</w:t>
      </w:r>
    </w:p>
    <w:p>
      <w:pPr>
        <w:numPr>
          <w:ilvl w:val="0"/>
          <w:numId w:val="1014"/>
        </w:numPr>
        <w:pStyle w:val="Compact"/>
      </w:pPr>
      <w:r>
        <w:t xml:space="preserve">Juros, taxas financeiras e conversão cambial</w:t>
      </w:r>
    </w:p>
    <w:p>
      <w:pPr>
        <w:numPr>
          <w:ilvl w:val="0"/>
          <w:numId w:val="1014"/>
        </w:numPr>
        <w:pStyle w:val="Compact"/>
      </w:pPr>
      <w:r>
        <w:t xml:space="preserve">Riscos de repetição, desistência, transferência e conclusão</w:t>
      </w:r>
    </w:p>
    <w:p>
      <w:pPr>
        <w:pStyle w:val="FirstParagraph"/>
      </w:pPr>
      <w:r>
        <w:t xml:space="preserve">O curso mais barato não é útil se não leva a lugar algum. O melhor valor é o caminho confiável de menor custo que desenvolve a competência necessária e conduz a um próximo passo verificável.</w:t>
      </w:r>
    </w:p>
    <w:bookmarkEnd w:id="43"/>
    <w:bookmarkStart w:id="44" w:name="Xf3d363b796e4c166754ebacbb5b85673f0651dc"/>
    <w:p>
      <w:pPr>
        <w:pStyle w:val="Heading1"/>
      </w:pPr>
      <w:r>
        <w:t xml:space="preserve">10. Acessibilidade e inclusão</w:t>
      </w:r>
    </w:p>
    <w:p>
      <w:pPr>
        <w:pStyle w:val="FirstParagraph"/>
      </w:pPr>
      <w:r>
        <w:t xml:space="preserve">Acessibilidade faz parte do planejamento de carreira.</w:t>
      </w:r>
    </w:p>
    <w:p>
      <w:pPr>
        <w:pStyle w:val="BodyText"/>
      </w:pPr>
      <w:r>
        <w:t xml:space="preserve">Considere leitura, escrita, audição, visão, mobilidade, levantamento de peso, movimentos repetitivos, concentração, memória, função executiva, sensibilidade sensorial, comunicação, fadiga, dor, ansiedade, trauma e condições de saúde variáveis.</w:t>
      </w:r>
    </w:p>
    <w:p>
      <w:pPr>
        <w:pStyle w:val="BodyText"/>
      </w:pPr>
      <w:r>
        <w:t xml:space="preserve">Possíveis apoios incluem tecnologia assistiva, legendas, formatos alternativos, equipamentos ergonômicos, instruções escritas, listas de verificação, horários flexíveis, ambiente com menos distrações, participação remota, acompanhamento profissional, tempo adicional em provas e adaptação de ferramentas ou tarefas quando permitido.</w:t>
      </w:r>
    </w:p>
    <w:p>
      <w:pPr>
        <w:pStyle w:val="BodyText"/>
      </w:pPr>
      <w:r>
        <w:t xml:space="preserve">Uma adaptação pode mudar como o trabalho é executado, mas não elimina automaticamente competências essenciais, licenças ou requisitos de segurança.</w:t>
      </w:r>
    </w:p>
    <w:bookmarkEnd w:id="44"/>
    <w:bookmarkStart w:id="45" w:name="X998dcc9f072301c9e279bf94729cdd26c537a29"/>
    <w:p>
      <w:pPr>
        <w:pStyle w:val="Heading1"/>
      </w:pPr>
      <w:r>
        <w:t xml:space="preserve">11. Proteja segurança, privacidade e integridade</w:t>
      </w:r>
    </w:p>
    <w:p>
      <w:pPr>
        <w:pStyle w:val="FirstParagraph"/>
      </w:pPr>
      <w:r>
        <w:t xml:space="preserve">Siga a lei, os limites profissionais e os procedimentos do empregador. Não execute trabalho regulamentado, perigoso, clínico, jurídico, financeiro, elétrico, mecânico ou crítico para a segurança sem treinamento, autorização, supervisão e equipamento de proteção exigidos.</w:t>
      </w:r>
    </w:p>
    <w:p>
      <w:pPr>
        <w:pStyle w:val="BodyText"/>
      </w:pPr>
      <w:r>
        <w:t xml:space="preserve">Use IA com cuidado:</w:t>
      </w:r>
    </w:p>
    <w:p>
      <w:pPr>
        <w:numPr>
          <w:ilvl w:val="0"/>
          <w:numId w:val="1015"/>
        </w:numPr>
        <w:pStyle w:val="Compact"/>
      </w:pPr>
      <w:r>
        <w:t xml:space="preserve">Não envie informações confidenciais ou identificáveis.</w:t>
      </w:r>
    </w:p>
    <w:p>
      <w:pPr>
        <w:numPr>
          <w:ilvl w:val="0"/>
          <w:numId w:val="1015"/>
        </w:numPr>
        <w:pStyle w:val="Compact"/>
      </w:pPr>
      <w:r>
        <w:t xml:space="preserve">Verifique fatos, cálculos, leis, citações e instruções.</w:t>
      </w:r>
    </w:p>
    <w:p>
      <w:pPr>
        <w:numPr>
          <w:ilvl w:val="0"/>
          <w:numId w:val="1015"/>
        </w:numPr>
        <w:pStyle w:val="Compact"/>
      </w:pPr>
      <w:r>
        <w:t xml:space="preserve">Não use IA para inventar experiência, credenciais, referências, resultados ou fontes.</w:t>
      </w:r>
    </w:p>
    <w:p>
      <w:pPr>
        <w:numPr>
          <w:ilvl w:val="0"/>
          <w:numId w:val="1015"/>
        </w:numPr>
        <w:pStyle w:val="Compact"/>
      </w:pPr>
      <w:r>
        <w:t xml:space="preserve">Mantenha responsabilidade humana por decisões que afetem segurança, direitos, emprego, educação, dinheiro ou saúde.</w:t>
      </w:r>
    </w:p>
    <w:p>
      <w:pPr>
        <w:numPr>
          <w:ilvl w:val="0"/>
          <w:numId w:val="1015"/>
        </w:numPr>
        <w:pStyle w:val="Compact"/>
      </w:pPr>
      <w:r>
        <w:t xml:space="preserve">Divulgue o uso de IA quando exigido pelo projeto, instituição, empregador ou plataforma.</w:t>
      </w:r>
    </w:p>
    <w:bookmarkEnd w:id="45"/>
    <w:bookmarkStart w:id="46" w:name="Xcdba39946115ee277912c3f5b7c98cd79a82df9"/>
    <w:p>
      <w:pPr>
        <w:pStyle w:val="Heading1"/>
      </w:pPr>
      <w:r>
        <w:t xml:space="preserve">12. Crie evidências e candidate-se com honestidade</w:t>
      </w:r>
    </w:p>
    <w:p>
      <w:pPr>
        <w:pStyle w:val="FirstParagraph"/>
      </w:pPr>
      <w:r>
        <w:t xml:space="preserve">Uma credencial conta apenas parte da história. Evidências úteis podem incluir portfólio, estudo de caso, amostra de escrita, planilha, design, mapa, código, prática supervisionada, registro de aprendizagem, demonstração de habilidades, projeto voluntário ou referências.</w:t>
      </w:r>
    </w:p>
    <w:p>
      <w:pPr>
        <w:pStyle w:val="BodyText"/>
      </w:pPr>
      <w:r>
        <w:t xml:space="preserve">Use material sintético, público ou autorizado. Explique sua contribuição pessoal em trabalhos de equipe.</w:t>
      </w:r>
    </w:p>
    <w:p>
      <w:pPr>
        <w:pStyle w:val="BodyText"/>
      </w:pPr>
      <w:r>
        <w:t xml:space="preserve">Um processo responsável inclui confirmar que a vaga está aberta, verificar elegibilidade de localização, relacionar tarefas a evidências honestas, adaptar o currículo sem alterar cargos ou inventar realizações, preparar exemplos específicos e avaliar o empregador com o mesmo cuidado usado pelo empregador para avaliar o candidato.</w:t>
      </w:r>
    </w:p>
    <w:bookmarkEnd w:id="46"/>
    <w:bookmarkStart w:id="47" w:name="X3897fa6f7dc78ed502cf032210e65fb2aad0b14"/>
    <w:p>
      <w:pPr>
        <w:pStyle w:val="Heading1"/>
      </w:pPr>
      <w:r>
        <w:t xml:space="preserve">13. Planeje avanço, adaptação e saída</w:t>
      </w:r>
    </w:p>
    <w:p>
      <w:pPr>
        <w:pStyle w:val="FirstParagraph"/>
      </w:pPr>
      <w:r>
        <w:t xml:space="preserve">Construa três caminhos:</w:t>
      </w:r>
    </w:p>
    <w:p>
      <w:pPr>
        <w:numPr>
          <w:ilvl w:val="0"/>
          <w:numId w:val="1016"/>
        </w:numPr>
        <w:pStyle w:val="Compact"/>
      </w:pPr>
      <w:r>
        <w:rPr>
          <w:bCs/>
          <w:b/>
        </w:rPr>
        <w:t xml:space="preserve">Caminho principal:</w:t>
      </w:r>
      <w:r>
        <w:t xml:space="preserve"> </w:t>
      </w:r>
      <w:r>
        <w:t xml:space="preserve">a função buscada agora</w:t>
      </w:r>
    </w:p>
    <w:p>
      <w:pPr>
        <w:numPr>
          <w:ilvl w:val="0"/>
          <w:numId w:val="1016"/>
        </w:numPr>
        <w:pStyle w:val="Compact"/>
      </w:pPr>
      <w:r>
        <w:rPr>
          <w:bCs/>
          <w:b/>
        </w:rPr>
        <w:t xml:space="preserve">Caminho adjacente:</w:t>
      </w:r>
      <w:r>
        <w:t xml:space="preserve"> </w:t>
      </w:r>
      <w:r>
        <w:t xml:space="preserve">função relacionada que usa muitas das mesmas habilidades</w:t>
      </w:r>
    </w:p>
    <w:p>
      <w:pPr>
        <w:numPr>
          <w:ilvl w:val="0"/>
          <w:numId w:val="1016"/>
        </w:numPr>
        <w:pStyle w:val="Compact"/>
      </w:pPr>
      <w:r>
        <w:rPr>
          <w:bCs/>
          <w:b/>
        </w:rPr>
        <w:t xml:space="preserve">Caminho de menor barreira:</w:t>
      </w:r>
      <w:r>
        <w:t xml:space="preserve"> </w:t>
      </w:r>
      <w:r>
        <w:t xml:space="preserve">função acessível mais rapidamente, remotamente, com menor exigência física ou por meio de formação mais curta</w:t>
      </w:r>
    </w:p>
    <w:p>
      <w:pPr>
        <w:pStyle w:val="FirstParagraph"/>
      </w:pPr>
      <w:r>
        <w:t xml:space="preserve">Revise o plano quando saúde, família, tecnologia, licenciamento, demanda local ou objetivos pessoais mudarem. Mudar de direção depois de reunir evidências melhores é bom julgamento, não fracasso.</w:t>
      </w:r>
    </w:p>
    <w:bookmarkEnd w:id="47"/>
    <w:bookmarkStart w:id="51" w:name="X6ca29070b3aaee54ea08b0185b8ce2454e33b35"/>
    <w:p>
      <w:pPr>
        <w:pStyle w:val="Heading1"/>
      </w:pPr>
      <w:r>
        <w:t xml:space="preserve">14. Investigação de 30 dias e caminho de 90 dias</w:t>
      </w:r>
    </w:p>
    <w:bookmarkStart w:id="48" w:name="primeiros-30-dias"/>
    <w:p>
      <w:pPr>
        <w:pStyle w:val="Heading2"/>
      </w:pPr>
      <w:r>
        <w:t xml:space="preserve">Primeiros 30 dias</w:t>
      </w:r>
    </w:p>
    <w:p>
      <w:pPr>
        <w:numPr>
          <w:ilvl w:val="0"/>
          <w:numId w:val="1017"/>
        </w:numPr>
        <w:pStyle w:val="Compact"/>
      </w:pPr>
      <w:r>
        <w:t xml:space="preserve">Registre o ponto de partida e o limite seguro de gastos.</w:t>
      </w:r>
    </w:p>
    <w:p>
      <w:pPr>
        <w:numPr>
          <w:ilvl w:val="0"/>
          <w:numId w:val="1017"/>
        </w:numPr>
        <w:pStyle w:val="Compact"/>
      </w:pPr>
      <w:r>
        <w:t xml:space="preserve">Faça reflexões sobre interesses, valores, habilidades e acessibilidade.</w:t>
      </w:r>
    </w:p>
    <w:p>
      <w:pPr>
        <w:numPr>
          <w:ilvl w:val="0"/>
          <w:numId w:val="1017"/>
        </w:numPr>
        <w:pStyle w:val="Compact"/>
      </w:pPr>
      <w:r>
        <w:t xml:space="preserve">Selecione três famílias de carreira.</w:t>
      </w:r>
    </w:p>
    <w:p>
      <w:pPr>
        <w:numPr>
          <w:ilvl w:val="0"/>
          <w:numId w:val="1017"/>
        </w:numPr>
        <w:pStyle w:val="Compact"/>
      </w:pPr>
      <w:r>
        <w:t xml:space="preserve">Leia descrições oficiais de ocupações e analise vagas atuais.</w:t>
      </w:r>
    </w:p>
    <w:p>
      <w:pPr>
        <w:numPr>
          <w:ilvl w:val="0"/>
          <w:numId w:val="1017"/>
        </w:numPr>
        <w:pStyle w:val="Compact"/>
      </w:pPr>
      <w:r>
        <w:t xml:space="preserve">Realize ao menos uma tarefa prática realista para cada opção principal.</w:t>
      </w:r>
    </w:p>
    <w:p>
      <w:pPr>
        <w:numPr>
          <w:ilvl w:val="0"/>
          <w:numId w:val="1017"/>
        </w:numPr>
        <w:pStyle w:val="Compact"/>
      </w:pPr>
      <w:r>
        <w:t xml:space="preserve">Converse com pessoas que fazem o trabalho.</w:t>
      </w:r>
    </w:p>
    <w:p>
      <w:pPr>
        <w:numPr>
          <w:ilvl w:val="0"/>
          <w:numId w:val="1017"/>
        </w:numPr>
        <w:pStyle w:val="Compact"/>
      </w:pPr>
      <w:r>
        <w:t xml:space="preserve">Identifique formação gratuita e financiada.</w:t>
      </w:r>
    </w:p>
    <w:bookmarkEnd w:id="48"/>
    <w:bookmarkStart w:id="49" w:name="dias-3160"/>
    <w:p>
      <w:pPr>
        <w:pStyle w:val="Heading2"/>
      </w:pPr>
      <w:r>
        <w:t xml:space="preserve">Dias 31–60</w:t>
      </w:r>
    </w:p>
    <w:p>
      <w:pPr>
        <w:numPr>
          <w:ilvl w:val="0"/>
          <w:numId w:val="1018"/>
        </w:numPr>
        <w:pStyle w:val="Compact"/>
      </w:pPr>
      <w:r>
        <w:t xml:space="preserve">Escolha uma opção principal e uma adjacente.</w:t>
      </w:r>
    </w:p>
    <w:p>
      <w:pPr>
        <w:numPr>
          <w:ilvl w:val="0"/>
          <w:numId w:val="1018"/>
        </w:numPr>
        <w:pStyle w:val="Compact"/>
      </w:pPr>
      <w:r>
        <w:t xml:space="preserve">Verifique educação, licenciamento, reconhecimento, custo total e adaptações.</w:t>
      </w:r>
    </w:p>
    <w:p>
      <w:pPr>
        <w:numPr>
          <w:ilvl w:val="0"/>
          <w:numId w:val="1018"/>
        </w:numPr>
        <w:pStyle w:val="Compact"/>
      </w:pPr>
      <w:r>
        <w:t xml:space="preserve">Pesquise fontes oficiais e não governamentais de remuneração.</w:t>
      </w:r>
    </w:p>
    <w:p>
      <w:pPr>
        <w:numPr>
          <w:ilvl w:val="0"/>
          <w:numId w:val="1018"/>
        </w:numPr>
        <w:pStyle w:val="Compact"/>
      </w:pPr>
      <w:r>
        <w:t xml:space="preserve">Contate programas de emprego, aprendizagem, empregadores, deficiência, bolsas e formação.</w:t>
      </w:r>
    </w:p>
    <w:p>
      <w:pPr>
        <w:numPr>
          <w:ilvl w:val="0"/>
          <w:numId w:val="1018"/>
        </w:numPr>
        <w:pStyle w:val="Compact"/>
      </w:pPr>
      <w:r>
        <w:t xml:space="preserve">Inicie aprendizagem fundamental e produza uma evidência ética de trabalho.</w:t>
      </w:r>
    </w:p>
    <w:bookmarkEnd w:id="49"/>
    <w:bookmarkStart w:id="50" w:name="dias-6190"/>
    <w:p>
      <w:pPr>
        <w:pStyle w:val="Heading2"/>
      </w:pPr>
      <w:r>
        <w:t xml:space="preserve">Dias 61–90</w:t>
      </w:r>
    </w:p>
    <w:p>
      <w:pPr>
        <w:numPr>
          <w:ilvl w:val="0"/>
          <w:numId w:val="1019"/>
        </w:numPr>
        <w:pStyle w:val="Compact"/>
      </w:pPr>
      <w:r>
        <w:t xml:space="preserve">Conclua uma segunda amostra de trabalho ou atividade supervisionada.</w:t>
      </w:r>
    </w:p>
    <w:p>
      <w:pPr>
        <w:numPr>
          <w:ilvl w:val="0"/>
          <w:numId w:val="1019"/>
        </w:numPr>
        <w:pStyle w:val="Compact"/>
      </w:pPr>
      <w:r>
        <w:t xml:space="preserve">Prepare currículo verdadeiro e registro de candidaturas.</w:t>
      </w:r>
    </w:p>
    <w:p>
      <w:pPr>
        <w:numPr>
          <w:ilvl w:val="0"/>
          <w:numId w:val="1019"/>
        </w:numPr>
        <w:pStyle w:val="Compact"/>
      </w:pPr>
      <w:r>
        <w:t xml:space="preserve">Candidate-se seletivamente a pontos de entrada realistas.</w:t>
      </w:r>
    </w:p>
    <w:p>
      <w:pPr>
        <w:numPr>
          <w:ilvl w:val="0"/>
          <w:numId w:val="1019"/>
        </w:numPr>
        <w:pStyle w:val="Compact"/>
      </w:pPr>
      <w:r>
        <w:t xml:space="preserve">Acompanhe respostas, entrevistas e lacunas recorrentes.</w:t>
      </w:r>
    </w:p>
    <w:p>
      <w:pPr>
        <w:numPr>
          <w:ilvl w:val="0"/>
          <w:numId w:val="1019"/>
        </w:numPr>
        <w:pStyle w:val="Compact"/>
      </w:pPr>
      <w:r>
        <w:t xml:space="preserve">Revise o plano com base em evidências, não em autoculpa.</w:t>
      </w:r>
    </w:p>
    <w:bookmarkEnd w:id="50"/>
    <w:bookmarkEnd w:id="51"/>
    <w:bookmarkStart w:id="52" w:name="Xcae7ead9d607d3b0cbadf382f479d6cd29c0109"/>
    <w:p>
      <w:pPr>
        <w:pStyle w:val="Heading1"/>
      </w:pPr>
      <w:r>
        <w:t xml:space="preserve">15. Planilhas obrigatórias para cada guia ocupacional</w:t>
      </w:r>
    </w:p>
    <w:p>
      <w:pPr>
        <w:pStyle w:val="FirstParagraph"/>
      </w:pPr>
      <w:r>
        <w:t xml:space="preserve">Cada guia deve incluir ou vincular:</w:t>
      </w:r>
    </w:p>
    <w:p>
      <w:pPr>
        <w:numPr>
          <w:ilvl w:val="0"/>
          <w:numId w:val="1020"/>
        </w:numPr>
        <w:pStyle w:val="Compact"/>
      </w:pPr>
      <w:r>
        <w:t xml:space="preserve">Ponto de partida e restrições</w:t>
      </w:r>
    </w:p>
    <w:p>
      <w:pPr>
        <w:numPr>
          <w:ilvl w:val="0"/>
          <w:numId w:val="1020"/>
        </w:numPr>
        <w:pStyle w:val="Compact"/>
      </w:pPr>
      <w:r>
        <w:t xml:space="preserve">Afinidade profissional e realidade do trabalho</w:t>
      </w:r>
    </w:p>
    <w:p>
      <w:pPr>
        <w:numPr>
          <w:ilvl w:val="0"/>
          <w:numId w:val="1020"/>
        </w:numPr>
        <w:pStyle w:val="Compact"/>
      </w:pPr>
      <w:r>
        <w:t xml:space="preserve">Tabela de evidências de vagas</w:t>
      </w:r>
    </w:p>
    <w:p>
      <w:pPr>
        <w:numPr>
          <w:ilvl w:val="0"/>
          <w:numId w:val="1020"/>
        </w:numPr>
        <w:pStyle w:val="Compact"/>
      </w:pPr>
      <w:r>
        <w:t xml:space="preserve">Comparação de fontes de remuneração</w:t>
      </w:r>
    </w:p>
    <w:p>
      <w:pPr>
        <w:numPr>
          <w:ilvl w:val="0"/>
          <w:numId w:val="1020"/>
        </w:numPr>
        <w:pStyle w:val="Compact"/>
      </w:pPr>
      <w:r>
        <w:t xml:space="preserve">Verificação de provedor de formação</w:t>
      </w:r>
    </w:p>
    <w:p>
      <w:pPr>
        <w:numPr>
          <w:ilvl w:val="0"/>
          <w:numId w:val="1020"/>
        </w:numPr>
        <w:pStyle w:val="Compact"/>
      </w:pPr>
      <w:r>
        <w:t xml:space="preserve">Localizador de financiamento e aprendizagem</w:t>
      </w:r>
    </w:p>
    <w:p>
      <w:pPr>
        <w:numPr>
          <w:ilvl w:val="0"/>
          <w:numId w:val="1020"/>
        </w:numPr>
        <w:pStyle w:val="Compact"/>
      </w:pPr>
      <w:r>
        <w:t xml:space="preserve">Comparação de custo total</w:t>
      </w:r>
    </w:p>
    <w:p>
      <w:pPr>
        <w:numPr>
          <w:ilvl w:val="0"/>
          <w:numId w:val="1020"/>
        </w:numPr>
        <w:pStyle w:val="Compact"/>
      </w:pPr>
      <w:r>
        <w:t xml:space="preserve">Perguntas sobre acordo de apoio do empregador</w:t>
      </w:r>
    </w:p>
    <w:p>
      <w:pPr>
        <w:numPr>
          <w:ilvl w:val="0"/>
          <w:numId w:val="1020"/>
        </w:numPr>
        <w:pStyle w:val="Compact"/>
      </w:pPr>
      <w:r>
        <w:t xml:space="preserve">Plano de acessibilidade e suporte</w:t>
      </w:r>
    </w:p>
    <w:p>
      <w:pPr>
        <w:numPr>
          <w:ilvl w:val="0"/>
          <w:numId w:val="1020"/>
        </w:numPr>
        <w:pStyle w:val="Compact"/>
      </w:pPr>
      <w:r>
        <w:t xml:space="preserve">Plano de portfólio ético</w:t>
      </w:r>
    </w:p>
    <w:p>
      <w:pPr>
        <w:numPr>
          <w:ilvl w:val="0"/>
          <w:numId w:val="1020"/>
        </w:numPr>
        <w:pStyle w:val="Compact"/>
      </w:pPr>
      <w:r>
        <w:t xml:space="preserve">Rastreador de candidaturas</w:t>
      </w:r>
    </w:p>
    <w:p>
      <w:pPr>
        <w:numPr>
          <w:ilvl w:val="0"/>
          <w:numId w:val="1020"/>
        </w:numPr>
        <w:pStyle w:val="Compact"/>
      </w:pPr>
      <w:r>
        <w:t xml:space="preserve">Plano de ação de 30, 60 e 90 dias</w:t>
      </w:r>
    </w:p>
    <w:bookmarkEnd w:id="52"/>
    <w:bookmarkStart w:id="53" w:name="X46ff1399bd85ca63f0c253e2e745c2dabca4f7f"/>
    <w:p>
      <w:pPr>
        <w:pStyle w:val="Heading1"/>
      </w:pPr>
      <w:r>
        <w:t xml:space="preserve">16. Termos de busca por idioma e região</w:t>
      </w:r>
    </w:p>
    <w:p>
      <w:pPr>
        <w:pStyle w:val="FirstParagraph"/>
      </w:pPr>
      <w:r>
        <w:t xml:space="preserve">Cada guia ocupacional deve oferecer termos práticos em inglês, espanhol latino-americano neutro e português brasileiro. Inclua títulos de cargos, palavras para aprendiz, trainee e estágio, buscas por formação governamental, bolsas, subsídios, educação paga pelo empregador e terminologia local de licenciamento.</w:t>
      </w:r>
    </w:p>
    <w:p>
      <w:pPr>
        <w:pStyle w:val="BodyText"/>
      </w:pPr>
      <w:r>
        <w:t xml:space="preserve">As traduções devem preservar significado, avisos de segurança, status das fontes e limites jurisdicionais. Uma edição traduzida não deve ser descrita como certificada, profissionalmente credenciada ou revisada por tradutor humano independente sem que isso realmente tenha ocorrido.</w:t>
      </w:r>
    </w:p>
    <w:bookmarkEnd w:id="53"/>
    <w:bookmarkStart w:id="55" w:name="X68009d482c2720d4c1bf559348db4f7a8069c2b"/>
    <w:p>
      <w:pPr>
        <w:pStyle w:val="Heading1"/>
      </w:pPr>
      <w:r>
        <w:t xml:space="preserve">17. Fontes, versionamento e manutenção</w:t>
      </w:r>
    </w:p>
    <w:p>
      <w:pPr>
        <w:pStyle w:val="FirstParagraph"/>
      </w:pPr>
      <w:r>
        <w:t xml:space="preserve">Use leis, reguladores, ministérios da educação, organismos de reconhecimento, autoridades de licenciamento, estatísticas oficiais do trabalho, patrocinadores de aprendizagem registrada, sindicatos, instituições públicas e associações profissionais reconhecidas sempre que possível.</w:t>
      </w:r>
    </w:p>
    <w:p>
      <w:pPr>
        <w:pStyle w:val="BodyText"/>
      </w:pPr>
      <w:r>
        <w:t xml:space="preserve">Fontes comerciais e colaborativas podem complementar evidências oficiais, mas devem ser claramente rotuladas com suas limitações.</w:t>
      </w:r>
    </w:p>
    <w:p>
      <w:pPr>
        <w:pStyle w:val="BodyText"/>
      </w:pPr>
      <w:r>
        <w:t xml:space="preserve">Cada versão deve apresentar número de versão e data de publicação. Recursos específicos por país, valores salariais, programas de financiamento e inscrições abertas devem informar a data da última verificação. Links quebrados, mudanças de elegibilidade, programas encerrados, custos imprecisos e alterações de licenciamento devem ser corrigidos e registrados no histórico do projeto.</w:t>
      </w:r>
    </w:p>
    <w:p>
      <w:pPr>
        <w:pStyle w:val="BodyText"/>
      </w:pPr>
      <w:r>
        <w:t xml:space="preserve">Um guia só está pronto para publicação depois de passar por verificação factual, ética, editorial, de acessibilidade, links, tradução, DOCX, PDF pesquisável, páginas renderizadas, metadados e revisão final do proprietário.</w:t>
      </w:r>
    </w:p>
    <w:bookmarkStart w:id="54" w:name="fontes-oficiais-iniciais"/>
    <w:p>
      <w:pPr>
        <w:pStyle w:val="Heading2"/>
      </w:pPr>
      <w:r>
        <w:t xml:space="preserve">Fontes oficiais iniciais</w:t>
      </w:r>
    </w:p>
    <w:p>
      <w:pPr>
        <w:numPr>
          <w:ilvl w:val="0"/>
          <w:numId w:val="1021"/>
        </w:numPr>
        <w:pStyle w:val="Compact"/>
      </w:pPr>
      <w:r>
        <w:t xml:space="preserve">O</w:t>
      </w:r>
      <w:r>
        <w:rPr>
          <w:iCs/>
          <w:i/>
        </w:rPr>
        <w:t xml:space="preserve">NET Resource Center e O</w:t>
      </w:r>
      <w:r>
        <w:t xml:space="preserve">NET OnLine</w:t>
      </w:r>
    </w:p>
    <w:p>
      <w:pPr>
        <w:numPr>
          <w:ilvl w:val="0"/>
          <w:numId w:val="1021"/>
        </w:numPr>
        <w:pStyle w:val="Compact"/>
      </w:pPr>
      <w:r>
        <w:t xml:space="preserve">CareerOneStop e American Job Centers</w:t>
      </w:r>
    </w:p>
    <w:p>
      <w:pPr>
        <w:numPr>
          <w:ilvl w:val="0"/>
          <w:numId w:val="1021"/>
        </w:numPr>
        <w:pStyle w:val="Compact"/>
      </w:pPr>
      <w:r>
        <w:t xml:space="preserve">U.S. Bureau of Labor Statistics Occupational Outlook Handbook</w:t>
      </w:r>
    </w:p>
    <w:p>
      <w:pPr>
        <w:numPr>
          <w:ilvl w:val="0"/>
          <w:numId w:val="1021"/>
        </w:numPr>
        <w:pStyle w:val="Compact"/>
      </w:pPr>
      <w:r>
        <w:t xml:space="preserve">Apprenticeship.gov</w:t>
      </w:r>
    </w:p>
    <w:p>
      <w:pPr>
        <w:numPr>
          <w:ilvl w:val="0"/>
          <w:numId w:val="1021"/>
        </w:numPr>
        <w:pStyle w:val="Compact"/>
      </w:pPr>
      <w:r>
        <w:t xml:space="preserve">Federal Student Aid</w:t>
      </w:r>
    </w:p>
    <w:p>
      <w:pPr>
        <w:numPr>
          <w:ilvl w:val="0"/>
          <w:numId w:val="1021"/>
        </w:numPr>
        <w:pStyle w:val="Compact"/>
      </w:pPr>
      <w:r>
        <w:t xml:space="preserve">U.S. Department of Education — informações de credenciamento</w:t>
      </w:r>
    </w:p>
    <w:p>
      <w:pPr>
        <w:numPr>
          <w:ilvl w:val="0"/>
          <w:numId w:val="1021"/>
        </w:numPr>
        <w:pStyle w:val="Compact"/>
      </w:pPr>
      <w:r>
        <w:t xml:space="preserve">Job Accommodation Network</w:t>
      </w:r>
    </w:p>
    <w:p>
      <w:pPr>
        <w:numPr>
          <w:ilvl w:val="0"/>
          <w:numId w:val="1021"/>
        </w:numPr>
        <w:pStyle w:val="Compact"/>
      </w:pPr>
      <w:r>
        <w:t xml:space="preserve">Government of Canada Job Bank e serviços de formação</w:t>
      </w:r>
    </w:p>
    <w:p>
      <w:pPr>
        <w:numPr>
          <w:ilvl w:val="0"/>
          <w:numId w:val="1021"/>
        </w:numPr>
        <w:pStyle w:val="Compact"/>
      </w:pPr>
      <w:r>
        <w:t xml:space="preserve">Autoridades provinciais e territoriais de aprendizagem do Canadá</w:t>
      </w:r>
    </w:p>
    <w:p>
      <w:pPr>
        <w:numPr>
          <w:ilvl w:val="0"/>
          <w:numId w:val="1021"/>
        </w:numPr>
        <w:pStyle w:val="Compact"/>
      </w:pPr>
      <w:r>
        <w:t xml:space="preserve">Colombia SENA</w:t>
      </w:r>
    </w:p>
    <w:p>
      <w:pPr>
        <w:numPr>
          <w:ilvl w:val="0"/>
          <w:numId w:val="1021"/>
        </w:numPr>
        <w:pStyle w:val="Compact"/>
      </w:pPr>
      <w:r>
        <w:t xml:space="preserve">Colombia Servicio Público de Empleo</w:t>
      </w:r>
    </w:p>
    <w:p>
      <w:pPr>
        <w:numPr>
          <w:ilvl w:val="0"/>
          <w:numId w:val="1021"/>
        </w:numPr>
        <w:pStyle w:val="Compact"/>
      </w:pPr>
      <w:r>
        <w:t xml:space="preserve">Ministerio de Educación e Ministerio del Trabajo da Colômbia</w:t>
      </w:r>
    </w:p>
    <w:p>
      <w:pPr>
        <w:numPr>
          <w:ilvl w:val="0"/>
          <w:numId w:val="1021"/>
        </w:numPr>
        <w:pStyle w:val="Compact"/>
      </w:pPr>
      <w:r>
        <w:t xml:space="preserve">ICETEX</w:t>
      </w:r>
    </w:p>
    <w:p>
      <w:pPr>
        <w:numPr>
          <w:ilvl w:val="0"/>
          <w:numId w:val="1021"/>
        </w:numPr>
        <w:pStyle w:val="Compact"/>
      </w:pPr>
      <w:r>
        <w:t xml:space="preserve">Ministério do Trabalho e Emprego do Brasil</w:t>
      </w:r>
    </w:p>
    <w:p>
      <w:pPr>
        <w:numPr>
          <w:ilvl w:val="0"/>
          <w:numId w:val="1021"/>
        </w:numPr>
        <w:pStyle w:val="Compact"/>
      </w:pPr>
      <w:r>
        <w:t xml:space="preserve">Prouni, Sisu e FIES</w:t>
      </w:r>
    </w:p>
    <w:p>
      <w:pPr>
        <w:pStyle w:val="FirstParagraph"/>
      </w:pPr>
      <w:r>
        <w:rPr>
          <w:bCs/>
          <w:b/>
        </w:rPr>
        <w:t xml:space="preserve">Última verificação desta versão de trabalho:</w:t>
      </w:r>
      <w:r>
        <w:t xml:space="preserve"> </w:t>
      </w:r>
      <w:r>
        <w:t xml:space="preserve">2 de agosto de 2026.</w:t>
      </w:r>
    </w:p>
    <w:bookmarkEnd w:id="54"/>
    <w:bookmarkEnd w:id="55"/>
    <w:bookmarkStart w:id="56" w:name="um-próximo-passo-honesto"/>
    <w:p>
      <w:pPr>
        <w:pStyle w:val="Heading1"/>
      </w:pPr>
      <w:r>
        <w:t xml:space="preserve">Um próximo passo honesto</w:t>
      </w:r>
    </w:p>
    <w:p>
      <w:pPr>
        <w:pStyle w:val="FirstParagraph"/>
      </w:pPr>
      <w:r>
        <w:t xml:space="preserve">Você não precisa resolver toda a sua vida hoje.</w:t>
      </w:r>
    </w:p>
    <w:p>
      <w:pPr>
        <w:pStyle w:val="BodyText"/>
      </w:pPr>
      <w:r>
        <w:t xml:space="preserve">Descubra o que é verdadeiro. Proteja-se contra pressão. Peça apoio. Teste o trabalho. Escolha o caminho confiável de menor custo. Produza evidências. Revise o que aprendeu. Então dê um próximo passo honesto.</w:t>
      </w:r>
    </w:p>
    <w:p>
      <w:pPr>
        <w:pStyle w:val="BodyText"/>
      </w:pPr>
      <w:r>
        <w:t xml:space="preserve">Independentemente da sua idade, deficiência, renda, localização ou educação anterior, sua capacidade de aprender e contribuir merece respeito.</w:t>
      </w:r>
    </w:p>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2026-08-08T16:55:31Z</dcterms:created>
  <dcterms:modified xsi:type="dcterms:W3CDTF">2026-08-08T16:55:31Z</dcterms:modified>
</cp:coreProperties>
</file>

<file path=docProps/custom.xml><?xml version="1.0" encoding="utf-8"?>
<Properties xmlns="http://schemas.openxmlformats.org/officeDocument/2006/custom-properties" xmlns:vt="http://schemas.openxmlformats.org/officeDocument/2006/docPropsVTypes"/>
</file>