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e2fac5b35f03154a46daedbfde4bf57da5cdf5e"/>
    <w:p>
      <w:pPr>
        <w:pStyle w:val="Heading1"/>
      </w:pPr>
      <w:r>
        <w:t xml:space="preserve">Guide 60 — Case Management Assistant and Resource Navigator</w:t>
      </w:r>
    </w:p>
    <w:p>
      <w:pPr>
        <w:pStyle w:val="FirstParagraph"/>
      </w:pPr>
      <w:r>
        <w:rPr>
          <w:bCs/>
          <w:b/>
        </w:rPr>
        <w:t xml:space="preserve">Controlled English working master — Version 2.0</w:t>
      </w:r>
      <w:r>
        <w:br/>
      </w:r>
      <w:r>
        <w:rPr>
          <w:bCs/>
          <w:b/>
        </w:rPr>
        <w:t xml:space="preserve">Review date:</w:t>
      </w:r>
      <w:r>
        <w:t xml:space="preserve"> </w:t>
      </w:r>
      <w:r>
        <w:t xml:space="preserve">August 20,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Case Management Assistants and Resource Navigators help people organize service needs, understand routine processes, locate community resources, complete authorized paperwork, coordinate appointments and referrals, and follow up on agreed service steps. They may work in nonprofit organizations, hospitals and clinics, behavioral-health programs, housing organizations, disability services, aging programs, family services, shelters, workforce programs, community agencies, government programs, schools, rehabilitation programs, and other human-service settings.</w:t>
      </w:r>
    </w:p>
    <w:p>
      <w:pPr>
        <w:pStyle w:val="BodyText"/>
      </w:pPr>
      <w:r>
        <w:t xml:space="preserve">This guide focuses on</w:t>
      </w:r>
      <w:r>
        <w:t xml:space="preserve"> </w:t>
      </w:r>
      <w:r>
        <w:rPr>
          <w:bCs/>
          <w:b/>
        </w:rPr>
        <w:t xml:space="preserve">support-level case assistance and resource navigation</w:t>
      </w:r>
      <w:r>
        <w:t xml:space="preserve">. It does not treat a Case Management Assistant or Resource Navigator as automatically equivalent to a licensed social worker, clinical case manager, nurse case manager, therapist, attorney, benefits adjudicator, certified case manager, safeguarding authority, or emergency responder.</w:t>
      </w:r>
    </w:p>
    <w:p>
      <w:pPr>
        <w:pStyle w:val="BodyText"/>
      </w:pPr>
      <w:r>
        <w:t xml:space="preserve">In the United States, the closest federal occupational family is</w:t>
      </w:r>
      <w:r>
        <w:t xml:space="preserve"> </w:t>
      </w:r>
      <w:r>
        <w:rPr>
          <w:bCs/>
          <w:b/>
        </w:rPr>
        <w:t xml:space="preserve">Social and Human Service Assistants, O*NET-SOC 21-1093.00</w:t>
      </w:r>
      <w:r>
        <w:t xml:space="preserve">. In Canada, the closest broad comparison is</w:t>
      </w:r>
      <w:r>
        <w:t xml:space="preserve"> </w:t>
      </w:r>
      <w:r>
        <w:rPr>
          <w:bCs/>
          <w:b/>
        </w:rPr>
        <w:t xml:space="preserve">Social and community service workers, NOC 42201</w:t>
      </w:r>
      <w:r>
        <w:t xml:space="preserve">. In Colombia, the closest controlled occupational comparison is</w:t>
      </w:r>
      <w:r>
        <w:t xml:space="preserve"> </w:t>
      </w:r>
      <w:r>
        <w:rPr>
          <w:bCs/>
          <w:b/>
        </w:rPr>
        <w:t xml:space="preserve">CNO 4211 — Asistentes en servicios social y comunitario</w:t>
      </w:r>
      <w:r>
        <w:t xml:space="preserve">.</w:t>
      </w:r>
    </w:p>
    <w:p>
      <w:pPr>
        <w:pStyle w:val="BodyText"/>
      </w:pPr>
      <w:r>
        <w:t xml:space="preserve">Job titles, duties, supervision models, documentation rules, credentials, protected titles, privacy obligations, and crisis responsibilities vary by employer and jurisdiction. Always review the actual job description and current local rules before accepting a role or paying for training.</w:t>
      </w:r>
    </w:p>
    <w:bookmarkEnd w:id="20"/>
    <w:bookmarkStart w:id="21" w:name="what-you-may-do"/>
    <w:p>
      <w:pPr>
        <w:pStyle w:val="Heading2"/>
      </w:pPr>
      <w:r>
        <w:t xml:space="preserve">What you may do</w:t>
      </w:r>
    </w:p>
    <w:p>
      <w:pPr>
        <w:pStyle w:val="FirstParagraph"/>
      </w:pPr>
      <w:r>
        <w:t xml:space="preserve">Depending on the employer, setting, training, supervision, and local rules, duties may include:</w:t>
      </w:r>
    </w:p>
    <w:p>
      <w:pPr>
        <w:numPr>
          <w:ilvl w:val="0"/>
          <w:numId w:val="1001"/>
        </w:numPr>
        <w:pStyle w:val="Compact"/>
      </w:pPr>
      <w:r>
        <w:t xml:space="preserve">interviewing clients to gather routine demographic, service, and background information;</w:t>
      </w:r>
    </w:p>
    <w:p>
      <w:pPr>
        <w:numPr>
          <w:ilvl w:val="0"/>
          <w:numId w:val="1001"/>
        </w:numPr>
        <w:pStyle w:val="Compact"/>
      </w:pPr>
      <w:r>
        <w:t xml:space="preserve">identifying practical barriers involving housing, transportation, food, employment, disability supports, benefits applications, health services, family services, or other community resources;</w:t>
      </w:r>
    </w:p>
    <w:p>
      <w:pPr>
        <w:numPr>
          <w:ilvl w:val="0"/>
          <w:numId w:val="1001"/>
        </w:numPr>
        <w:pStyle w:val="Compact"/>
      </w:pPr>
      <w:r>
        <w:t xml:space="preserve">explaining routine program steps, appointments, documents, and referral procedures in plain language;</w:t>
      </w:r>
    </w:p>
    <w:p>
      <w:pPr>
        <w:numPr>
          <w:ilvl w:val="0"/>
          <w:numId w:val="1001"/>
        </w:numPr>
        <w:pStyle w:val="Compact"/>
      </w:pPr>
      <w:r>
        <w:t xml:space="preserve">helping clients organize paperwork and complete forms without making regulated eligibility or legal determinations;</w:t>
      </w:r>
    </w:p>
    <w:p>
      <w:pPr>
        <w:numPr>
          <w:ilvl w:val="0"/>
          <w:numId w:val="1001"/>
        </w:numPr>
        <w:pStyle w:val="Compact"/>
      </w:pPr>
      <w:r>
        <w:t xml:space="preserve">researching current public, nonprofit, healthcare, housing, employment, disability, aging, youth, family, or crisis resources;</w:t>
      </w:r>
    </w:p>
    <w:p>
      <w:pPr>
        <w:numPr>
          <w:ilvl w:val="0"/>
          <w:numId w:val="1001"/>
        </w:numPr>
        <w:pStyle w:val="Compact"/>
      </w:pPr>
      <w:r>
        <w:t xml:space="preserve">providing approved referrals and contact information;</w:t>
      </w:r>
    </w:p>
    <w:p>
      <w:pPr>
        <w:numPr>
          <w:ilvl w:val="0"/>
          <w:numId w:val="1001"/>
        </w:numPr>
        <w:pStyle w:val="Compact"/>
      </w:pPr>
      <w:r>
        <w:t xml:space="preserve">helping schedule appointments, transportation, follow-up calls, or service-provider contacts;</w:t>
      </w:r>
    </w:p>
    <w:p>
      <w:pPr>
        <w:numPr>
          <w:ilvl w:val="0"/>
          <w:numId w:val="1001"/>
        </w:numPr>
        <w:pStyle w:val="Compact"/>
      </w:pPr>
      <w:r>
        <w:t xml:space="preserve">maintaining authorized case notes, referral logs, task lists, appointment records, and routine documentation;</w:t>
      </w:r>
    </w:p>
    <w:p>
      <w:pPr>
        <w:numPr>
          <w:ilvl w:val="0"/>
          <w:numId w:val="1001"/>
        </w:numPr>
        <w:pStyle w:val="Compact"/>
      </w:pPr>
      <w:r>
        <w:t xml:space="preserve">checking whether referrals or agreed service steps were completed and recording barriers;</w:t>
      </w:r>
    </w:p>
    <w:p>
      <w:pPr>
        <w:numPr>
          <w:ilvl w:val="0"/>
          <w:numId w:val="1001"/>
        </w:numPr>
        <w:pStyle w:val="Compact"/>
      </w:pPr>
      <w:r>
        <w:t xml:space="preserve">communicating authorized updates to supervisors, care teams, service providers, or community partners;</w:t>
      </w:r>
    </w:p>
    <w:p>
      <w:pPr>
        <w:numPr>
          <w:ilvl w:val="0"/>
          <w:numId w:val="1001"/>
        </w:numPr>
        <w:pStyle w:val="Compact"/>
      </w:pPr>
      <w:r>
        <w:t xml:space="preserve">preparing routine resource lists, outreach materials, appointment instructions, or service-navigation checklists;</w:t>
      </w:r>
    </w:p>
    <w:p>
      <w:pPr>
        <w:numPr>
          <w:ilvl w:val="0"/>
          <w:numId w:val="1001"/>
        </w:numPr>
        <w:pStyle w:val="Compact"/>
      </w:pPr>
      <w:r>
        <w:t xml:space="preserve">helping clients understand which organization is responsible for the next step;</w:t>
      </w:r>
    </w:p>
    <w:p>
      <w:pPr>
        <w:numPr>
          <w:ilvl w:val="0"/>
          <w:numId w:val="1001"/>
        </w:numPr>
        <w:pStyle w:val="Compact"/>
      </w:pPr>
      <w:r>
        <w:t xml:space="preserve">supporting supervised intake, discharge, transition, housing, employment, disability, aging, family-support, or community-navigation processes; and</w:t>
      </w:r>
    </w:p>
    <w:p>
      <w:pPr>
        <w:numPr>
          <w:ilvl w:val="0"/>
          <w:numId w:val="1001"/>
        </w:numPr>
        <w:pStyle w:val="Compact"/>
      </w:pPr>
      <w:r>
        <w:t xml:space="preserve">escalating medical, mental-health, safeguarding, legal, abuse, neglect, exploitation, self-harm, violence, trafficking, homelessness, or other urgent concerns through approved channels.</w:t>
      </w:r>
    </w:p>
    <w:p>
      <w:pPr>
        <w:pStyle w:val="FirstParagraph"/>
      </w:pPr>
      <w:r>
        <w:t xml:space="preserve">The role requires accurate follow-through, respectful communication, strong boundaries, practical problem solving, and careful handling of sensitive information.</w:t>
      </w:r>
    </w:p>
    <w:bookmarkEnd w:id="21"/>
    <w:bookmarkStart w:id="22" w:name="what-this-role-must-not-be-presented-as"/>
    <w:p>
      <w:pPr>
        <w:pStyle w:val="Heading2"/>
      </w:pPr>
      <w:r>
        <w:t xml:space="preserve">What this role must not be presented as</w:t>
      </w:r>
    </w:p>
    <w:p>
      <w:pPr>
        <w:pStyle w:val="FirstParagraph"/>
      </w:pPr>
      <w:r>
        <w:t xml:space="preserve">A support role does not automatically authorize licensed, clinical, legal, adjudicative, or emergency work.</w:t>
      </w:r>
    </w:p>
    <w:p>
      <w:pPr>
        <w:pStyle w:val="BodyText"/>
      </w:pPr>
      <w:r>
        <w:t xml:space="preserve">Do not independently:</w:t>
      </w:r>
    </w:p>
    <w:p>
      <w:pPr>
        <w:numPr>
          <w:ilvl w:val="0"/>
          <w:numId w:val="1002"/>
        </w:numPr>
        <w:pStyle w:val="Compact"/>
      </w:pPr>
      <w:r>
        <w:t xml:space="preserve">diagnose a mental-health, substance-use, developmental, or medical condition;</w:t>
      </w:r>
    </w:p>
    <w:p>
      <w:pPr>
        <w:numPr>
          <w:ilvl w:val="0"/>
          <w:numId w:val="1002"/>
        </w:numPr>
        <w:pStyle w:val="Compact"/>
      </w:pPr>
      <w:r>
        <w:t xml:space="preserve">provide psychotherapy, clinical counseling, nursing assessment, or clinical treatment unless separately credentialed and authorized;</w:t>
      </w:r>
    </w:p>
    <w:p>
      <w:pPr>
        <w:numPr>
          <w:ilvl w:val="0"/>
          <w:numId w:val="1002"/>
        </w:numPr>
        <w:pStyle w:val="Compact"/>
      </w:pPr>
      <w:r>
        <w:t xml:space="preserve">make legal determinations or provide legal advice;</w:t>
      </w:r>
    </w:p>
    <w:p>
      <w:pPr>
        <w:numPr>
          <w:ilvl w:val="0"/>
          <w:numId w:val="1002"/>
        </w:numPr>
        <w:pStyle w:val="Compact"/>
      </w:pPr>
      <w:r>
        <w:t xml:space="preserve">decide whether a person is legally eligible for government benefits when that authority belongs to an agency or authorized official;</w:t>
      </w:r>
    </w:p>
    <w:p>
      <w:pPr>
        <w:numPr>
          <w:ilvl w:val="0"/>
          <w:numId w:val="1002"/>
        </w:numPr>
        <w:pStyle w:val="Compact"/>
      </w:pPr>
      <w:r>
        <w:t xml:space="preserve">promise housing, financial assistance, disability benefits, immigration outcomes, treatment results, transportation, employment, or emergency aid you do not control;</w:t>
      </w:r>
    </w:p>
    <w:p>
      <w:pPr>
        <w:numPr>
          <w:ilvl w:val="0"/>
          <w:numId w:val="1002"/>
        </w:numPr>
        <w:pStyle w:val="Compact"/>
      </w:pPr>
      <w:r>
        <w:t xml:space="preserve">make a safeguarding, mandated-reporting, or emergency-command decision that law or policy assigns to another qualified person or authority;</w:t>
      </w:r>
    </w:p>
    <w:p>
      <w:pPr>
        <w:numPr>
          <w:ilvl w:val="0"/>
          <w:numId w:val="1002"/>
        </w:numPr>
        <w:pStyle w:val="Compact"/>
      </w:pPr>
      <w:r>
        <w:t xml:space="preserve">represent yourself as a licensed social worker, psychologist, counselor, attorney, nurse, physician, certified case manager, or other protected or credentialed professional unless you actually hold that credential; or</w:t>
      </w:r>
    </w:p>
    <w:p>
      <w:pPr>
        <w:numPr>
          <w:ilvl w:val="0"/>
          <w:numId w:val="1002"/>
        </w:numPr>
        <w:pStyle w:val="Compact"/>
      </w:pPr>
      <w:r>
        <w:t xml:space="preserve">bypass supervisors, care teams, agency protocols, or legally designated authorities because a client situation appears urgent.</w:t>
      </w:r>
    </w:p>
    <w:p>
      <w:pPr>
        <w:pStyle w:val="FirstParagraph"/>
      </w:pPr>
      <w:r>
        <w:t xml:space="preserve">When the boundary is unclear, stop and ask the responsible supervisor or designated professional.</w:t>
      </w:r>
    </w:p>
    <w:bookmarkEnd w:id="22"/>
    <w:bookmarkStart w:id="23" w:name="X67e3ef10fd7c2e842b8288c11d76a9d5dedb22c"/>
    <w:p>
      <w:pPr>
        <w:pStyle w:val="Heading2"/>
      </w:pPr>
      <w:r>
        <w:t xml:space="preserve">Case management support versus professional case management</w:t>
      </w:r>
    </w:p>
    <w:p>
      <w:pPr>
        <w:pStyle w:val="FirstParagraph"/>
      </w:pPr>
      <w:r>
        <w:t xml:space="preserve">Employers use the word</w:t>
      </w:r>
      <w:r>
        <w:t xml:space="preserve"> </w:t>
      </w:r>
      <w:r>
        <w:rPr>
          <w:iCs/>
          <w:i/>
        </w:rPr>
        <w:t xml:space="preserve">case management</w:t>
      </w:r>
      <w:r>
        <w:t xml:space="preserve"> </w:t>
      </w:r>
      <w:r>
        <w:t xml:space="preserve">in different ways. A Case Management Assistant may support a professional case manager by organizing information, coordinating routine logistics, documenting approved contacts, tracking referrals, and helping clients navigate services.</w:t>
      </w:r>
    </w:p>
    <w:p>
      <w:pPr>
        <w:pStyle w:val="BodyText"/>
      </w:pPr>
      <w:r>
        <w:t xml:space="preserve">That support function is different from independently assessing complex clinical needs, creating treatment plans, determining medical necessity, authorizing benefits, directing clinical care, performing licensed social work, or exercising authority reserved for a credentialed case manager or regulated professional.</w:t>
      </w:r>
    </w:p>
    <w:p>
      <w:pPr>
        <w:pStyle w:val="BodyText"/>
      </w:pPr>
      <w:r>
        <w:t xml:space="preserve">Some organizations may use titles such as care navigator, patient navigator, benefits navigator, housing navigator, family navigator, community navigator, resource coordinator, case aide, social-services assistant, or client-support specialist. The title alone does not define the legal scope. Read the duties, supervision model, required credentials, and local regulations.</w:t>
      </w:r>
    </w:p>
    <w:bookmarkEnd w:id="23"/>
    <w:bookmarkStart w:id="24" w:name="work-environment-and-emotional-demands"/>
    <w:p>
      <w:pPr>
        <w:pStyle w:val="Heading2"/>
      </w:pPr>
      <w:r>
        <w:t xml:space="preserve">Work environment and emotional demands</w:t>
      </w:r>
    </w:p>
    <w:p>
      <w:pPr>
        <w:pStyle w:val="FirstParagraph"/>
      </w:pPr>
      <w:r>
        <w:t xml:space="preserve">Work may occur in offices, community agencies, hospitals, clinics, shelters, housing programs, behavioral-health settings, rehabilitation programs, schools, government agencies, workforce programs, residential programs, nonprofit organizations, outreach settings, or remotely through approved systems.</w:t>
      </w:r>
    </w:p>
    <w:p>
      <w:pPr>
        <w:pStyle w:val="BodyText"/>
      </w:pPr>
      <w:r>
        <w:t xml:space="preserve">Common demands can include:</w:t>
      </w:r>
    </w:p>
    <w:p>
      <w:pPr>
        <w:numPr>
          <w:ilvl w:val="0"/>
          <w:numId w:val="1003"/>
        </w:numPr>
        <w:pStyle w:val="Compact"/>
      </w:pPr>
      <w:r>
        <w:t xml:space="preserve">frequent contact with people who are stressed, ill, disabled, unemployed, housing-insecure, grieving, overwhelmed, or managing multiple service systems;</w:t>
      </w:r>
    </w:p>
    <w:p>
      <w:pPr>
        <w:numPr>
          <w:ilvl w:val="0"/>
          <w:numId w:val="1003"/>
        </w:numPr>
        <w:pStyle w:val="Compact"/>
      </w:pPr>
      <w:r>
        <w:t xml:space="preserve">handling several referrals, deadlines, appointments, and follow-up tasks at once;</w:t>
      </w:r>
    </w:p>
    <w:p>
      <w:pPr>
        <w:numPr>
          <w:ilvl w:val="0"/>
          <w:numId w:val="1003"/>
        </w:numPr>
        <w:pStyle w:val="Compact"/>
      </w:pPr>
      <w:r>
        <w:t xml:space="preserve">repeated documentation and data-entry work;</w:t>
      </w:r>
    </w:p>
    <w:p>
      <w:pPr>
        <w:numPr>
          <w:ilvl w:val="0"/>
          <w:numId w:val="1003"/>
        </w:numPr>
        <w:pStyle w:val="Compact"/>
      </w:pPr>
      <w:r>
        <w:t xml:space="preserve">coordinating across organizations that have different eligibility rules, hours, forms, and response times;</w:t>
      </w:r>
    </w:p>
    <w:p>
      <w:pPr>
        <w:numPr>
          <w:ilvl w:val="0"/>
          <w:numId w:val="1003"/>
        </w:numPr>
        <w:pStyle w:val="Compact"/>
      </w:pPr>
      <w:r>
        <w:t xml:space="preserve">dealing with limited program capacity or waitlists;</w:t>
      </w:r>
    </w:p>
    <w:p>
      <w:pPr>
        <w:numPr>
          <w:ilvl w:val="0"/>
          <w:numId w:val="1003"/>
        </w:numPr>
        <w:pStyle w:val="Compact"/>
      </w:pPr>
      <w:r>
        <w:t xml:space="preserve">communicating with frustrated, frightened, angry, confused, or distrustful clients;</w:t>
      </w:r>
    </w:p>
    <w:p>
      <w:pPr>
        <w:numPr>
          <w:ilvl w:val="0"/>
          <w:numId w:val="1003"/>
        </w:numPr>
        <w:pStyle w:val="Compact"/>
      </w:pPr>
      <w:r>
        <w:t xml:space="preserve">occasional field or community visits;</w:t>
      </w:r>
    </w:p>
    <w:p>
      <w:pPr>
        <w:numPr>
          <w:ilvl w:val="0"/>
          <w:numId w:val="1003"/>
        </w:numPr>
        <w:pStyle w:val="Compact"/>
      </w:pPr>
      <w:r>
        <w:t xml:space="preserve">evening or weekend schedules in some settings;</w:t>
      </w:r>
    </w:p>
    <w:p>
      <w:pPr>
        <w:numPr>
          <w:ilvl w:val="0"/>
          <w:numId w:val="1003"/>
        </w:numPr>
        <w:pStyle w:val="Compact"/>
      </w:pPr>
      <w:r>
        <w:t xml:space="preserve">exposure to crisis disclosures or distressing life circumstances; and</w:t>
      </w:r>
    </w:p>
    <w:p>
      <w:pPr>
        <w:numPr>
          <w:ilvl w:val="0"/>
          <w:numId w:val="1003"/>
        </w:numPr>
        <w:pStyle w:val="Compact"/>
      </w:pPr>
      <w:r>
        <w:t xml:space="preserve">balancing empathy with professional boundaries and workload limits.</w:t>
      </w:r>
    </w:p>
    <w:p>
      <w:pPr>
        <w:pStyle w:val="FirstParagraph"/>
      </w:pPr>
      <w:r>
        <w:t xml:space="preserve">Healthy boundaries, supervision, debriefing, workload management, and use of employee-support resources can help reduce burnout and compassion fatigue.</w:t>
      </w:r>
    </w:p>
    <w:bookmarkEnd w:id="24"/>
    <w:bookmarkStart w:id="25" w:name="X95b40112b65f700af01c88cb98f28e55c33cd3a"/>
    <w:p>
      <w:pPr>
        <w:pStyle w:val="Heading2"/>
      </w:pPr>
      <w:r>
        <w:t xml:space="preserve">Crisis, safeguarding, and emergency boundaries</w:t>
      </w:r>
    </w:p>
    <w:p>
      <w:pPr>
        <w:pStyle w:val="FirstParagraph"/>
      </w:pPr>
      <w:r>
        <w:t xml:space="preserve">A navigator or case assistant may encounter disclosures or signs of abuse, neglect, exploitation, self-harm risk, violence risk, trafficking, medical danger, homelessness emergencies, or other urgent concerns.</w:t>
      </w:r>
    </w:p>
    <w:p>
      <w:pPr>
        <w:pStyle w:val="BodyText"/>
      </w:pPr>
      <w:r>
        <w:t xml:space="preserve">Do not invent a response or act outside your authority. Follow current employer protocol and local law.</w:t>
      </w:r>
    </w:p>
    <w:p>
      <w:pPr>
        <w:pStyle w:val="BodyText"/>
      </w:pPr>
      <w:r>
        <w:t xml:space="preserve">Depending on the situation, this may require:</w:t>
      </w:r>
    </w:p>
    <w:p>
      <w:pPr>
        <w:numPr>
          <w:ilvl w:val="0"/>
          <w:numId w:val="1004"/>
        </w:numPr>
        <w:pStyle w:val="Compact"/>
      </w:pPr>
      <w:r>
        <w:t xml:space="preserve">contacting a supervisor, licensed professional, safeguarding lead, or designated crisis team;</w:t>
      </w:r>
    </w:p>
    <w:p>
      <w:pPr>
        <w:numPr>
          <w:ilvl w:val="0"/>
          <w:numId w:val="1004"/>
        </w:numPr>
        <w:pStyle w:val="Compact"/>
      </w:pPr>
      <w:r>
        <w:t xml:space="preserve">using an approved emergency or crisis pathway;</w:t>
      </w:r>
    </w:p>
    <w:p>
      <w:pPr>
        <w:numPr>
          <w:ilvl w:val="0"/>
          <w:numId w:val="1004"/>
        </w:numPr>
        <w:pStyle w:val="Compact"/>
      </w:pPr>
      <w:r>
        <w:t xml:space="preserve">contacting emergency services when required;</w:t>
      </w:r>
    </w:p>
    <w:p>
      <w:pPr>
        <w:numPr>
          <w:ilvl w:val="0"/>
          <w:numId w:val="1004"/>
        </w:numPr>
        <w:pStyle w:val="Compact"/>
      </w:pPr>
      <w:r>
        <w:t xml:space="preserve">making a legally required report through the correct channel if your role is covered by mandatory-reporting rules;</w:t>
      </w:r>
    </w:p>
    <w:p>
      <w:pPr>
        <w:numPr>
          <w:ilvl w:val="0"/>
          <w:numId w:val="1004"/>
        </w:numPr>
        <w:pStyle w:val="Compact"/>
      </w:pPr>
      <w:r>
        <w:t xml:space="preserve">documenting facts accurately and promptly; and</w:t>
      </w:r>
    </w:p>
    <w:p>
      <w:pPr>
        <w:numPr>
          <w:ilvl w:val="0"/>
          <w:numId w:val="1004"/>
        </w:numPr>
        <w:pStyle w:val="Compact"/>
      </w:pPr>
      <w:r>
        <w:t xml:space="preserve">avoiding promises of confidentiality that conflict with legal or safety obligations.</w:t>
      </w:r>
    </w:p>
    <w:p>
      <w:pPr>
        <w:pStyle w:val="FirstParagraph"/>
      </w:pPr>
      <w:r>
        <w:t xml:space="preserve">Mandatory-reporting, safeguarding, consent, and emergency rules vary by jurisdiction, setting, client population, and professional role. Training material and AI tools are not substitutes for current policy and law.</w:t>
      </w:r>
    </w:p>
    <w:bookmarkEnd w:id="25"/>
    <w:bookmarkStart w:id="26" w:name="X6972b6202574c3130e34be053bf7207600e9adf"/>
    <w:p>
      <w:pPr>
        <w:pStyle w:val="Heading2"/>
      </w:pPr>
      <w:r>
        <w:t xml:space="preserve">Privacy, confidentiality, and documentation</w:t>
      </w:r>
    </w:p>
    <w:p>
      <w:pPr>
        <w:pStyle w:val="FirstParagraph"/>
      </w:pPr>
      <w:r>
        <w:t xml:space="preserve">Case-assistance and navigation work may involve highly sensitive information, including names, addresses, dates of birth, health and mental-health information, disability information, immigration details, benefits records, housing status, employment history, family information, legal matters, financial details, identity documents, credentials, and crisis information.</w:t>
      </w:r>
    </w:p>
    <w:p>
      <w:pPr>
        <w:pStyle w:val="BodyText"/>
      </w:pPr>
      <w:r>
        <w:t xml:space="preserve">Follow employer rules for:</w:t>
      </w:r>
    </w:p>
    <w:p>
      <w:pPr>
        <w:numPr>
          <w:ilvl w:val="0"/>
          <w:numId w:val="1005"/>
        </w:numPr>
        <w:pStyle w:val="Compact"/>
      </w:pPr>
      <w:r>
        <w:t xml:space="preserve">collecting only information needed for the authorized purpose;</w:t>
      </w:r>
    </w:p>
    <w:p>
      <w:pPr>
        <w:numPr>
          <w:ilvl w:val="0"/>
          <w:numId w:val="1005"/>
        </w:numPr>
        <w:pStyle w:val="Compact"/>
      </w:pPr>
      <w:r>
        <w:t xml:space="preserve">verifying identity before disclosing protected information;</w:t>
      </w:r>
    </w:p>
    <w:p>
      <w:pPr>
        <w:numPr>
          <w:ilvl w:val="0"/>
          <w:numId w:val="1005"/>
        </w:numPr>
        <w:pStyle w:val="Compact"/>
      </w:pPr>
      <w:r>
        <w:t xml:space="preserve">using approved case-management, electronic health record, benefits, housing, workforce, or referral systems;</w:t>
      </w:r>
    </w:p>
    <w:p>
      <w:pPr>
        <w:numPr>
          <w:ilvl w:val="0"/>
          <w:numId w:val="1005"/>
        </w:numPr>
        <w:pStyle w:val="Compact"/>
      </w:pPr>
      <w:r>
        <w:t xml:space="preserve">role-based access;</w:t>
      </w:r>
    </w:p>
    <w:p>
      <w:pPr>
        <w:numPr>
          <w:ilvl w:val="0"/>
          <w:numId w:val="1005"/>
        </w:numPr>
        <w:pStyle w:val="Compact"/>
      </w:pPr>
      <w:r>
        <w:t xml:space="preserve">passwords and multifactor authentication;</w:t>
      </w:r>
    </w:p>
    <w:p>
      <w:pPr>
        <w:numPr>
          <w:ilvl w:val="0"/>
          <w:numId w:val="1005"/>
        </w:numPr>
        <w:pStyle w:val="Compact"/>
      </w:pPr>
      <w:r>
        <w:t xml:space="preserve">secure file sharing and approved communication channels;</w:t>
      </w:r>
    </w:p>
    <w:p>
      <w:pPr>
        <w:numPr>
          <w:ilvl w:val="0"/>
          <w:numId w:val="1005"/>
        </w:numPr>
        <w:pStyle w:val="Compact"/>
      </w:pPr>
      <w:r>
        <w:t xml:space="preserve">private conversations and appropriate physical spaces;</w:t>
      </w:r>
    </w:p>
    <w:p>
      <w:pPr>
        <w:numPr>
          <w:ilvl w:val="0"/>
          <w:numId w:val="1005"/>
        </w:numPr>
        <w:pStyle w:val="Compact"/>
      </w:pPr>
      <w:r>
        <w:t xml:space="preserve">retention and destruction requirements;</w:t>
      </w:r>
    </w:p>
    <w:p>
      <w:pPr>
        <w:numPr>
          <w:ilvl w:val="0"/>
          <w:numId w:val="1005"/>
        </w:numPr>
        <w:pStyle w:val="Compact"/>
      </w:pPr>
      <w:r>
        <w:t xml:space="preserve">printing and physical records;</w:t>
      </w:r>
    </w:p>
    <w:p>
      <w:pPr>
        <w:numPr>
          <w:ilvl w:val="0"/>
          <w:numId w:val="1005"/>
        </w:numPr>
        <w:pStyle w:val="Compact"/>
      </w:pPr>
      <w:r>
        <w:t xml:space="preserve">remote work and mobile devices;</w:t>
      </w:r>
    </w:p>
    <w:p>
      <w:pPr>
        <w:numPr>
          <w:ilvl w:val="0"/>
          <w:numId w:val="1005"/>
        </w:numPr>
        <w:pStyle w:val="Compact"/>
      </w:pPr>
      <w:r>
        <w:t xml:space="preserve">incident reporting; and</w:t>
      </w:r>
    </w:p>
    <w:p>
      <w:pPr>
        <w:numPr>
          <w:ilvl w:val="0"/>
          <w:numId w:val="1005"/>
        </w:numPr>
        <w:pStyle w:val="Compact"/>
      </w:pPr>
      <w:r>
        <w:t xml:space="preserve">use of personal devices, messaging apps, email, cloud services, and AI tools.</w:t>
      </w:r>
    </w:p>
    <w:p>
      <w:pPr>
        <w:pStyle w:val="FirstParagraph"/>
      </w:pPr>
      <w:r>
        <w:t xml:space="preserve">Write notes that are factual, relevant, respectful, and proportionate. Distinguish what you observed, what the client reported, what another professional concluded, and what action was actually taken.</w:t>
      </w:r>
    </w:p>
    <w:p>
      <w:pPr>
        <w:pStyle w:val="BodyText"/>
      </w:pPr>
      <w:r>
        <w:t xml:space="preserve">Do not copy sensitive information into a personal note app, unapproved cloud drive, personal email account, public AI tool, or messaging platform simply because it is convenient.</w:t>
      </w:r>
    </w:p>
    <w:bookmarkEnd w:id="26"/>
    <w:bookmarkStart w:id="27" w:name="skills-employers-may-value"/>
    <w:p>
      <w:pPr>
        <w:pStyle w:val="Heading2"/>
      </w:pPr>
      <w:r>
        <w:t xml:space="preserve">Skills employers may value</w:t>
      </w:r>
    </w:p>
    <w:p>
      <w:pPr>
        <w:pStyle w:val="FirstParagraph"/>
      </w:pPr>
      <w:r>
        <w:t xml:space="preserve">Employers often value:</w:t>
      </w:r>
    </w:p>
    <w:p>
      <w:pPr>
        <w:numPr>
          <w:ilvl w:val="0"/>
          <w:numId w:val="1006"/>
        </w:numPr>
        <w:pStyle w:val="Compact"/>
      </w:pPr>
      <w:r>
        <w:t xml:space="preserve">active listening;</w:t>
      </w:r>
    </w:p>
    <w:p>
      <w:pPr>
        <w:numPr>
          <w:ilvl w:val="0"/>
          <w:numId w:val="1006"/>
        </w:numPr>
        <w:pStyle w:val="Compact"/>
      </w:pPr>
      <w:r>
        <w:t xml:space="preserve">respectful client communication;</w:t>
      </w:r>
    </w:p>
    <w:p>
      <w:pPr>
        <w:numPr>
          <w:ilvl w:val="0"/>
          <w:numId w:val="1006"/>
        </w:numPr>
        <w:pStyle w:val="Compact"/>
      </w:pPr>
      <w:r>
        <w:t xml:space="preserve">organization and task tracking;</w:t>
      </w:r>
    </w:p>
    <w:p>
      <w:pPr>
        <w:numPr>
          <w:ilvl w:val="0"/>
          <w:numId w:val="1006"/>
        </w:numPr>
        <w:pStyle w:val="Compact"/>
      </w:pPr>
      <w:r>
        <w:t xml:space="preserve">accurate documentation;</w:t>
      </w:r>
    </w:p>
    <w:p>
      <w:pPr>
        <w:numPr>
          <w:ilvl w:val="0"/>
          <w:numId w:val="1006"/>
        </w:numPr>
        <w:pStyle w:val="Compact"/>
      </w:pPr>
      <w:r>
        <w:t xml:space="preserve">practical resource research;</w:t>
      </w:r>
    </w:p>
    <w:p>
      <w:pPr>
        <w:numPr>
          <w:ilvl w:val="0"/>
          <w:numId w:val="1006"/>
        </w:numPr>
        <w:pStyle w:val="Compact"/>
      </w:pPr>
      <w:r>
        <w:t xml:space="preserve">follow-through and reliability;</w:t>
      </w:r>
    </w:p>
    <w:p>
      <w:pPr>
        <w:numPr>
          <w:ilvl w:val="0"/>
          <w:numId w:val="1006"/>
        </w:numPr>
        <w:pStyle w:val="Compact"/>
      </w:pPr>
      <w:r>
        <w:t xml:space="preserve">plain-language explanation of procedures;</w:t>
      </w:r>
    </w:p>
    <w:p>
      <w:pPr>
        <w:numPr>
          <w:ilvl w:val="0"/>
          <w:numId w:val="1006"/>
        </w:numPr>
        <w:pStyle w:val="Compact"/>
      </w:pPr>
      <w:r>
        <w:t xml:space="preserve">empathy with clear professional boundaries;</w:t>
      </w:r>
    </w:p>
    <w:p>
      <w:pPr>
        <w:numPr>
          <w:ilvl w:val="0"/>
          <w:numId w:val="1006"/>
        </w:numPr>
        <w:pStyle w:val="Compact"/>
      </w:pPr>
      <w:r>
        <w:t xml:space="preserve">cultural humility;</w:t>
      </w:r>
    </w:p>
    <w:p>
      <w:pPr>
        <w:numPr>
          <w:ilvl w:val="0"/>
          <w:numId w:val="1006"/>
        </w:numPr>
        <w:pStyle w:val="Compact"/>
      </w:pPr>
      <w:r>
        <w:t xml:space="preserve">disability-inclusive communication;</w:t>
      </w:r>
    </w:p>
    <w:p>
      <w:pPr>
        <w:numPr>
          <w:ilvl w:val="0"/>
          <w:numId w:val="1006"/>
        </w:numPr>
        <w:pStyle w:val="Compact"/>
      </w:pPr>
      <w:r>
        <w:t xml:space="preserve">teamwork with case managers, clinicians, social workers, administrators, and community partners;</w:t>
      </w:r>
    </w:p>
    <w:p>
      <w:pPr>
        <w:numPr>
          <w:ilvl w:val="0"/>
          <w:numId w:val="1006"/>
        </w:numPr>
        <w:pStyle w:val="Compact"/>
      </w:pPr>
      <w:r>
        <w:t xml:space="preserve">calm escalation in difficult situations;</w:t>
      </w:r>
    </w:p>
    <w:p>
      <w:pPr>
        <w:numPr>
          <w:ilvl w:val="0"/>
          <w:numId w:val="1006"/>
        </w:numPr>
        <w:pStyle w:val="Compact"/>
      </w:pPr>
      <w:r>
        <w:t xml:space="preserve">basic spreadsheet, email, calendar, and case-management-system skills;</w:t>
      </w:r>
    </w:p>
    <w:p>
      <w:pPr>
        <w:numPr>
          <w:ilvl w:val="0"/>
          <w:numId w:val="1006"/>
        </w:numPr>
        <w:pStyle w:val="Compact"/>
      </w:pPr>
      <w:r>
        <w:t xml:space="preserve">confidentiality and privacy awareness;</w:t>
      </w:r>
    </w:p>
    <w:p>
      <w:pPr>
        <w:numPr>
          <w:ilvl w:val="0"/>
          <w:numId w:val="1006"/>
        </w:numPr>
        <w:pStyle w:val="Compact"/>
      </w:pPr>
      <w:r>
        <w:t xml:space="preserve">ability to verify current program information; and</w:t>
      </w:r>
    </w:p>
    <w:p>
      <w:pPr>
        <w:numPr>
          <w:ilvl w:val="0"/>
          <w:numId w:val="1006"/>
        </w:numPr>
        <w:pStyle w:val="Compact"/>
      </w:pPr>
      <w:r>
        <w:t xml:space="preserve">judgment about when to stop and ask for supervision.</w:t>
      </w:r>
    </w:p>
    <w:p>
      <w:pPr>
        <w:pStyle w:val="FirstParagraph"/>
      </w:pPr>
      <w:r>
        <w:t xml:space="preserve">Bilingual or multilingual ability may be valuable in some communities, but do not claim professional interpretation or translation credentials you do not have.</w:t>
      </w:r>
    </w:p>
    <w:bookmarkEnd w:id="27"/>
    <w:bookmarkStart w:id="32" w:name="education-and-entry-pathways"/>
    <w:p>
      <w:pPr>
        <w:pStyle w:val="Heading2"/>
      </w:pPr>
      <w:r>
        <w:t xml:space="preserve">Education and entry pathways</w:t>
      </w:r>
    </w:p>
    <w:bookmarkStart w:id="28" w:name="united-states"/>
    <w:p>
      <w:pPr>
        <w:pStyle w:val="Heading3"/>
      </w:pPr>
      <w:r>
        <w:t xml:space="preserve">United States</w:t>
      </w:r>
    </w:p>
    <w:p>
      <w:pPr>
        <w:pStyle w:val="FirstParagraph"/>
      </w:pPr>
      <w:r>
        <w:t xml:space="preserve">The closest federal occupational family is</w:t>
      </w:r>
      <w:r>
        <w:t xml:space="preserve"> </w:t>
      </w:r>
      <w:r>
        <w:rPr>
          <w:bCs/>
          <w:b/>
        </w:rPr>
        <w:t xml:space="preserve">Social and Human Service Assistants, O*NET-SOC 21-1093.00</w:t>
      </w:r>
      <w:r>
        <w:t xml:space="preserve">.</w:t>
      </w:r>
    </w:p>
    <w:p>
      <w:pPr>
        <w:pStyle w:val="BodyText"/>
      </w:pPr>
      <w:r>
        <w:t xml:space="preserve">O*NET reports 2025 BLS wage data of</w:t>
      </w:r>
      <w:r>
        <w:t xml:space="preserve"> </w:t>
      </w:r>
      <w:r>
        <w:rPr>
          <w:bCs/>
          <w:b/>
        </w:rPr>
        <w:t xml:space="preserve">USD $22.08/hour / $45,930/year</w:t>
      </w:r>
      <w:r>
        <w:t xml:space="preserve"> </w:t>
      </w:r>
      <w:r>
        <w:t xml:space="preserve">for this occupation. It reports approximately</w:t>
      </w:r>
      <w:r>
        <w:t xml:space="preserve"> </w:t>
      </w:r>
      <w:r>
        <w:rPr>
          <w:bCs/>
          <w:b/>
        </w:rPr>
        <w:t xml:space="preserve">449,600 workers in 2024</w:t>
      </w:r>
      <w:r>
        <w:t xml:space="preserve">, projected growth of</w:t>
      </w:r>
      <w:r>
        <w:t xml:space="preserve"> </w:t>
      </w:r>
      <w:r>
        <w:rPr>
          <w:bCs/>
          <w:b/>
        </w:rPr>
        <w:t xml:space="preserve">6% from 2024 to 2034</w:t>
      </w:r>
      <w:r>
        <w:t xml:space="preserve">, and approximately</w:t>
      </w:r>
      <w:r>
        <w:t xml:space="preserve"> </w:t>
      </w:r>
      <w:r>
        <w:rPr>
          <w:bCs/>
          <w:b/>
        </w:rPr>
        <w:t xml:space="preserve">50,600 annual openings</w:t>
      </w:r>
      <w:r>
        <w:t xml:space="preserve"> </w:t>
      </w:r>
      <w:r>
        <w:t xml:space="preserve">over the decade.</w:t>
      </w:r>
    </w:p>
    <w:p>
      <w:pPr>
        <w:pStyle w:val="BodyText"/>
      </w:pPr>
      <w:r>
        <w:t xml:space="preserve">The U.S. Bureau of Labor Statistics states that social and human service assistants typically need at least a</w:t>
      </w:r>
      <w:r>
        <w:t xml:space="preserve"> </w:t>
      </w:r>
      <w:r>
        <w:rPr>
          <w:bCs/>
          <w:b/>
        </w:rPr>
        <w:t xml:space="preserve">high school diploma or equivalent</w:t>
      </w:r>
      <w:r>
        <w:t xml:space="preserve"> </w:t>
      </w:r>
      <w:r>
        <w:t xml:space="preserve">and generally receive</w:t>
      </w:r>
      <w:r>
        <w:t xml:space="preserve"> </w:t>
      </w:r>
      <w:r>
        <w:rPr>
          <w:bCs/>
          <w:b/>
        </w:rPr>
        <w:t xml:space="preserve">short-term on-the-job training</w:t>
      </w:r>
      <w:r>
        <w:t xml:space="preserve">, although some employers prefer additional education or related experience.</w:t>
      </w:r>
    </w:p>
    <w:p>
      <w:pPr>
        <w:pStyle w:val="BodyText"/>
      </w:pPr>
      <w:r>
        <w:t xml:space="preserve">A practical entry sequence is:</w:t>
      </w:r>
    </w:p>
    <w:p>
      <w:pPr>
        <w:numPr>
          <w:ilvl w:val="0"/>
          <w:numId w:val="1007"/>
        </w:numPr>
        <w:pStyle w:val="Compact"/>
      </w:pPr>
      <w:r>
        <w:t xml:space="preserve">Review 15–20 current local postings for case management assistant, case aide, resource navigator, community navigator, benefits navigator, social-services assistant, outreach assistant, family navigator, housing navigator, or similar titles.</w:t>
      </w:r>
    </w:p>
    <w:p>
      <w:pPr>
        <w:numPr>
          <w:ilvl w:val="0"/>
          <w:numId w:val="1007"/>
        </w:numPr>
        <w:pStyle w:val="Compact"/>
      </w:pPr>
      <w:r>
        <w:t xml:space="preserve">Record recurring requirements for education, driving, background checks, client populations, documentation systems, software, language ability, crisis training, and schedule.</w:t>
      </w:r>
    </w:p>
    <w:p>
      <w:pPr>
        <w:numPr>
          <w:ilvl w:val="0"/>
          <w:numId w:val="1007"/>
        </w:numPr>
        <w:pStyle w:val="Compact"/>
      </w:pPr>
      <w:r>
        <w:t xml:space="preserve">Separate support-level roles from positions that require professional social-work, nursing, counseling, healthcare, legal, or certified case-management credentials.</w:t>
      </w:r>
    </w:p>
    <w:p>
      <w:pPr>
        <w:numPr>
          <w:ilvl w:val="0"/>
          <w:numId w:val="1007"/>
        </w:numPr>
        <w:pStyle w:val="Compact"/>
      </w:pPr>
      <w:r>
        <w:t xml:space="preserve">Build transferable experience through supervised community service, customer service, caregiving, administrative support, healthcare administration, disability services, workforce programs, housing programs, youth services, aging services, or related settings.</w:t>
      </w:r>
    </w:p>
    <w:p>
      <w:pPr>
        <w:numPr>
          <w:ilvl w:val="0"/>
          <w:numId w:val="1007"/>
        </w:numPr>
        <w:pStyle w:val="Compact"/>
      </w:pPr>
      <w:r>
        <w:t xml:space="preserve">Use public or employer-recognized training to strengthen documentation, resource navigation, privacy, safeguarding, de-escalation, disability inclusion, and digital skills.</w:t>
      </w:r>
    </w:p>
    <w:p>
      <w:pPr>
        <w:numPr>
          <w:ilvl w:val="0"/>
          <w:numId w:val="1007"/>
        </w:numPr>
        <w:pStyle w:val="Compact"/>
      </w:pPr>
      <w:r>
        <w:t xml:space="preserve">Apply only to roles that match your actual education, experience, and credentials.</w:t>
      </w:r>
    </w:p>
    <w:p>
      <w:pPr>
        <w:pStyle w:val="FirstParagraph"/>
      </w:pPr>
      <w:r>
        <w:t xml:space="preserve">Do not assume an expensive private</w:t>
      </w:r>
      <w:r>
        <w:t xml:space="preserve"> </w:t>
      </w:r>
      <w:r>
        <w:rPr>
          <w:rStyle w:val="VerbatimChar"/>
        </w:rPr>
        <w:t xml:space="preserve">case management</w:t>
      </w:r>
      <w:r>
        <w:t xml:space="preserve"> </w:t>
      </w:r>
      <w:r>
        <w:t xml:space="preserve">certificate is legally required simply because a training provider markets one.</w:t>
      </w:r>
    </w:p>
    <w:bookmarkEnd w:id="28"/>
    <w:bookmarkStart w:id="29" w:name="canada"/>
    <w:p>
      <w:pPr>
        <w:pStyle w:val="Heading3"/>
      </w:pPr>
      <w:r>
        <w:t xml:space="preserve">Canada</w:t>
      </w:r>
    </w:p>
    <w:p>
      <w:pPr>
        <w:pStyle w:val="FirstParagraph"/>
      </w:pPr>
      <w:r>
        <w:t xml:space="preserve">The closest broad comparison is</w:t>
      </w:r>
      <w:r>
        <w:t xml:space="preserve"> </w:t>
      </w:r>
      <w:r>
        <w:rPr>
          <w:bCs/>
          <w:b/>
        </w:rPr>
        <w:t xml:space="preserve">Social and community service workers, NOC 42201</w:t>
      </w:r>
      <w:r>
        <w:t xml:space="preserve">.</w:t>
      </w:r>
    </w:p>
    <w:p>
      <w:pPr>
        <w:pStyle w:val="BodyText"/>
      </w:pPr>
      <w:r>
        <w:t xml:space="preserve">Government of Canada Job Bank states that completion of a college or university program in social work, child and youth care, psychology, or another social-science or health-related discipline is usually required. Previous social-service experience as a volunteer or support worker may replace formal education requirements for some occupations in the unit group.</w:t>
      </w:r>
    </w:p>
    <w:p>
      <w:pPr>
        <w:pStyle w:val="BodyText"/>
      </w:pPr>
      <w:r>
        <w:t xml:space="preserve">Some social-service-worker titles may require registration with a provincial regulatory body. A generic navigator or assistant role and a regulated social-service-worker title are not automatically the same thing.</w:t>
      </w:r>
    </w:p>
    <w:p>
      <w:pPr>
        <w:pStyle w:val="BodyText"/>
      </w:pPr>
      <w:r>
        <w:t xml:space="preserve">Before paying for training, verify:</w:t>
      </w:r>
    </w:p>
    <w:p>
      <w:pPr>
        <w:numPr>
          <w:ilvl w:val="0"/>
          <w:numId w:val="1008"/>
        </w:numPr>
        <w:pStyle w:val="Compact"/>
      </w:pPr>
      <w:r>
        <w:t xml:space="preserve">the exact title and duties;</w:t>
      </w:r>
    </w:p>
    <w:p>
      <w:pPr>
        <w:numPr>
          <w:ilvl w:val="0"/>
          <w:numId w:val="1008"/>
        </w:numPr>
        <w:pStyle w:val="Compact"/>
      </w:pPr>
      <w:r>
        <w:t xml:space="preserve">province or territory;</w:t>
      </w:r>
    </w:p>
    <w:p>
      <w:pPr>
        <w:numPr>
          <w:ilvl w:val="0"/>
          <w:numId w:val="1008"/>
        </w:numPr>
        <w:pStyle w:val="Compact"/>
      </w:pPr>
      <w:r>
        <w:t xml:space="preserve">whether the employer requires a college diploma, degree, or specific credential;</w:t>
      </w:r>
    </w:p>
    <w:p>
      <w:pPr>
        <w:numPr>
          <w:ilvl w:val="0"/>
          <w:numId w:val="1008"/>
        </w:numPr>
        <w:pStyle w:val="Compact"/>
      </w:pPr>
      <w:r>
        <w:t xml:space="preserve">whether supervised experience may substitute for education;</w:t>
      </w:r>
    </w:p>
    <w:p>
      <w:pPr>
        <w:numPr>
          <w:ilvl w:val="0"/>
          <w:numId w:val="1008"/>
        </w:numPr>
        <w:pStyle w:val="Compact"/>
      </w:pPr>
      <w:r>
        <w:t xml:space="preserve">whether a protected title or registration requirement applies; and</w:t>
      </w:r>
    </w:p>
    <w:p>
      <w:pPr>
        <w:numPr>
          <w:ilvl w:val="0"/>
          <w:numId w:val="1008"/>
        </w:numPr>
        <w:pStyle w:val="Compact"/>
      </w:pPr>
      <w:r>
        <w:t xml:space="preserve">whether the program is recognized by the employers you are targeting.</w:t>
      </w:r>
    </w:p>
    <w:bookmarkEnd w:id="29"/>
    <w:bookmarkStart w:id="30" w:name="colombia"/>
    <w:p>
      <w:pPr>
        <w:pStyle w:val="Heading3"/>
      </w:pPr>
      <w:r>
        <w:t xml:space="preserve">Colombia</w:t>
      </w:r>
    </w:p>
    <w:p>
      <w:pPr>
        <w:pStyle w:val="FirstParagraph"/>
      </w:pPr>
      <w:r>
        <w:t xml:space="preserve">SENA's Clasificación Nacional de Ocupaciones identifies</w:t>
      </w:r>
      <w:r>
        <w:t xml:space="preserve"> </w:t>
      </w:r>
      <w:r>
        <w:rPr>
          <w:bCs/>
          <w:b/>
        </w:rPr>
        <w:t xml:space="preserve">CNO 4211 — Asistentes en servicios social y comunitario</w:t>
      </w:r>
      <w:r>
        <w:t xml:space="preserve">.</w:t>
      </w:r>
    </w:p>
    <w:p>
      <w:pPr>
        <w:pStyle w:val="BodyText"/>
      </w:pPr>
      <w:r>
        <w:t xml:space="preserve">A current SENA Agencia Pública de Empleo example for</w:t>
      </w:r>
      <w:r>
        <w:t xml:space="preserve"> </w:t>
      </w:r>
      <w:r>
        <w:rPr>
          <w:bCs/>
          <w:b/>
        </w:rPr>
        <w:t xml:space="preserve">Gestor comunitario</w:t>
      </w:r>
      <w:r>
        <w:t xml:space="preserve"> </w:t>
      </w:r>
      <w:r>
        <w:t xml:space="preserve">includes duties directly relevant to resource navigation: interviewing individuals or families about needs, helping users identify options and action plans, connecting people with legal, medical, financial, housing, employment, transportation, and other referral resources, and supporting programs under professional supervision.</w:t>
      </w:r>
    </w:p>
    <w:p>
      <w:pPr>
        <w:pStyle w:val="BodyText"/>
      </w:pPr>
      <w:r>
        <w:t xml:space="preserve">This is evidence of current labor-market use, not a universal job description and not authorization to perform regulated professional social work.</w:t>
      </w:r>
    </w:p>
    <w:p>
      <w:pPr>
        <w:pStyle w:val="BodyText"/>
      </w:pPr>
      <w:r>
        <w:t xml:space="preserve">SENA Betowa also lists</w:t>
      </w:r>
      <w:r>
        <w:t xml:space="preserve"> </w:t>
      </w:r>
      <w:r>
        <w:rPr>
          <w:bCs/>
          <w:b/>
        </w:rPr>
        <w:t xml:space="preserve">Desarrollo de habilidades para el bienestar familiar y comunitario</w:t>
      </w:r>
      <w:r>
        <w:t xml:space="preserve">, a</w:t>
      </w:r>
      <w:r>
        <w:t xml:space="preserve"> </w:t>
      </w:r>
      <w:r>
        <w:rPr>
          <w:bCs/>
          <w:b/>
        </w:rPr>
        <w:t xml:space="preserve">48-hour</w:t>
      </w:r>
      <w:r>
        <w:t xml:space="preserve"> </w:t>
      </w:r>
      <w:r>
        <w:t xml:space="preserve">complementary program. Current availability varies by modality, location, eligibility, cohort, and available seats. Treat it as an example of public adjacent skill-building, not as a universal legal prerequisite for CNO 4211 or a substitute for professional social-work education.</w:t>
      </w:r>
    </w:p>
    <w:bookmarkEnd w:id="30"/>
    <w:bookmarkStart w:id="31" w:name="latin-america-and-the-caribbean"/>
    <w:p>
      <w:pPr>
        <w:pStyle w:val="Heading3"/>
      </w:pPr>
      <w:r>
        <w:t xml:space="preserve">Latin America and the Caribbean</w:t>
      </w:r>
    </w:p>
    <w:p>
      <w:pPr>
        <w:pStyle w:val="FirstParagraph"/>
      </w:pPr>
      <w:r>
        <w:t xml:space="preserve">Training systems, title protection, professional social-work rules, privacy obligations, safeguarding requirements, and employer expectations vary by country.</w:t>
      </w:r>
    </w:p>
    <w:p>
      <w:pPr>
        <w:pStyle w:val="BodyText"/>
      </w:pPr>
      <w:r>
        <w:t xml:space="preserve">OIT/Cinterfor maintains a regional network of vocational-training institutions and qualification systems. Use it to identify the relevant national public training institution, then verify the exact program, cost, recognition, eligibility, and legal scope directly with the responsible national institution and regulator.</w:t>
      </w:r>
    </w:p>
    <w:bookmarkEnd w:id="31"/>
    <w:bookmarkEnd w:id="32"/>
    <w:bookmarkStart w:id="33" w:name="X825e60f28aced09b895801e2e0c3e53f1f09502"/>
    <w:p>
      <w:pPr>
        <w:pStyle w:val="Heading2"/>
      </w:pPr>
      <w:r>
        <w:t xml:space="preserve">Free-first and low-cost training strategy</w:t>
      </w:r>
    </w:p>
    <w:p>
      <w:pPr>
        <w:pStyle w:val="FirstParagraph"/>
      </w:pPr>
      <w:r>
        <w:t xml:space="preserve">Before paying for training:</w:t>
      </w:r>
    </w:p>
    <w:p>
      <w:pPr>
        <w:numPr>
          <w:ilvl w:val="0"/>
          <w:numId w:val="1009"/>
        </w:numPr>
        <w:pStyle w:val="Compact"/>
      </w:pPr>
      <w:r>
        <w:t xml:space="preserve">Review real job postings in your target location.</w:t>
      </w:r>
    </w:p>
    <w:p>
      <w:pPr>
        <w:numPr>
          <w:ilvl w:val="0"/>
          <w:numId w:val="1009"/>
        </w:numPr>
        <w:pStyle w:val="Compact"/>
      </w:pPr>
      <w:r>
        <w:t xml:space="preserve">Separate required qualifications from preferred qualifications.</w:t>
      </w:r>
    </w:p>
    <w:p>
      <w:pPr>
        <w:numPr>
          <w:ilvl w:val="0"/>
          <w:numId w:val="1009"/>
        </w:numPr>
        <w:pStyle w:val="Compact"/>
      </w:pPr>
      <w:r>
        <w:t xml:space="preserve">Identify whether the role is truly support-level or requires a professional license or protected credential.</w:t>
      </w:r>
    </w:p>
    <w:p>
      <w:pPr>
        <w:numPr>
          <w:ilvl w:val="0"/>
          <w:numId w:val="1009"/>
        </w:numPr>
        <w:pStyle w:val="Compact"/>
      </w:pPr>
      <w:r>
        <w:t xml:space="preserve">Ask employers whether they provide paid onboarding, supervised case-support training, resource-system training, or reimbursement.</w:t>
      </w:r>
    </w:p>
    <w:p>
      <w:pPr>
        <w:numPr>
          <w:ilvl w:val="0"/>
          <w:numId w:val="1009"/>
        </w:numPr>
        <w:pStyle w:val="Compact"/>
      </w:pPr>
      <w:r>
        <w:t xml:space="preserve">Use public workforce, community-college, vocational, nonprofit, employer, or government training first where suitable.</w:t>
      </w:r>
    </w:p>
    <w:p>
      <w:pPr>
        <w:numPr>
          <w:ilvl w:val="0"/>
          <w:numId w:val="1009"/>
        </w:numPr>
        <w:pStyle w:val="Compact"/>
      </w:pPr>
      <w:r>
        <w:t xml:space="preserve">Compare total cost, schedule, transportation, materials, exams, background checks, software, and unpaid placement requirements.</w:t>
      </w:r>
    </w:p>
    <w:p>
      <w:pPr>
        <w:numPr>
          <w:ilvl w:val="0"/>
          <w:numId w:val="1009"/>
        </w:numPr>
        <w:pStyle w:val="Compact"/>
      </w:pPr>
      <w:r>
        <w:t xml:space="preserve">Confirm that target employers recognize the program.</w:t>
      </w:r>
    </w:p>
    <w:p>
      <w:pPr>
        <w:numPr>
          <w:ilvl w:val="0"/>
          <w:numId w:val="1009"/>
        </w:numPr>
        <w:pStyle w:val="Compact"/>
      </w:pPr>
      <w:r>
        <w:t xml:space="preserve">Get refund, repayment, and job-placement claims in writing.</w:t>
      </w:r>
    </w:p>
    <w:p>
      <w:pPr>
        <w:numPr>
          <w:ilvl w:val="0"/>
          <w:numId w:val="1009"/>
        </w:numPr>
        <w:pStyle w:val="Compact"/>
      </w:pPr>
      <w:r>
        <w:t xml:space="preserve">Avoid debt for a credential local employers do not request.</w:t>
      </w:r>
    </w:p>
    <w:bookmarkEnd w:id="33"/>
    <w:bookmarkStart w:id="38" w:name="funding-and-public-training-locators"/>
    <w:p>
      <w:pPr>
        <w:pStyle w:val="Heading2"/>
      </w:pPr>
      <w:r>
        <w:t xml:space="preserve">Funding and public training locators</w:t>
      </w:r>
    </w:p>
    <w:bookmarkStart w:id="34" w:name="united-states-1"/>
    <w:p>
      <w:pPr>
        <w:pStyle w:val="Heading3"/>
      </w:pPr>
      <w:r>
        <w:t xml:space="preserve">United States</w:t>
      </w:r>
    </w:p>
    <w:p>
      <w:pPr>
        <w:pStyle w:val="FirstParagraph"/>
      </w:pPr>
      <w:r>
        <w:t xml:space="preserve">CareerOneStop, sponsored by the U.S. Department of Labor, provides an</w:t>
      </w:r>
      <w:r>
        <w:t xml:space="preserve"> </w:t>
      </w:r>
      <w:r>
        <w:rPr>
          <w:bCs/>
          <w:b/>
        </w:rPr>
        <w:t xml:space="preserve">American Job Center</w:t>
      </w:r>
      <w:r>
        <w:t xml:space="preserve"> </w:t>
      </w:r>
      <w:r>
        <w:t xml:space="preserve">network and a</w:t>
      </w:r>
      <w:r>
        <w:t xml:space="preserve"> </w:t>
      </w:r>
      <w:r>
        <w:rPr>
          <w:bCs/>
          <w:b/>
        </w:rPr>
        <w:t xml:space="preserve">WIOA-Eligible Training Program Finder</w:t>
      </w:r>
      <w:r>
        <w:t xml:space="preserve">.</w:t>
      </w:r>
    </w:p>
    <w:p>
      <w:pPr>
        <w:pStyle w:val="BodyText"/>
      </w:pPr>
      <w:r>
        <w:t xml:space="preserve">WIOA training support may be available to eligible people, including some workers facing employment barriers. Eligibility, approved programs, local priorities, and available funds vary by area. Funding is</w:t>
      </w:r>
      <w:r>
        <w:t xml:space="preserve"> </w:t>
      </w:r>
      <w:r>
        <w:rPr>
          <w:bCs/>
          <w:b/>
        </w:rPr>
        <w:t xml:space="preserve">not guaranteed</w:t>
      </w:r>
      <w:r>
        <w:t xml:space="preserve">.</w:t>
      </w:r>
    </w:p>
    <w:p>
      <w:pPr>
        <w:pStyle w:val="BodyText"/>
      </w:pPr>
      <w:r>
        <w:t xml:space="preserve">CareerOneStop also provides tools to search training, scholarships, certifications, licenses, and apprenticeships.</w:t>
      </w:r>
    </w:p>
    <w:bookmarkEnd w:id="34"/>
    <w:bookmarkStart w:id="35" w:name="apprenticeships-and-work-based-learning"/>
    <w:p>
      <w:pPr>
        <w:pStyle w:val="Heading3"/>
      </w:pPr>
      <w:r>
        <w:t xml:space="preserve">Apprenticeships and work-based learning</w:t>
      </w:r>
    </w:p>
    <w:p>
      <w:pPr>
        <w:pStyle w:val="FirstParagraph"/>
      </w:pPr>
      <w:r>
        <w:t xml:space="preserve">There is no universal national apprenticeship requirement for Case Management Assistants or Resource Navigators. Registered Apprenticeship opportunities may exist in some human-service or adjacent occupations, but they vary by employer and location.</w:t>
      </w:r>
    </w:p>
    <w:p>
      <w:pPr>
        <w:pStyle w:val="BodyText"/>
      </w:pPr>
      <w:r>
        <w:t xml:space="preserve">Search Apprenticeship.gov for current openings rather than assuming a local program exists.</w:t>
      </w:r>
    </w:p>
    <w:bookmarkEnd w:id="35"/>
    <w:bookmarkStart w:id="36" w:name="canada-1"/>
    <w:p>
      <w:pPr>
        <w:pStyle w:val="Heading3"/>
      </w:pPr>
      <w:r>
        <w:t xml:space="preserve">Canada</w:t>
      </w:r>
    </w:p>
    <w:p>
      <w:pPr>
        <w:pStyle w:val="FirstParagraph"/>
      </w:pPr>
      <w:r>
        <w:t xml:space="preserve">Canada does not have one national credential or funding program that applies to every NOC 42201 role. Compare public college/university programs, provincial or territorial employment services, student aid where applicable, employer-supported training, and title-specific registration requirements.</w:t>
      </w:r>
    </w:p>
    <w:p>
      <w:pPr>
        <w:pStyle w:val="BodyText"/>
      </w:pPr>
      <w:r>
        <w:t xml:space="preserve">Confirm eligibility directly with the responsible public program before assuming that a course will be funded.</w:t>
      </w:r>
    </w:p>
    <w:bookmarkEnd w:id="36"/>
    <w:bookmarkStart w:id="37" w:name="colombia-and-latin-america"/>
    <w:p>
      <w:pPr>
        <w:pStyle w:val="Heading3"/>
      </w:pPr>
      <w:r>
        <w:t xml:space="preserve">Colombia and Latin America</w:t>
      </w:r>
    </w:p>
    <w:p>
      <w:pPr>
        <w:pStyle w:val="FirstParagraph"/>
      </w:pPr>
      <w:r>
        <w:t xml:space="preserve">Start with SENA/Betowa and SENA's Agencia Pública de Empleo in Colombia. In other Latin American countries, use OIT/Cinterfor to identify the relevant national public training institution and then confirm current offerings directly.</w:t>
      </w:r>
    </w:p>
    <w:bookmarkEnd w:id="37"/>
    <w:bookmarkEnd w:id="38"/>
    <w:bookmarkStart w:id="39" w:name="employer-support-and-work-based-learning"/>
    <w:p>
      <w:pPr>
        <w:pStyle w:val="Heading2"/>
      </w:pPr>
      <w:r>
        <w:t xml:space="preserve">Employer support and work-based learning</w:t>
      </w:r>
    </w:p>
    <w:p>
      <w:pPr>
        <w:pStyle w:val="FirstParagraph"/>
      </w:pPr>
      <w:r>
        <w:t xml:space="preserve">Ask employers about:</w:t>
      </w:r>
    </w:p>
    <w:p>
      <w:pPr>
        <w:numPr>
          <w:ilvl w:val="0"/>
          <w:numId w:val="1010"/>
        </w:numPr>
        <w:pStyle w:val="Compact"/>
      </w:pPr>
      <w:r>
        <w:t xml:space="preserve">paid orientation;</w:t>
      </w:r>
    </w:p>
    <w:p>
      <w:pPr>
        <w:numPr>
          <w:ilvl w:val="0"/>
          <w:numId w:val="1010"/>
        </w:numPr>
        <w:pStyle w:val="Compact"/>
      </w:pPr>
      <w:r>
        <w:t xml:space="preserve">supervised intake and case-support training;</w:t>
      </w:r>
    </w:p>
    <w:p>
      <w:pPr>
        <w:numPr>
          <w:ilvl w:val="0"/>
          <w:numId w:val="1010"/>
        </w:numPr>
        <w:pStyle w:val="Compact"/>
      </w:pPr>
      <w:r>
        <w:t xml:space="preserve">referral-directory and resource-navigation training;</w:t>
      </w:r>
    </w:p>
    <w:p>
      <w:pPr>
        <w:numPr>
          <w:ilvl w:val="0"/>
          <w:numId w:val="1010"/>
        </w:numPr>
        <w:pStyle w:val="Compact"/>
      </w:pPr>
      <w:r>
        <w:t xml:space="preserve">documentation and case-management-system training;</w:t>
      </w:r>
    </w:p>
    <w:p>
      <w:pPr>
        <w:numPr>
          <w:ilvl w:val="0"/>
          <w:numId w:val="1010"/>
        </w:numPr>
        <w:pStyle w:val="Compact"/>
      </w:pPr>
      <w:r>
        <w:t xml:space="preserve">privacy and cybersecurity training;</w:t>
      </w:r>
    </w:p>
    <w:p>
      <w:pPr>
        <w:numPr>
          <w:ilvl w:val="0"/>
          <w:numId w:val="1010"/>
        </w:numPr>
        <w:pStyle w:val="Compact"/>
      </w:pPr>
      <w:r>
        <w:t xml:space="preserve">safeguarding and mandatory-reporting training;</w:t>
      </w:r>
    </w:p>
    <w:p>
      <w:pPr>
        <w:numPr>
          <w:ilvl w:val="0"/>
          <w:numId w:val="1010"/>
        </w:numPr>
        <w:pStyle w:val="Compact"/>
      </w:pPr>
      <w:r>
        <w:t xml:space="preserve">de-escalation and trauma-awareness training;</w:t>
      </w:r>
    </w:p>
    <w:p>
      <w:pPr>
        <w:numPr>
          <w:ilvl w:val="0"/>
          <w:numId w:val="1010"/>
        </w:numPr>
        <w:pStyle w:val="Compact"/>
      </w:pPr>
      <w:r>
        <w:t xml:space="preserve">disability inclusion training;</w:t>
      </w:r>
    </w:p>
    <w:p>
      <w:pPr>
        <w:numPr>
          <w:ilvl w:val="0"/>
          <w:numId w:val="1010"/>
        </w:numPr>
        <w:pStyle w:val="Compact"/>
      </w:pPr>
      <w:r>
        <w:t xml:space="preserve">tuition assistance;</w:t>
      </w:r>
    </w:p>
    <w:p>
      <w:pPr>
        <w:numPr>
          <w:ilvl w:val="0"/>
          <w:numId w:val="1010"/>
        </w:numPr>
        <w:pStyle w:val="Compact"/>
      </w:pPr>
      <w:r>
        <w:t xml:space="preserve">certification or course reimbursement;</w:t>
      </w:r>
    </w:p>
    <w:p>
      <w:pPr>
        <w:numPr>
          <w:ilvl w:val="0"/>
          <w:numId w:val="1010"/>
        </w:numPr>
        <w:pStyle w:val="Compact"/>
      </w:pPr>
      <w:r>
        <w:t xml:space="preserve">language-learning support;</w:t>
      </w:r>
    </w:p>
    <w:p>
      <w:pPr>
        <w:numPr>
          <w:ilvl w:val="0"/>
          <w:numId w:val="1010"/>
        </w:numPr>
        <w:pStyle w:val="Compact"/>
      </w:pPr>
      <w:r>
        <w:t xml:space="preserve">cross-training in housing, disability, employment, family, aging, health, youth, or community services; and</w:t>
      </w:r>
    </w:p>
    <w:p>
      <w:pPr>
        <w:numPr>
          <w:ilvl w:val="0"/>
          <w:numId w:val="1010"/>
        </w:numPr>
        <w:pStyle w:val="Compact"/>
      </w:pPr>
      <w:r>
        <w:t xml:space="preserve">internal promotion pathways.</w:t>
      </w:r>
    </w:p>
    <w:p>
      <w:pPr>
        <w:pStyle w:val="FirstParagraph"/>
      </w:pPr>
      <w:r>
        <w:t xml:space="preserve">Get repayment obligations in writing before accepting employer-funded education.</w:t>
      </w:r>
    </w:p>
    <w:bookmarkEnd w:id="39"/>
    <w:bookmarkStart w:id="44" w:name="income-and-employment-outlook"/>
    <w:p>
      <w:pPr>
        <w:pStyle w:val="Heading2"/>
      </w:pPr>
      <w:r>
        <w:t xml:space="preserve">Income and employment outlook</w:t>
      </w:r>
    </w:p>
    <w:bookmarkStart w:id="40" w:name="X8ec201d839d5bbb20c0b5c87e0d18df33801b43"/>
    <w:p>
      <w:pPr>
        <w:pStyle w:val="Heading3"/>
      </w:pPr>
      <w:r>
        <w:t xml:space="preserve">United States — official occupational data</w:t>
      </w:r>
    </w:p>
    <w:p>
      <w:pPr>
        <w:pStyle w:val="FirstParagraph"/>
      </w:pPr>
      <w:r>
        <w:t xml:space="preserve">O*NET reports</w:t>
      </w:r>
      <w:r>
        <w:t xml:space="preserve"> </w:t>
      </w:r>
      <w:r>
        <w:rPr>
          <w:bCs/>
          <w:b/>
        </w:rPr>
        <w:t xml:space="preserve">2025 BLS wage data</w:t>
      </w:r>
      <w:r>
        <w:t xml:space="preserve"> </w:t>
      </w:r>
      <w:r>
        <w:t xml:space="preserve">for Social and Human Service Assistants, 21-1093.00:</w:t>
      </w:r>
    </w:p>
    <w:p>
      <w:pPr>
        <w:numPr>
          <w:ilvl w:val="0"/>
          <w:numId w:val="1011"/>
        </w:numPr>
        <w:pStyle w:val="Compact"/>
      </w:pPr>
      <w:r>
        <w:rPr>
          <w:bCs/>
          <w:b/>
        </w:rPr>
        <w:t xml:space="preserve">Median hourly wage: USD $22.08</w:t>
      </w:r>
    </w:p>
    <w:p>
      <w:pPr>
        <w:numPr>
          <w:ilvl w:val="0"/>
          <w:numId w:val="1011"/>
        </w:numPr>
        <w:pStyle w:val="Compact"/>
      </w:pPr>
      <w:r>
        <w:rPr>
          <w:bCs/>
          <w:b/>
        </w:rPr>
        <w:t xml:space="preserve">Median annual wage: USD $45,930</w:t>
      </w:r>
    </w:p>
    <w:p>
      <w:pPr>
        <w:pStyle w:val="FirstParagraph"/>
      </w:pPr>
      <w:r>
        <w:t xml:space="preserve">O*NET also reports approximately</w:t>
      </w:r>
      <w:r>
        <w:t xml:space="preserve"> </w:t>
      </w:r>
      <w:r>
        <w:rPr>
          <w:bCs/>
          <w:b/>
        </w:rPr>
        <w:t xml:space="preserve">449,600 workers in 2024</w:t>
      </w:r>
      <w:r>
        <w:t xml:space="preserve">, projected growth of</w:t>
      </w:r>
      <w:r>
        <w:t xml:space="preserve"> </w:t>
      </w:r>
      <w:r>
        <w:rPr>
          <w:bCs/>
          <w:b/>
        </w:rPr>
        <w:t xml:space="preserve">6% from 2024 to 2034</w:t>
      </w:r>
      <w:r>
        <w:t xml:space="preserve">, and approximately</w:t>
      </w:r>
      <w:r>
        <w:t xml:space="preserve"> </w:t>
      </w:r>
      <w:r>
        <w:rPr>
          <w:bCs/>
          <w:b/>
        </w:rPr>
        <w:t xml:space="preserve">50,600 openings per year</w:t>
      </w:r>
      <w:r>
        <w:t xml:space="preserve"> </w:t>
      </w:r>
      <w:r>
        <w:t xml:space="preserve">over the decade.</w:t>
      </w:r>
    </w:p>
    <w:p>
      <w:pPr>
        <w:pStyle w:val="BodyText"/>
      </w:pPr>
      <w:r>
        <w:t xml:space="preserve">These are national figures for the mapped occupation. They are not guaranteed starting wages and do not represent every job using the words</w:t>
      </w:r>
      <w:r>
        <w:t xml:space="preserve"> </w:t>
      </w:r>
      <w:r>
        <w:rPr>
          <w:iCs/>
          <w:i/>
        </w:rPr>
        <w:t xml:space="preserve">case management</w:t>
      </w:r>
      <w:r>
        <w:t xml:space="preserve"> </w:t>
      </w:r>
      <w:r>
        <w:t xml:space="preserve">or</w:t>
      </w:r>
      <w:r>
        <w:t xml:space="preserve"> </w:t>
      </w:r>
      <w:r>
        <w:rPr>
          <w:iCs/>
          <w:i/>
        </w:rPr>
        <w:t xml:space="preserve">navigator</w:t>
      </w:r>
      <w:r>
        <w:t xml:space="preserve">.</w:t>
      </w:r>
    </w:p>
    <w:bookmarkEnd w:id="40"/>
    <w:bookmarkStart w:id="41" w:name="X161e90494ee4dc31018a87f3a9539c687387688"/>
    <w:p>
      <w:pPr>
        <w:pStyle w:val="Heading3"/>
      </w:pPr>
      <w:r>
        <w:t xml:space="preserve">United States — current private title estimate</w:t>
      </w:r>
    </w:p>
    <w:p>
      <w:pPr>
        <w:pStyle w:val="FirstParagraph"/>
      </w:pPr>
      <w:r>
        <w:t xml:space="preserve">Indeed reported an average base salary of approximately</w:t>
      </w:r>
      <w:r>
        <w:t xml:space="preserve"> </w:t>
      </w:r>
      <w:r>
        <w:rPr>
          <w:bCs/>
          <w:b/>
        </w:rPr>
        <w:t xml:space="preserve">USD $62,739/year</w:t>
      </w:r>
      <w:r>
        <w:t xml:space="preserve"> </w:t>
      </w:r>
      <w:r>
        <w:t xml:space="preserve">for the broad title</w:t>
      </w:r>
      <w:r>
        <w:t xml:space="preserve"> </w:t>
      </w:r>
      <w:r>
        <w:rPr>
          <w:iCs/>
          <w:i/>
        </w:rPr>
        <w:t xml:space="preserve">Navigator</w:t>
      </w:r>
      <w:r>
        <w:t xml:space="preserve">, based on roughly 1.7k salary observations from job postings over the preceding 36 months and updated</w:t>
      </w:r>
      <w:r>
        <w:t xml:space="preserve"> </w:t>
      </w:r>
      <w:r>
        <w:rPr>
          <w:bCs/>
          <w:b/>
        </w:rPr>
        <w:t xml:space="preserve">August 2, 2026</w:t>
      </w:r>
      <w:r>
        <w:t xml:space="preserve">.</w:t>
      </w:r>
    </w:p>
    <w:p>
      <w:pPr>
        <w:pStyle w:val="BodyText"/>
      </w:pPr>
      <w:r>
        <w:t xml:space="preserve">This is a</w:t>
      </w:r>
      <w:r>
        <w:t xml:space="preserve"> </w:t>
      </w:r>
      <w:r>
        <w:rPr>
          <w:bCs/>
          <w:b/>
        </w:rPr>
        <w:t xml:space="preserve">non-government, broad title-based estimate</w:t>
      </w:r>
      <w:r>
        <w:t xml:space="preserve"> </w:t>
      </w:r>
      <w:r>
        <w:t xml:space="preserve">and includes unrelated clinical, employment, education, transportation, and other navigation roles. It must not be treated as the official wage for Guide 60 or blended with O*NET/BLS as if the datasets were equivalent.</w:t>
      </w:r>
    </w:p>
    <w:p>
      <w:pPr>
        <w:pStyle w:val="BodyText"/>
      </w:pPr>
      <w:r>
        <w:t xml:space="preserve">Salary.com currently reports materially higher estimates for</w:t>
      </w:r>
      <w:r>
        <w:t xml:space="preserve"> </w:t>
      </w:r>
      <w:r>
        <w:rPr>
          <w:iCs/>
          <w:i/>
        </w:rPr>
        <w:t xml:space="preserve">Case Manager Assistant</w:t>
      </w:r>
      <w:r>
        <w:t xml:space="preserve"> </w:t>
      </w:r>
      <w:r>
        <w:t xml:space="preserve">and</w:t>
      </w:r>
      <w:r>
        <w:t xml:space="preserve"> </w:t>
      </w:r>
      <w:r>
        <w:rPr>
          <w:iCs/>
          <w:i/>
        </w:rPr>
        <w:t xml:space="preserve">Case Management Assistant</w:t>
      </w:r>
      <w:r>
        <w:t xml:space="preserve">. Those figures appear to include higher-paid and potentially clinical/hospital roles and should not be used as the default benchmark for this support-level guide without a specific job-level comparison.</w:t>
      </w:r>
    </w:p>
    <w:bookmarkEnd w:id="41"/>
    <w:bookmarkStart w:id="42" w:name="canada--official-data"/>
    <w:p>
      <w:pPr>
        <w:pStyle w:val="Heading3"/>
      </w:pPr>
      <w:r>
        <w:t xml:space="preserve">Canada — official data</w:t>
      </w:r>
    </w:p>
    <w:p>
      <w:pPr>
        <w:pStyle w:val="FirstParagraph"/>
      </w:pPr>
      <w:r>
        <w:t xml:space="preserve">Government of Canada Job Bank reports national wages for NOC 42201, updated</w:t>
      </w:r>
      <w:r>
        <w:t xml:space="preserve"> </w:t>
      </w:r>
      <w:r>
        <w:rPr>
          <w:bCs/>
          <w:b/>
        </w:rPr>
        <w:t xml:space="preserve">November 19, 2025</w:t>
      </w:r>
      <w:r>
        <w:t xml:space="preserve">, of approximately:</w:t>
      </w:r>
    </w:p>
    <w:p>
      <w:pPr>
        <w:numPr>
          <w:ilvl w:val="0"/>
          <w:numId w:val="1012"/>
        </w:numPr>
        <w:pStyle w:val="Compact"/>
      </w:pPr>
      <w:r>
        <w:rPr>
          <w:bCs/>
          <w:b/>
        </w:rPr>
        <w:t xml:space="preserve">CAD $19.00/hour low</w:t>
      </w:r>
    </w:p>
    <w:p>
      <w:pPr>
        <w:numPr>
          <w:ilvl w:val="0"/>
          <w:numId w:val="1012"/>
        </w:numPr>
        <w:pStyle w:val="Compact"/>
      </w:pPr>
      <w:r>
        <w:rPr>
          <w:bCs/>
          <w:b/>
        </w:rPr>
        <w:t xml:space="preserve">CAD $26.00/hour median</w:t>
      </w:r>
    </w:p>
    <w:p>
      <w:pPr>
        <w:numPr>
          <w:ilvl w:val="0"/>
          <w:numId w:val="1012"/>
        </w:numPr>
        <w:pStyle w:val="Compact"/>
      </w:pPr>
      <w:r>
        <w:rPr>
          <w:bCs/>
          <w:b/>
        </w:rPr>
        <w:t xml:space="preserve">CAD $36.06/hour high</w:t>
      </w:r>
    </w:p>
    <w:p>
      <w:pPr>
        <w:pStyle w:val="FirstParagraph"/>
      </w:pPr>
      <w:r>
        <w:t xml:space="preserve">The underlying national wage reference period is 2023–2024 Labour Force Survey data. Provincial and regional wages vary materially.</w:t>
      </w:r>
    </w:p>
    <w:bookmarkEnd w:id="42"/>
    <w:bookmarkStart w:id="43" w:name="colombia-1"/>
    <w:p>
      <w:pPr>
        <w:pStyle w:val="Heading3"/>
      </w:pPr>
      <w:r>
        <w:t xml:space="preserve">Colombia</w:t>
      </w:r>
    </w:p>
    <w:p>
      <w:pPr>
        <w:pStyle w:val="FirstParagraph"/>
      </w:pPr>
      <w:r>
        <w:t xml:space="preserve">A directly comparable current national official wage series that maps cleanly to Guide 60 was not identified in the controlled research pass. Do not invent a national salary figure.</w:t>
      </w:r>
    </w:p>
    <w:p>
      <w:pPr>
        <w:pStyle w:val="BodyText"/>
      </w:pPr>
      <w:r>
        <w:t xml:space="preserve">Use current SENA Agencia Pública de Empleo and other verified local postings to evaluate compensation, schedule, contract type, duties, and qualification expectations in the relevant city or department.</w:t>
      </w:r>
    </w:p>
    <w:bookmarkEnd w:id="43"/>
    <w:bookmarkEnd w:id="44"/>
    <w:bookmarkStart w:id="45" w:name="a-practical-12-week-start-plan"/>
    <w:p>
      <w:pPr>
        <w:pStyle w:val="Heading2"/>
      </w:pPr>
      <w:r>
        <w:t xml:space="preserve">A practical 12-week start plan</w:t>
      </w:r>
    </w:p>
    <w:p>
      <w:pPr>
        <w:pStyle w:val="FirstParagraph"/>
      </w:pPr>
      <w:r>
        <w:rPr>
          <w:bCs/>
          <w:b/>
        </w:rPr>
        <w:t xml:space="preserve">Weeks 1–2:</w:t>
      </w:r>
      <w:r>
        <w:t xml:space="preserve"> </w:t>
      </w:r>
      <w:r>
        <w:t xml:space="preserve">Review 15–20 local postings. Record exact titles, education, background checks, driving requirements, software, client populations, schedules, and credential requirements.</w:t>
      </w:r>
    </w:p>
    <w:p>
      <w:pPr>
        <w:pStyle w:val="BodyText"/>
      </w:pPr>
      <w:r>
        <w:rPr>
          <w:bCs/>
          <w:b/>
        </w:rPr>
        <w:t xml:space="preserve">Weeks 3–4:</w:t>
      </w:r>
      <w:r>
        <w:t xml:space="preserve"> </w:t>
      </w:r>
      <w:r>
        <w:t xml:space="preserve">Build a verified local resource map covering housing, food, transportation, employment, disability, aging, youth, family, health, behavioral health, legal aid, benefits assistance, and crisis services. Record what each organization actually does and how referrals work.</w:t>
      </w:r>
    </w:p>
    <w:p>
      <w:pPr>
        <w:pStyle w:val="BodyText"/>
      </w:pPr>
      <w:r>
        <w:rPr>
          <w:bCs/>
          <w:b/>
        </w:rPr>
        <w:t xml:space="preserve">Weeks 5–6:</w:t>
      </w:r>
      <w:r>
        <w:t xml:space="preserve"> </w:t>
      </w:r>
      <w:r>
        <w:t xml:space="preserve">Practice plain-language explanations, accurate note writing, objective documentation, professional boundaries, privacy, consent, and referral tracking using fictional scenarios.</w:t>
      </w:r>
    </w:p>
    <w:p>
      <w:pPr>
        <w:pStyle w:val="BodyText"/>
      </w:pPr>
      <w:r>
        <w:rPr>
          <w:bCs/>
          <w:b/>
        </w:rPr>
        <w:t xml:space="preserve">Weeks 7–8:</w:t>
      </w:r>
      <w:r>
        <w:t xml:space="preserve"> </w:t>
      </w:r>
      <w:r>
        <w:t xml:space="preserve">Complete available public or employer-recognized training in safeguarding, trauma awareness, de-escalation, disability inclusion, digital privacy, case documentation, or community-resource navigation where appropriate.</w:t>
      </w:r>
    </w:p>
    <w:p>
      <w:pPr>
        <w:pStyle w:val="BodyText"/>
      </w:pPr>
      <w:r>
        <w:rPr>
          <w:bCs/>
          <w:b/>
        </w:rPr>
        <w:t xml:space="preserve">Weeks 9–10:</w:t>
      </w:r>
      <w:r>
        <w:t xml:space="preserve"> </w:t>
      </w:r>
      <w:r>
        <w:t xml:space="preserve">Build supervised experience through volunteering, community programs, healthcare administration, disability services, housing programs, workforce programs, shelters, youth services, senior services, or other relevant environments.</w:t>
      </w:r>
    </w:p>
    <w:p>
      <w:pPr>
        <w:pStyle w:val="BodyText"/>
      </w:pPr>
      <w:r>
        <w:rPr>
          <w:bCs/>
          <w:b/>
        </w:rPr>
        <w:t xml:space="preserve">Weeks 11–12:</w:t>
      </w:r>
      <w:r>
        <w:t xml:space="preserve"> </w:t>
      </w:r>
      <w:r>
        <w:t xml:space="preserve">Apply to support-level roles that match your actual education and experience. Prepare examples showing reliability, documentation, resource research, client communication, privacy awareness, follow-through, and appropriate escalation.</w:t>
      </w:r>
    </w:p>
    <w:bookmarkEnd w:id="45"/>
    <w:bookmarkStart w:id="46"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13"/>
        </w:numPr>
        <w:pStyle w:val="Compact"/>
      </w:pPr>
      <w:r>
        <w:t xml:space="preserve">community volunteering;</w:t>
      </w:r>
    </w:p>
    <w:p>
      <w:pPr>
        <w:numPr>
          <w:ilvl w:val="0"/>
          <w:numId w:val="1013"/>
        </w:numPr>
        <w:pStyle w:val="Compact"/>
      </w:pPr>
      <w:r>
        <w:t xml:space="preserve">customer service;</w:t>
      </w:r>
    </w:p>
    <w:p>
      <w:pPr>
        <w:numPr>
          <w:ilvl w:val="0"/>
          <w:numId w:val="1013"/>
        </w:numPr>
        <w:pStyle w:val="Compact"/>
      </w:pPr>
      <w:r>
        <w:t xml:space="preserve">reception and scheduling;</w:t>
      </w:r>
    </w:p>
    <w:p>
      <w:pPr>
        <w:numPr>
          <w:ilvl w:val="0"/>
          <w:numId w:val="1013"/>
        </w:numPr>
        <w:pStyle w:val="Compact"/>
      </w:pPr>
      <w:r>
        <w:t xml:space="preserve">healthcare administration;</w:t>
      </w:r>
    </w:p>
    <w:p>
      <w:pPr>
        <w:numPr>
          <w:ilvl w:val="0"/>
          <w:numId w:val="1013"/>
        </w:numPr>
        <w:pStyle w:val="Compact"/>
      </w:pPr>
      <w:r>
        <w:t xml:space="preserve">disability-service programs;</w:t>
      </w:r>
    </w:p>
    <w:p>
      <w:pPr>
        <w:numPr>
          <w:ilvl w:val="0"/>
          <w:numId w:val="1013"/>
        </w:numPr>
        <w:pStyle w:val="Compact"/>
      </w:pPr>
      <w:r>
        <w:t xml:space="preserve">housing or shelter support;</w:t>
      </w:r>
    </w:p>
    <w:p>
      <w:pPr>
        <w:numPr>
          <w:ilvl w:val="0"/>
          <w:numId w:val="1013"/>
        </w:numPr>
        <w:pStyle w:val="Compact"/>
      </w:pPr>
      <w:r>
        <w:t xml:space="preserve">food banks or resource centers;</w:t>
      </w:r>
    </w:p>
    <w:p>
      <w:pPr>
        <w:numPr>
          <w:ilvl w:val="0"/>
          <w:numId w:val="1013"/>
        </w:numPr>
        <w:pStyle w:val="Compact"/>
      </w:pPr>
      <w:r>
        <w:t xml:space="preserve">workforce and employment programs;</w:t>
      </w:r>
    </w:p>
    <w:p>
      <w:pPr>
        <w:numPr>
          <w:ilvl w:val="0"/>
          <w:numId w:val="1013"/>
        </w:numPr>
        <w:pStyle w:val="Compact"/>
      </w:pPr>
      <w:r>
        <w:t xml:space="preserve">senior services;</w:t>
      </w:r>
    </w:p>
    <w:p>
      <w:pPr>
        <w:numPr>
          <w:ilvl w:val="0"/>
          <w:numId w:val="1013"/>
        </w:numPr>
        <w:pStyle w:val="Compact"/>
      </w:pPr>
      <w:r>
        <w:t xml:space="preserve">youth programs;</w:t>
      </w:r>
    </w:p>
    <w:p>
      <w:pPr>
        <w:numPr>
          <w:ilvl w:val="0"/>
          <w:numId w:val="1013"/>
        </w:numPr>
        <w:pStyle w:val="Compact"/>
      </w:pPr>
      <w:r>
        <w:t xml:space="preserve">caregiving;</w:t>
      </w:r>
    </w:p>
    <w:p>
      <w:pPr>
        <w:numPr>
          <w:ilvl w:val="0"/>
          <w:numId w:val="1013"/>
        </w:numPr>
        <w:pStyle w:val="Compact"/>
      </w:pPr>
      <w:r>
        <w:t xml:space="preserve">school support;</w:t>
      </w:r>
    </w:p>
    <w:p>
      <w:pPr>
        <w:numPr>
          <w:ilvl w:val="0"/>
          <w:numId w:val="1013"/>
        </w:numPr>
        <w:pStyle w:val="Compact"/>
      </w:pPr>
      <w:r>
        <w:t xml:space="preserve">nonprofit or faith-based community organizations; or</w:t>
      </w:r>
    </w:p>
    <w:p>
      <w:pPr>
        <w:numPr>
          <w:ilvl w:val="0"/>
          <w:numId w:val="1013"/>
        </w:numPr>
        <w:pStyle w:val="Compact"/>
      </w:pPr>
      <w:r>
        <w:t xml:space="preserve">administrative support involving confidential records.</w:t>
      </w:r>
    </w:p>
    <w:p>
      <w:pPr>
        <w:pStyle w:val="FirstParagraph"/>
      </w:pPr>
      <w:r>
        <w:t xml:space="preserve">Describe experience precisely. Useful evidence includes accurate records, successful referrals, high follow-through rates, reliable attendance, appointment coordination, service-directory research, language support, documentation quality, and appropriate escalation under supervision.</w:t>
      </w:r>
    </w:p>
    <w:p>
      <w:pPr>
        <w:pStyle w:val="BodyText"/>
      </w:pPr>
      <w:r>
        <w:t xml:space="preserve">Do not claim clinical case management, social-work licensure, nursing case management, certified case-management status, benefits-adjudication authority, crisis-command authority, or legal expertise you do not have.</w:t>
      </w:r>
    </w:p>
    <w:bookmarkEnd w:id="46"/>
    <w:bookmarkStart w:id="47" w:name="career-progression"/>
    <w:p>
      <w:pPr>
        <w:pStyle w:val="Heading2"/>
      </w:pPr>
      <w:r>
        <w:t xml:space="preserve">Career progression</w:t>
      </w:r>
    </w:p>
    <w:p>
      <w:pPr>
        <w:pStyle w:val="FirstParagraph"/>
      </w:pPr>
      <w:r>
        <w:t xml:space="preserve">Possible next steps may include senior case-management assistant, resource navigator, community navigator, housing navigator, benefits navigator, family-support worker, outreach worker, social-services assistant, intake specialist, community-support worker, program coordinator, referral coordinator, or related service-navigation roles.</w:t>
      </w:r>
    </w:p>
    <w:p>
      <w:pPr>
        <w:pStyle w:val="BodyText"/>
      </w:pPr>
      <w:r>
        <w:t xml:space="preserve">With additional education and jurisdiction-specific credentials, some people later move toward professional social work, counseling, rehabilitation, nursing case management, healthcare navigation, public administration, community development, disability services, or other regulated professions.</w:t>
      </w:r>
    </w:p>
    <w:p>
      <w:pPr>
        <w:pStyle w:val="BodyText"/>
      </w:pPr>
      <w:r>
        <w:t xml:space="preserve">Do not assume experience alone grants a protected professional title or certification. Check legal, educational, licensing, registration, and certification requirements before representing yourself under a new title.</w:t>
      </w:r>
    </w:p>
    <w:bookmarkEnd w:id="47"/>
    <w:bookmarkStart w:id="48" w:name="using-ai-responsibly-in-this-work"/>
    <w:p>
      <w:pPr>
        <w:pStyle w:val="Heading2"/>
      </w:pPr>
      <w:r>
        <w:t xml:space="preserve">Using AI responsibly in this work</w:t>
      </w:r>
    </w:p>
    <w:p>
      <w:pPr>
        <w:pStyle w:val="FirstParagraph"/>
      </w:pPr>
      <w:r>
        <w:t xml:space="preserve">AI can be useful for:</w:t>
      </w:r>
    </w:p>
    <w:p>
      <w:pPr>
        <w:numPr>
          <w:ilvl w:val="0"/>
          <w:numId w:val="1014"/>
        </w:numPr>
        <w:pStyle w:val="Compact"/>
      </w:pPr>
      <w:r>
        <w:t xml:space="preserve">practicing interview questions;</w:t>
      </w:r>
    </w:p>
    <w:p>
      <w:pPr>
        <w:numPr>
          <w:ilvl w:val="0"/>
          <w:numId w:val="1014"/>
        </w:numPr>
        <w:pStyle w:val="Compact"/>
      </w:pPr>
      <w:r>
        <w:t xml:space="preserve">explaining general non-sensitive terminology;</w:t>
      </w:r>
    </w:p>
    <w:p>
      <w:pPr>
        <w:numPr>
          <w:ilvl w:val="0"/>
          <w:numId w:val="1014"/>
        </w:numPr>
        <w:pStyle w:val="Compact"/>
      </w:pPr>
      <w:r>
        <w:t xml:space="preserve">drafting generic study notes;</w:t>
      </w:r>
    </w:p>
    <w:p>
      <w:pPr>
        <w:numPr>
          <w:ilvl w:val="0"/>
          <w:numId w:val="1014"/>
        </w:numPr>
        <w:pStyle w:val="Compact"/>
      </w:pPr>
      <w:r>
        <w:t xml:space="preserve">creating fictional role-play scenarios;</w:t>
      </w:r>
    </w:p>
    <w:p>
      <w:pPr>
        <w:numPr>
          <w:ilvl w:val="0"/>
          <w:numId w:val="1014"/>
        </w:numPr>
        <w:pStyle w:val="Compact"/>
      </w:pPr>
      <w:r>
        <w:t xml:space="preserve">organizing a generic resource checklist; or</w:t>
      </w:r>
    </w:p>
    <w:p>
      <w:pPr>
        <w:numPr>
          <w:ilvl w:val="0"/>
          <w:numId w:val="1014"/>
        </w:numPr>
        <w:pStyle w:val="Compact"/>
      </w:pPr>
      <w:r>
        <w:t xml:space="preserve">suggesting categories to verify in a resource directory.</w:t>
      </w:r>
    </w:p>
    <w:p>
      <w:pPr>
        <w:pStyle w:val="FirstParagraph"/>
      </w:pPr>
      <w:r>
        <w:t xml:space="preserve">AI must</w:t>
      </w:r>
      <w:r>
        <w:t xml:space="preserve"> </w:t>
      </w:r>
      <w:r>
        <w:rPr>
          <w:bCs/>
          <w:b/>
        </w:rPr>
        <w:t xml:space="preserve">not</w:t>
      </w:r>
      <w:r>
        <w:t xml:space="preserve"> </w:t>
      </w:r>
      <w:r>
        <w:t xml:space="preserve">replace professional judgment, crisis assessment, benefits-eligibility decisions, legal advice, clinical diagnosis, safeguarding decisions, mandated-reporting decisions, or employer-approved case-management procedures.</w:t>
      </w:r>
    </w:p>
    <w:p>
      <w:pPr>
        <w:pStyle w:val="BodyText"/>
      </w:pPr>
      <w:r>
        <w:t xml:space="preserve">Do not paste identifiable client records, names, addresses, dates of birth, medical or mental-health information, disability information, immigration details, benefits records, family information, credentials, case notes, or other protected data into public AI tools unless your organization has explicitly approved that use and required privacy/security controls are in place.</w:t>
      </w:r>
    </w:p>
    <w:p>
      <w:pPr>
        <w:pStyle w:val="BodyText"/>
      </w:pPr>
      <w:r>
        <w:t xml:space="preserve">Verify AI-generated resource information, phone numbers, eligibility criteria, policy summaries, legal statements, or referral instructions before relying on them. Community resources and program rules change.</w:t>
      </w:r>
    </w:p>
    <w:bookmarkEnd w:id="48"/>
    <w:bookmarkStart w:id="49" w:name="cybersecurity-and-privacy-basics"/>
    <w:p>
      <w:pPr>
        <w:pStyle w:val="Heading2"/>
      </w:pPr>
      <w:r>
        <w:t xml:space="preserve">Cybersecurity and privacy basics</w:t>
      </w:r>
    </w:p>
    <w:p>
      <w:pPr>
        <w:pStyle w:val="FirstParagraph"/>
      </w:pPr>
      <w:r>
        <w:t xml:space="preserve">Case-management and navigation organizations may use case-management platforms, electronic health records, benefits portals, housing systems, workforce systems, shared drives, email, messaging platforms, government portals, and mobile devices.</w:t>
      </w:r>
    </w:p>
    <w:p>
      <w:pPr>
        <w:pStyle w:val="BodyText"/>
      </w:pPr>
      <w:r>
        <w:t xml:space="preserve">Follow employer rules for:</w:t>
      </w:r>
    </w:p>
    <w:p>
      <w:pPr>
        <w:numPr>
          <w:ilvl w:val="0"/>
          <w:numId w:val="1015"/>
        </w:numPr>
        <w:pStyle w:val="Compact"/>
      </w:pPr>
      <w:r>
        <w:t xml:space="preserve">multifactor authentication;</w:t>
      </w:r>
    </w:p>
    <w:p>
      <w:pPr>
        <w:numPr>
          <w:ilvl w:val="0"/>
          <w:numId w:val="1015"/>
        </w:numPr>
        <w:pStyle w:val="Compact"/>
      </w:pPr>
      <w:r>
        <w:t xml:space="preserve">passwords and credential sharing;</w:t>
      </w:r>
    </w:p>
    <w:p>
      <w:pPr>
        <w:numPr>
          <w:ilvl w:val="0"/>
          <w:numId w:val="1015"/>
        </w:numPr>
        <w:pStyle w:val="Compact"/>
      </w:pPr>
      <w:r>
        <w:t xml:space="preserve">approved devices and applications;</w:t>
      </w:r>
    </w:p>
    <w:p>
      <w:pPr>
        <w:numPr>
          <w:ilvl w:val="0"/>
          <w:numId w:val="1015"/>
        </w:numPr>
        <w:pStyle w:val="Compact"/>
      </w:pPr>
      <w:r>
        <w:t xml:space="preserve">phishing and suspicious links;</w:t>
      </w:r>
    </w:p>
    <w:p>
      <w:pPr>
        <w:numPr>
          <w:ilvl w:val="0"/>
          <w:numId w:val="1015"/>
        </w:numPr>
        <w:pStyle w:val="Compact"/>
      </w:pPr>
      <w:r>
        <w:t xml:space="preserve">encrypted or approved file sharing;</w:t>
      </w:r>
    </w:p>
    <w:p>
      <w:pPr>
        <w:numPr>
          <w:ilvl w:val="0"/>
          <w:numId w:val="1015"/>
        </w:numPr>
        <w:pStyle w:val="Compact"/>
      </w:pPr>
      <w:r>
        <w:t xml:space="preserve">client identity verification;</w:t>
      </w:r>
    </w:p>
    <w:p>
      <w:pPr>
        <w:numPr>
          <w:ilvl w:val="0"/>
          <w:numId w:val="1015"/>
        </w:numPr>
        <w:pStyle w:val="Compact"/>
      </w:pPr>
      <w:r>
        <w:t xml:space="preserve">role-based access;</w:t>
      </w:r>
    </w:p>
    <w:p>
      <w:pPr>
        <w:numPr>
          <w:ilvl w:val="0"/>
          <w:numId w:val="1015"/>
        </w:numPr>
        <w:pStyle w:val="Compact"/>
      </w:pPr>
      <w:r>
        <w:t xml:space="preserve">printing and physical records;</w:t>
      </w:r>
    </w:p>
    <w:p>
      <w:pPr>
        <w:numPr>
          <w:ilvl w:val="0"/>
          <w:numId w:val="1015"/>
        </w:numPr>
        <w:pStyle w:val="Compact"/>
      </w:pPr>
      <w:r>
        <w:t xml:space="preserve">remote work;</w:t>
      </w:r>
    </w:p>
    <w:p>
      <w:pPr>
        <w:numPr>
          <w:ilvl w:val="0"/>
          <w:numId w:val="1015"/>
        </w:numPr>
        <w:pStyle w:val="Compact"/>
      </w:pPr>
      <w:r>
        <w:t xml:space="preserve">incident reporting; and</w:t>
      </w:r>
    </w:p>
    <w:p>
      <w:pPr>
        <w:numPr>
          <w:ilvl w:val="0"/>
          <w:numId w:val="1015"/>
        </w:numPr>
        <w:pStyle w:val="Compact"/>
      </w:pPr>
      <w:r>
        <w:t xml:space="preserve">disposal of sensitive information.</w:t>
      </w:r>
    </w:p>
    <w:p>
      <w:pPr>
        <w:pStyle w:val="FirstParagraph"/>
      </w:pPr>
      <w:r>
        <w:t xml:space="preserve">Be especially cautious with urgent requests to change banking details, redirect benefits, reset credentials, share records, alter a client address, or send sensitive documents through an unexpected channel. Verify through the approved process before acting.</w:t>
      </w:r>
    </w:p>
    <w:bookmarkEnd w:id="49"/>
    <w:bookmarkStart w:id="50" w:name="avoid-scams-and-weak-training-offers"/>
    <w:p>
      <w:pPr>
        <w:pStyle w:val="Heading2"/>
      </w:pPr>
      <w:r>
        <w:t xml:space="preserve">Avoid scams and weak training offers</w:t>
      </w:r>
    </w:p>
    <w:p>
      <w:pPr>
        <w:pStyle w:val="FirstParagraph"/>
      </w:pPr>
      <w:r>
        <w:t xml:space="preserve">Be cautious when a school, recruiter, or training seller:</w:t>
      </w:r>
    </w:p>
    <w:p>
      <w:pPr>
        <w:numPr>
          <w:ilvl w:val="0"/>
          <w:numId w:val="1016"/>
        </w:numPr>
        <w:pStyle w:val="Compact"/>
      </w:pPr>
      <w:r>
        <w:t xml:space="preserve">guarantees a job or a specific salary;</w:t>
      </w:r>
    </w:p>
    <w:p>
      <w:pPr>
        <w:numPr>
          <w:ilvl w:val="0"/>
          <w:numId w:val="1016"/>
        </w:numPr>
        <w:pStyle w:val="Compact"/>
      </w:pPr>
      <w:r>
        <w:t xml:space="preserve">claims a private certificate is legally mandatory without official evidence;</w:t>
      </w:r>
    </w:p>
    <w:p>
      <w:pPr>
        <w:numPr>
          <w:ilvl w:val="0"/>
          <w:numId w:val="1016"/>
        </w:numPr>
        <w:pStyle w:val="Compact"/>
      </w:pPr>
      <w:r>
        <w:t xml:space="preserve">implies that a short course grants licensed social-work, clinical, nursing, legal, or certified case-management authority;</w:t>
      </w:r>
    </w:p>
    <w:p>
      <w:pPr>
        <w:numPr>
          <w:ilvl w:val="0"/>
          <w:numId w:val="1016"/>
        </w:numPr>
        <w:pStyle w:val="Compact"/>
      </w:pPr>
      <w:r>
        <w:t xml:space="preserve">pressures you to pay immediately;</w:t>
      </w:r>
    </w:p>
    <w:p>
      <w:pPr>
        <w:numPr>
          <w:ilvl w:val="0"/>
          <w:numId w:val="1016"/>
        </w:numPr>
        <w:pStyle w:val="Compact"/>
      </w:pPr>
      <w:r>
        <w:t xml:space="preserve">hides total cost, financing terms, practicum obligations, or refund rules;</w:t>
      </w:r>
    </w:p>
    <w:p>
      <w:pPr>
        <w:numPr>
          <w:ilvl w:val="0"/>
          <w:numId w:val="1016"/>
        </w:numPr>
        <w:pStyle w:val="Compact"/>
      </w:pPr>
      <w:r>
        <w:t xml:space="preserve">cannot explain which employers recognize the program;</w:t>
      </w:r>
    </w:p>
    <w:p>
      <w:pPr>
        <w:numPr>
          <w:ilvl w:val="0"/>
          <w:numId w:val="1016"/>
        </w:numPr>
        <w:pStyle w:val="Compact"/>
      </w:pPr>
      <w:r>
        <w:t xml:space="preserve">asks you to pay for a job offer or equipment using gift cards or cryptocurrency;</w:t>
      </w:r>
    </w:p>
    <w:p>
      <w:pPr>
        <w:numPr>
          <w:ilvl w:val="0"/>
          <w:numId w:val="1016"/>
        </w:numPr>
        <w:pStyle w:val="Compact"/>
      </w:pPr>
      <w:r>
        <w:t xml:space="preserve">promises government benefits, licensure, registration, or certification it does not control; or</w:t>
      </w:r>
    </w:p>
    <w:p>
      <w:pPr>
        <w:numPr>
          <w:ilvl w:val="0"/>
          <w:numId w:val="1016"/>
        </w:numPr>
        <w:pStyle w:val="Compact"/>
      </w:pPr>
      <w:r>
        <w:t xml:space="preserve">asks for sensitive identity or banking information before you verify the organization.</w:t>
      </w:r>
    </w:p>
    <w:p>
      <w:pPr>
        <w:pStyle w:val="FirstParagraph"/>
      </w:pPr>
      <w:r>
        <w:t xml:space="preserve">Use official government, employer, regulator, public-college, public-workforce, or recognized vocational-training sources to verify claims.</w:t>
      </w:r>
    </w:p>
    <w:bookmarkEnd w:id="50"/>
    <w:bookmarkStart w:id="51" w:name="when-to-pause-before-spending-money"/>
    <w:p>
      <w:pPr>
        <w:pStyle w:val="Heading2"/>
      </w:pPr>
      <w:r>
        <w:t xml:space="preserve">When to pause before spending money</w:t>
      </w:r>
    </w:p>
    <w:p>
      <w:pPr>
        <w:pStyle w:val="FirstParagraph"/>
      </w:pPr>
      <w:r>
        <w:t xml:space="preserve">Pause or delay enrollment when:</w:t>
      </w:r>
    </w:p>
    <w:p>
      <w:pPr>
        <w:numPr>
          <w:ilvl w:val="0"/>
          <w:numId w:val="1017"/>
        </w:numPr>
        <w:pStyle w:val="Compact"/>
      </w:pPr>
      <w:r>
        <w:t xml:space="preserve">local employers do not request the credential;</w:t>
      </w:r>
    </w:p>
    <w:p>
      <w:pPr>
        <w:numPr>
          <w:ilvl w:val="0"/>
          <w:numId w:val="1017"/>
        </w:numPr>
        <w:pStyle w:val="Compact"/>
      </w:pPr>
      <w:r>
        <w:t xml:space="preserve">the provider will not disclose total cost and refund terms in writing;</w:t>
      </w:r>
    </w:p>
    <w:p>
      <w:pPr>
        <w:numPr>
          <w:ilvl w:val="0"/>
          <w:numId w:val="1017"/>
        </w:numPr>
        <w:pStyle w:val="Compact"/>
      </w:pPr>
      <w:r>
        <w:t xml:space="preserve">a public, employer-paid, workforce-funded, or lower-cost option may cover the same skill;</w:t>
      </w:r>
    </w:p>
    <w:p>
      <w:pPr>
        <w:numPr>
          <w:ilvl w:val="0"/>
          <w:numId w:val="1017"/>
        </w:numPr>
        <w:pStyle w:val="Compact"/>
      </w:pPr>
      <w:r>
        <w:t xml:space="preserve">you have not confirmed whether the target title is regulated or protected where you intend to work;</w:t>
      </w:r>
    </w:p>
    <w:p>
      <w:pPr>
        <w:numPr>
          <w:ilvl w:val="0"/>
          <w:numId w:val="1017"/>
        </w:numPr>
        <w:pStyle w:val="Compact"/>
      </w:pPr>
      <w:r>
        <w:t xml:space="preserve">you have not checked whether the program qualifies for funding you plan to use;</w:t>
      </w:r>
    </w:p>
    <w:p>
      <w:pPr>
        <w:numPr>
          <w:ilvl w:val="0"/>
          <w:numId w:val="1017"/>
        </w:numPr>
        <w:pStyle w:val="Compact"/>
      </w:pPr>
      <w:r>
        <w:t xml:space="preserve">the required unpaid placement or schedule is not realistic for you;</w:t>
      </w:r>
    </w:p>
    <w:p>
      <w:pPr>
        <w:numPr>
          <w:ilvl w:val="0"/>
          <w:numId w:val="1017"/>
        </w:numPr>
        <w:pStyle w:val="Compact"/>
      </w:pPr>
      <w:r>
        <w:t xml:space="preserve">the course markets professional authority that its credential does not legally provide; or</w:t>
      </w:r>
    </w:p>
    <w:p>
      <w:pPr>
        <w:numPr>
          <w:ilvl w:val="0"/>
          <w:numId w:val="1017"/>
        </w:numPr>
        <w:pStyle w:val="Compact"/>
      </w:pPr>
      <w:r>
        <w:t xml:space="preserve">financing would create debt you cannot comfortably repay.</w:t>
      </w:r>
    </w:p>
    <w:bookmarkEnd w:id="51"/>
    <w:bookmarkStart w:id="66" w:name="current-sources"/>
    <w:p>
      <w:pPr>
        <w:pStyle w:val="Heading2"/>
      </w:pPr>
      <w:r>
        <w:t xml:space="preserve">Current sources</w:t>
      </w:r>
    </w:p>
    <w:p>
      <w:pPr>
        <w:pStyle w:val="FirstParagraph"/>
      </w:pPr>
      <w:r>
        <w:t xml:space="preserve">Official/public sources:</w:t>
      </w:r>
    </w:p>
    <w:p>
      <w:pPr>
        <w:numPr>
          <w:ilvl w:val="0"/>
          <w:numId w:val="1018"/>
        </w:numPr>
        <w:pStyle w:val="Compact"/>
      </w:pPr>
      <w:r>
        <w:t xml:space="preserve">O*NET OnLine — Social and Human Service Assistants, 21-1093.00:</w:t>
      </w:r>
      <w:r>
        <w:t xml:space="preserve"> </w:t>
      </w:r>
      <w:hyperlink r:id="rId52">
        <w:hyperlink r:id="rId52">
          <w:r>
            <w:rPr>
              <w:rStyle w:val="Hyperlink"/>
            </w:rPr>
            <w:t xml:space="preserve">Source link</w:t>
          </w:r>
        </w:hyperlink>
      </w:hyperlink>
    </w:p>
    <w:p>
      <w:pPr>
        <w:numPr>
          <w:ilvl w:val="0"/>
          <w:numId w:val="1018"/>
        </w:numPr>
        <w:pStyle w:val="Compact"/>
      </w:pPr>
      <w:r>
        <w:t xml:space="preserve">O*NET OnLine — National wages, 21-1093.00:</w:t>
      </w:r>
      <w:r>
        <w:t xml:space="preserve"> </w:t>
      </w:r>
      <w:hyperlink r:id="rId53">
        <w:hyperlink r:id="rId53">
          <w:r>
            <w:rPr>
              <w:rStyle w:val="Hyperlink"/>
            </w:rPr>
            <w:t xml:space="preserve">Source link</w:t>
          </w:r>
        </w:hyperlink>
      </w:hyperlink>
    </w:p>
    <w:p>
      <w:pPr>
        <w:numPr>
          <w:ilvl w:val="0"/>
          <w:numId w:val="1018"/>
        </w:numPr>
        <w:pStyle w:val="Compact"/>
      </w:pPr>
      <w:r>
        <w:t xml:space="preserve">U.S. Bureau of Labor Statistics — Social and Human Service Assistants:</w:t>
      </w:r>
      <w:r>
        <w:t xml:space="preserve"> </w:t>
      </w:r>
      <w:hyperlink r:id="rId54">
        <w:hyperlink r:id="rId54">
          <w:r>
            <w:rPr>
              <w:rStyle w:val="Hyperlink"/>
            </w:rPr>
            <w:t xml:space="preserve">Source link</w:t>
          </w:r>
        </w:hyperlink>
      </w:hyperlink>
    </w:p>
    <w:p>
      <w:pPr>
        <w:numPr>
          <w:ilvl w:val="0"/>
          <w:numId w:val="1018"/>
        </w:numPr>
        <w:pStyle w:val="Compact"/>
      </w:pPr>
      <w:r>
        <w:t xml:space="preserve">CareerOneStop — WIOA-Eligible Training Program Finder:</w:t>
      </w:r>
      <w:r>
        <w:t xml:space="preserve"> </w:t>
      </w:r>
      <w:hyperlink r:id="rId55">
        <w:hyperlink r:id="rId55">
          <w:r>
            <w:rPr>
              <w:rStyle w:val="Hyperlink"/>
            </w:rPr>
            <w:t xml:space="preserve">Source link</w:t>
          </w:r>
        </w:hyperlink>
      </w:hyperlink>
    </w:p>
    <w:p>
      <w:pPr>
        <w:numPr>
          <w:ilvl w:val="0"/>
          <w:numId w:val="1018"/>
        </w:numPr>
        <w:pStyle w:val="Compact"/>
      </w:pPr>
      <w:r>
        <w:t xml:space="preserve">CareerOneStop — Find Training:</w:t>
      </w:r>
      <w:r>
        <w:t xml:space="preserve"> </w:t>
      </w:r>
      <w:hyperlink r:id="rId56">
        <w:hyperlink r:id="rId56">
          <w:r>
            <w:rPr>
              <w:rStyle w:val="Hyperlink"/>
            </w:rPr>
            <w:t xml:space="preserve">Source link</w:t>
          </w:r>
        </w:hyperlink>
      </w:hyperlink>
    </w:p>
    <w:p>
      <w:pPr>
        <w:numPr>
          <w:ilvl w:val="0"/>
          <w:numId w:val="1018"/>
        </w:numPr>
        <w:pStyle w:val="Compact"/>
      </w:pPr>
      <w:r>
        <w:t xml:space="preserve">Apprenticeship.gov:</w:t>
      </w:r>
      <w:r>
        <w:t xml:space="preserve"> </w:t>
      </w:r>
      <w:hyperlink r:id="rId57">
        <w:r>
          <w:rPr>
            <w:rStyle w:val="Hyperlink"/>
          </w:rPr>
          <w:t xml:space="preserve">https://www.apprenticeship.gov/</w:t>
        </w:r>
      </w:hyperlink>
    </w:p>
    <w:p>
      <w:pPr>
        <w:numPr>
          <w:ilvl w:val="0"/>
          <w:numId w:val="1018"/>
        </w:numPr>
        <w:pStyle w:val="Compact"/>
      </w:pPr>
      <w:r>
        <w:t xml:space="preserve">Government of Canada Job Bank — NOC 42201 national summary:</w:t>
      </w:r>
      <w:r>
        <w:t xml:space="preserve"> </w:t>
      </w:r>
      <w:hyperlink r:id="rId58">
        <w:hyperlink r:id="rId58">
          <w:r>
            <w:rPr>
              <w:rStyle w:val="Hyperlink"/>
            </w:rPr>
            <w:t xml:space="preserve">Source link</w:t>
          </w:r>
        </w:hyperlink>
      </w:hyperlink>
    </w:p>
    <w:p>
      <w:pPr>
        <w:numPr>
          <w:ilvl w:val="0"/>
          <w:numId w:val="1018"/>
        </w:numPr>
        <w:pStyle w:val="Compact"/>
      </w:pPr>
      <w:r>
        <w:t xml:space="preserve">Government of Canada Job Bank — NOC 42201 requirements:</w:t>
      </w:r>
      <w:r>
        <w:t xml:space="preserve"> </w:t>
      </w:r>
      <w:hyperlink r:id="rId59">
        <w:hyperlink r:id="rId59">
          <w:r>
            <w:rPr>
              <w:rStyle w:val="Hyperlink"/>
            </w:rPr>
            <w:t xml:space="preserve">Source link</w:t>
          </w:r>
        </w:hyperlink>
      </w:hyperlink>
    </w:p>
    <w:p>
      <w:pPr>
        <w:numPr>
          <w:ilvl w:val="0"/>
          <w:numId w:val="1018"/>
        </w:numPr>
        <w:pStyle w:val="Compact"/>
      </w:pPr>
      <w:r>
        <w:t xml:space="preserve">Government of Canada Job Bank — NOC 42201 wages:</w:t>
      </w:r>
      <w:r>
        <w:t xml:space="preserve"> </w:t>
      </w:r>
      <w:hyperlink r:id="rId60">
        <w:hyperlink r:id="rId60">
          <w:r>
            <w:rPr>
              <w:rStyle w:val="Hyperlink"/>
            </w:rPr>
            <w:t xml:space="preserve">Source link</w:t>
          </w:r>
        </w:hyperlink>
      </w:hyperlink>
    </w:p>
    <w:p>
      <w:pPr>
        <w:numPr>
          <w:ilvl w:val="0"/>
          <w:numId w:val="1018"/>
        </w:numPr>
        <w:pStyle w:val="Compact"/>
      </w:pPr>
      <w:r>
        <w:t xml:space="preserve">SENA Observatorio — CNO 4211 Asistentes en servicios social y comunitario:</w:t>
      </w:r>
      <w:r>
        <w:t xml:space="preserve"> </w:t>
      </w:r>
      <w:hyperlink r:id="rId61">
        <w:hyperlink r:id="rId61">
          <w:r>
            <w:rPr>
              <w:rStyle w:val="Hyperlink"/>
            </w:rPr>
            <w:t xml:space="preserve">Source link</w:t>
          </w:r>
        </w:hyperlink>
      </w:hyperlink>
    </w:p>
    <w:p>
      <w:pPr>
        <w:numPr>
          <w:ilvl w:val="0"/>
          <w:numId w:val="1018"/>
        </w:numPr>
        <w:pStyle w:val="Compact"/>
      </w:pPr>
      <w:r>
        <w:t xml:space="preserve">SENA APE — Gestor comunitario example:</w:t>
      </w:r>
      <w:r>
        <w:t xml:space="preserve"> </w:t>
      </w:r>
      <w:hyperlink r:id="rId62">
        <w:hyperlink r:id="rId62">
          <w:r>
            <w:rPr>
              <w:rStyle w:val="Hyperlink"/>
            </w:rPr>
            <w:t xml:space="preserve">Source link</w:t>
          </w:r>
        </w:hyperlink>
      </w:hyperlink>
    </w:p>
    <w:p>
      <w:pPr>
        <w:numPr>
          <w:ilvl w:val="0"/>
          <w:numId w:val="1018"/>
        </w:numPr>
        <w:pStyle w:val="Compact"/>
      </w:pPr>
      <w:r>
        <w:t xml:space="preserve">SENA Betowa — Desarrollo de habilidades para el bienestar familiar y comunitario:</w:t>
      </w:r>
      <w:r>
        <w:t xml:space="preserve"> </w:t>
      </w:r>
      <w:hyperlink r:id="rId63">
        <w:hyperlink r:id="rId63">
          <w:r>
            <w:rPr>
              <w:rStyle w:val="Hyperlink"/>
            </w:rPr>
            <w:t xml:space="preserve">Source link</w:t>
          </w:r>
        </w:hyperlink>
      </w:hyperlink>
    </w:p>
    <w:p>
      <w:pPr>
        <w:numPr>
          <w:ilvl w:val="0"/>
          <w:numId w:val="1018"/>
        </w:numPr>
        <w:pStyle w:val="Compact"/>
      </w:pPr>
      <w:r>
        <w:t xml:space="preserve">OIT/Cinterfor:</w:t>
      </w:r>
      <w:r>
        <w:t xml:space="preserve"> </w:t>
      </w:r>
      <w:hyperlink r:id="rId64">
        <w:r>
          <w:rPr>
            <w:rStyle w:val="Hyperlink"/>
          </w:rPr>
          <w:t xml:space="preserve">https://www.oitcinterfor.org/</w:t>
        </w:r>
      </w:hyperlink>
    </w:p>
    <w:p>
      <w:pPr>
        <w:pStyle w:val="FirstParagraph"/>
      </w:pPr>
      <w:r>
        <w:t xml:space="preserve">Supplementary non-government compensation source:</w:t>
      </w:r>
    </w:p>
    <w:p>
      <w:pPr>
        <w:numPr>
          <w:ilvl w:val="0"/>
          <w:numId w:val="1019"/>
        </w:numPr>
        <w:pStyle w:val="Compact"/>
      </w:pPr>
      <w:r>
        <w:t xml:space="preserve">Indeed — Navigator salary in the United States:</w:t>
      </w:r>
      <w:r>
        <w:t xml:space="preserve"> </w:t>
      </w:r>
      <w:hyperlink r:id="rId65">
        <w:hyperlink r:id="rId65">
          <w:r>
            <w:rPr>
              <w:rStyle w:val="Hyperlink"/>
            </w:rPr>
            <w:t xml:space="preserve">Source link</w:t>
          </w:r>
        </w:hyperlink>
      </w:hyperlink>
    </w:p>
    <w:bookmarkEnd w:id="66"/>
    <w:bookmarkStart w:id="67" w:name="source-and-review-note"/>
    <w:p>
      <w:pPr>
        <w:pStyle w:val="Heading2"/>
      </w:pPr>
      <w:r>
        <w:t xml:space="preserve">Source and review note</w:t>
      </w:r>
    </w:p>
    <w:p>
      <w:pPr>
        <w:pStyle w:val="FirstParagraph"/>
      </w:pPr>
      <w:r>
        <w:t xml:space="preserve">This guide uses current-source research recorded on August 20, 2026. Wages, public programs, training availability, eligibility rules, registration requirements, protected titles, service-provider information, and local job expectations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clinical review, licensed social-work review, financial advice, benefits-program approval, certification-body approval, or guaranteed employment outcomes.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pe.sena.edu.co/spe-web/spe/demanda/solicitud-sintesis/4111884" TargetMode="External" /><Relationship Type="http://schemas.openxmlformats.org/officeDocument/2006/relationships/hyperlink" Id="rId63" Target="https://betowa.sena.edu.co/oferta/desarrollo-de-habilidades-para-el-bienestar-familiar-y-comunitario?location=57011001&amp;modality=V&amp;offertype=open&amp;programId=144936" TargetMode="External" /><Relationship Type="http://schemas.openxmlformats.org/officeDocument/2006/relationships/hyperlink" Id="rId61" Target="https://observatorio.sena.edu.co/Comportamiento/CnoDetalleFunciones?tags=4211" TargetMode="External" /><Relationship Type="http://schemas.openxmlformats.org/officeDocument/2006/relationships/hyperlink" Id="rId57" Target="https://www.apprenticeship.gov/" TargetMode="External" /><Relationship Type="http://schemas.openxmlformats.org/officeDocument/2006/relationships/hyperlink" Id="rId54" Target="https://www.bls.gov/ooh/community-and-social-service/social-and-human-service-assistants.htm" TargetMode="External" /><Relationship Type="http://schemas.openxmlformats.org/officeDocument/2006/relationships/hyperlink" Id="rId56" Target="https://www.careeronestop.org/FindTraining/find-training.aspx" TargetMode="External" /><Relationship Type="http://schemas.openxmlformats.org/officeDocument/2006/relationships/hyperlink" Id="rId55" Target="https://www.careeronestop.org/LocalHelp/EmploymentAndTraining/find-WIOA-training-programs.aspx" TargetMode="External" /><Relationship Type="http://schemas.openxmlformats.org/officeDocument/2006/relationships/hyperlink" Id="rId65" Target="https://www.indeed.com/career/navigator/salaries" TargetMode="External" /><Relationship Type="http://schemas.openxmlformats.org/officeDocument/2006/relationships/hyperlink" Id="rId59" Target="https://www.jobbank.gc.ca/marketreport/requirements/5112/ca" TargetMode="External" /><Relationship Type="http://schemas.openxmlformats.org/officeDocument/2006/relationships/hyperlink" Id="rId58" Target="https://www.jobbank.gc.ca/marketreport/summary-occupation/5112/ca" TargetMode="External" /><Relationship Type="http://schemas.openxmlformats.org/officeDocument/2006/relationships/hyperlink" Id="rId60" Target="https://www.jobbank.gc.ca/wagereport/occupation/5121" TargetMode="External" /><Relationship Type="http://schemas.openxmlformats.org/officeDocument/2006/relationships/hyperlink" Id="rId64" Target="https://www.oitcinterfor.org/" TargetMode="External" /><Relationship Type="http://schemas.openxmlformats.org/officeDocument/2006/relationships/hyperlink" Id="rId53" Target="https://www.onetonline.org/link/localwages/21-1093.00" TargetMode="External" /><Relationship Type="http://schemas.openxmlformats.org/officeDocument/2006/relationships/hyperlink" Id="rId52" Target="https://www.onetonline.org/link/summary/21-1093.00" TargetMode="External" /></Relationships>
</file>

<file path=word/_rels/footnotes.xml.rels><?xml version="1.0" encoding="UTF-8"?><Relationships xmlns="http://schemas.openxmlformats.org/package/2006/relationships"><Relationship Type="http://schemas.openxmlformats.org/officeDocument/2006/relationships/hyperlink" Id="rId62" Target="https://ape.sena.edu.co/spe-web/spe/demanda/solicitud-sintesis/4111884" TargetMode="External" /><Relationship Type="http://schemas.openxmlformats.org/officeDocument/2006/relationships/hyperlink" Id="rId63" Target="https://betowa.sena.edu.co/oferta/desarrollo-de-habilidades-para-el-bienestar-familiar-y-comunitario?location=57011001&amp;modality=V&amp;offertype=open&amp;programId=144936" TargetMode="External" /><Relationship Type="http://schemas.openxmlformats.org/officeDocument/2006/relationships/hyperlink" Id="rId61" Target="https://observatorio.sena.edu.co/Comportamiento/CnoDetalleFunciones?tags=4211" TargetMode="External" /><Relationship Type="http://schemas.openxmlformats.org/officeDocument/2006/relationships/hyperlink" Id="rId57" Target="https://www.apprenticeship.gov/" TargetMode="External" /><Relationship Type="http://schemas.openxmlformats.org/officeDocument/2006/relationships/hyperlink" Id="rId54" Target="https://www.bls.gov/ooh/community-and-social-service/social-and-human-service-assistants.htm" TargetMode="External" /><Relationship Type="http://schemas.openxmlformats.org/officeDocument/2006/relationships/hyperlink" Id="rId56" Target="https://www.careeronestop.org/FindTraining/find-training.aspx" TargetMode="External" /><Relationship Type="http://schemas.openxmlformats.org/officeDocument/2006/relationships/hyperlink" Id="rId55" Target="https://www.careeronestop.org/LocalHelp/EmploymentAndTraining/find-WIOA-training-programs.aspx" TargetMode="External" /><Relationship Type="http://schemas.openxmlformats.org/officeDocument/2006/relationships/hyperlink" Id="rId65" Target="https://www.indeed.com/career/navigator/salaries" TargetMode="External" /><Relationship Type="http://schemas.openxmlformats.org/officeDocument/2006/relationships/hyperlink" Id="rId59" Target="https://www.jobbank.gc.ca/marketreport/requirements/5112/ca" TargetMode="External" /><Relationship Type="http://schemas.openxmlformats.org/officeDocument/2006/relationships/hyperlink" Id="rId58" Target="https://www.jobbank.gc.ca/marketreport/summary-occupation/5112/ca" TargetMode="External" /><Relationship Type="http://schemas.openxmlformats.org/officeDocument/2006/relationships/hyperlink" Id="rId60" Target="https://www.jobbank.gc.ca/wagereport/occupation/5121" TargetMode="External" /><Relationship Type="http://schemas.openxmlformats.org/officeDocument/2006/relationships/hyperlink" Id="rId64" Target="https://www.oitcinterfor.org/" TargetMode="External" /><Relationship Type="http://schemas.openxmlformats.org/officeDocument/2006/relationships/hyperlink" Id="rId53" Target="https://www.onetonline.org/link/localwages/21-1093.00" TargetMode="External" /><Relationship Type="http://schemas.openxmlformats.org/officeDocument/2006/relationships/hyperlink" Id="rId52" Target="https://www.onetonline.org/link/summary/21-109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2026-08-20T13:11:12Z</dcterms:created>
  <dcterms:modified xsi:type="dcterms:W3CDTF">2026-08-20T13:11:12Z</dcterms:modified>
</cp:coreProperties>
</file>

<file path=docProps/custom.xml><?xml version="1.0" encoding="utf-8"?>
<Properties xmlns="http://schemas.openxmlformats.org/officeDocument/2006/custom-properties" xmlns:vt="http://schemas.openxmlformats.org/officeDocument/2006/docPropsVTypes"/>
</file>