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8" w:name="X85240408163730decb21e5fa7e0de3915dbdd04"/>
    <w:p>
      <w:pPr>
        <w:pStyle w:val="Heading1"/>
      </w:pPr>
      <w:r>
        <w:t xml:space="preserve">Guia 60 — Assistente de Gestão de Casos e Navegador de Recursos</w:t>
      </w:r>
    </w:p>
    <w:p>
      <w:pPr>
        <w:pStyle w:val="FirstParagraph"/>
      </w:pPr>
      <w:r>
        <w:rPr>
          <w:bCs/>
          <w:b/>
        </w:rPr>
        <w:t xml:space="preserve">Mestre de trabalho controlado em português do Brasil — Versão 2.0</w:t>
      </w:r>
      <w:r>
        <w:br/>
      </w:r>
      <w:r>
        <w:rPr>
          <w:bCs/>
          <w:b/>
        </w:rPr>
        <w:t xml:space="preserve">Data de revisão:</w:t>
      </w:r>
      <w:r>
        <w:t xml:space="preserve"> </w:t>
      </w:r>
      <w:r>
        <w:t xml:space="preserve">20 de agosto de 2026</w:t>
      </w:r>
      <w:r>
        <w:br/>
      </w:r>
      <w:r>
        <w:rPr>
          <w:bCs/>
          <w:b/>
        </w:rPr>
        <w:t xml:space="preserve">Licença:</w:t>
      </w:r>
      <w:r>
        <w:t xml:space="preserve"> </w:t>
      </w:r>
      <w:r>
        <w:t xml:space="preserve">CC BY-NC-SA 4.0</w:t>
      </w:r>
    </w:p>
    <w:bookmarkStart w:id="20" w:name="o-que-é-este-trabalho"/>
    <w:p>
      <w:pPr>
        <w:pStyle w:val="Heading2"/>
      </w:pPr>
      <w:r>
        <w:t xml:space="preserve">O que é este trabalho</w:t>
      </w:r>
    </w:p>
    <w:p>
      <w:pPr>
        <w:pStyle w:val="FirstParagraph"/>
      </w:pPr>
      <w:r>
        <w:t xml:space="preserve">Assistentes de gestão de casos e navegadores de recursos ajudam pessoas a organizar necessidades de serviços, compreender processos rotineiros, localizar recursos comunitários, preencher documentação autorizada, coordenar consultas e encaminhamentos e acompanhar etapas de serviço acordadas. Podem trabalhar em organizações sem fins lucrativos, hospitais e clínicas, programas de saúde comportamental, organizações de moradia, serviços para pessoas com deficiência, programas para idosos, serviços familiares, abrigos, programas de emprego, agências comunitárias, programas governamentais, escolas, programas de reabilitação e outros ambientes de serviços humanos.</w:t>
      </w:r>
    </w:p>
    <w:p>
      <w:pPr>
        <w:pStyle w:val="BodyText"/>
      </w:pPr>
      <w:r>
        <w:t xml:space="preserve">Este guia se concentra em</w:t>
      </w:r>
      <w:r>
        <w:t xml:space="preserve"> </w:t>
      </w:r>
      <w:r>
        <w:rPr>
          <w:bCs/>
          <w:b/>
        </w:rPr>
        <w:t xml:space="preserve">apoio à gestão de casos e navegação de recursos em nível de suporte</w:t>
      </w:r>
      <w:r>
        <w:t xml:space="preserve">. Ele não trata um Assistente de Gestão de Casos ou Navegador de Recursos como automaticamente equivalente a assistente social licenciado, gestor clínico de casos, gestor de casos de enfermagem, terapeuta, advogado, responsável por decisão de benefícios, gestor de casos certificado, autoridade de salvaguarda ou profissional de resposta a emergências.</w:t>
      </w:r>
    </w:p>
    <w:p>
      <w:pPr>
        <w:pStyle w:val="BodyText"/>
      </w:pPr>
      <w:r>
        <w:t xml:space="preserve">Nos Estados Unidos, a família ocupacional federal mais próxima é</w:t>
      </w:r>
      <w:r>
        <w:t xml:space="preserve"> </w:t>
      </w:r>
      <w:r>
        <w:rPr>
          <w:bCs/>
          <w:b/>
        </w:rPr>
        <w:t xml:space="preserve">Social and Human Service Assistants, O*NET-SOC 21-1093.00</w:t>
      </w:r>
      <w:r>
        <w:t xml:space="preserve">. No Canadá, a comparação ampla mais próxima é</w:t>
      </w:r>
      <w:r>
        <w:t xml:space="preserve"> </w:t>
      </w:r>
      <w:r>
        <w:rPr>
          <w:bCs/>
          <w:b/>
        </w:rPr>
        <w:t xml:space="preserve">Social and community service workers, NOC 42201</w:t>
      </w:r>
      <w:r>
        <w:t xml:space="preserve">. Na Colômbia, a comparação ocupacional controlada mais próxima é</w:t>
      </w:r>
      <w:r>
        <w:t xml:space="preserve"> </w:t>
      </w:r>
      <w:r>
        <w:rPr>
          <w:bCs/>
          <w:b/>
        </w:rPr>
        <w:t xml:space="preserve">CNO 4211 — Asistentes en servicios social y comunitario</w:t>
      </w:r>
      <w:r>
        <w:t xml:space="preserve">.</w:t>
      </w:r>
    </w:p>
    <w:p>
      <w:pPr>
        <w:pStyle w:val="BodyText"/>
      </w:pPr>
      <w:r>
        <w:t xml:space="preserve">Títulos, funções, modelos de supervisão, regras de documentação, credenciais, títulos protegidos, obrigações de privacidade e responsabilidades em crises variam por empregador e jurisdição. Sempre revise a descrição real da vaga e as regras locais vigentes antes de aceitar um cargo ou pagar por treinamento.</w:t>
      </w:r>
    </w:p>
    <w:bookmarkEnd w:id="20"/>
    <w:bookmarkStart w:id="21" w:name="o-que-você-pode-fazer"/>
    <w:p>
      <w:pPr>
        <w:pStyle w:val="Heading2"/>
      </w:pPr>
      <w:r>
        <w:t xml:space="preserve">O que você pode fazer</w:t>
      </w:r>
    </w:p>
    <w:p>
      <w:pPr>
        <w:pStyle w:val="FirstParagraph"/>
      </w:pPr>
      <w:r>
        <w:t xml:space="preserve">Dependendo do empregador, ambiente, treinamento, supervisão e regras locais, as funções podem incluir:</w:t>
      </w:r>
    </w:p>
    <w:p>
      <w:pPr>
        <w:numPr>
          <w:ilvl w:val="0"/>
          <w:numId w:val="1001"/>
        </w:numPr>
        <w:pStyle w:val="Compact"/>
      </w:pPr>
      <w:r>
        <w:t xml:space="preserve">entrevistar clientes para coletar informações demográficas, de serviços e antecedentes de caráter rotineiro;</w:t>
      </w:r>
    </w:p>
    <w:p>
      <w:pPr>
        <w:numPr>
          <w:ilvl w:val="0"/>
          <w:numId w:val="1001"/>
        </w:numPr>
        <w:pStyle w:val="Compact"/>
      </w:pPr>
      <w:r>
        <w:t xml:space="preserve">identificar barreiras práticas relacionadas a moradia, transporte, alimentação, emprego, apoio à deficiência, solicitações de benefícios, serviços de saúde, serviços familiares ou outros recursos comunitários;</w:t>
      </w:r>
    </w:p>
    <w:p>
      <w:pPr>
        <w:numPr>
          <w:ilvl w:val="0"/>
          <w:numId w:val="1001"/>
        </w:numPr>
        <w:pStyle w:val="Compact"/>
      </w:pPr>
      <w:r>
        <w:t xml:space="preserve">explicar em linguagem simples etapas rotineiras de programas, consultas, documentos e procedimentos de encaminhamento;</w:t>
      </w:r>
    </w:p>
    <w:p>
      <w:pPr>
        <w:numPr>
          <w:ilvl w:val="0"/>
          <w:numId w:val="1001"/>
        </w:numPr>
        <w:pStyle w:val="Compact"/>
      </w:pPr>
      <w:r>
        <w:t xml:space="preserve">ajudar clientes a organizar documentos e preencher formulários sem tomar decisões reguladas de elegibilidade ou determinações jurídicas;</w:t>
      </w:r>
    </w:p>
    <w:p>
      <w:pPr>
        <w:numPr>
          <w:ilvl w:val="0"/>
          <w:numId w:val="1001"/>
        </w:numPr>
        <w:pStyle w:val="Compact"/>
      </w:pPr>
      <w:r>
        <w:t xml:space="preserve">pesquisar recursos públicos, sem fins lucrativos, de saúde, moradia, emprego, deficiência, envelhecimento, juventude, família ou crise que estejam atualizados;</w:t>
      </w:r>
    </w:p>
    <w:p>
      <w:pPr>
        <w:numPr>
          <w:ilvl w:val="0"/>
          <w:numId w:val="1001"/>
        </w:numPr>
        <w:pStyle w:val="Compact"/>
      </w:pPr>
      <w:r>
        <w:t xml:space="preserve">fornecer encaminhamentos aprovados e informações de contato;</w:t>
      </w:r>
    </w:p>
    <w:p>
      <w:pPr>
        <w:numPr>
          <w:ilvl w:val="0"/>
          <w:numId w:val="1001"/>
        </w:numPr>
        <w:pStyle w:val="Compact"/>
      </w:pPr>
      <w:r>
        <w:t xml:space="preserve">ajudar a agendar consultas, transporte, chamadas de acompanhamento ou contatos com prestadores de serviços;</w:t>
      </w:r>
    </w:p>
    <w:p>
      <w:pPr>
        <w:numPr>
          <w:ilvl w:val="0"/>
          <w:numId w:val="1001"/>
        </w:numPr>
        <w:pStyle w:val="Compact"/>
      </w:pPr>
      <w:r>
        <w:t xml:space="preserve">manter notas de caso autorizadas, registros de encaminhamento, listas de tarefas, registros de consultas e documentação rotineira;</w:t>
      </w:r>
    </w:p>
    <w:p>
      <w:pPr>
        <w:numPr>
          <w:ilvl w:val="0"/>
          <w:numId w:val="1001"/>
        </w:numPr>
        <w:pStyle w:val="Compact"/>
      </w:pPr>
      <w:r>
        <w:t xml:space="preserve">verificar se encaminhamentos ou etapas de serviço acordadas foram concluídos e registrar barreiras;</w:t>
      </w:r>
    </w:p>
    <w:p>
      <w:pPr>
        <w:numPr>
          <w:ilvl w:val="0"/>
          <w:numId w:val="1001"/>
        </w:numPr>
        <w:pStyle w:val="Compact"/>
      </w:pPr>
      <w:r>
        <w:t xml:space="preserve">comunicar atualizações autorizadas a supervisores, equipes de cuidado, prestadores de serviços ou parceiros comunitários;</w:t>
      </w:r>
    </w:p>
    <w:p>
      <w:pPr>
        <w:numPr>
          <w:ilvl w:val="0"/>
          <w:numId w:val="1001"/>
        </w:numPr>
        <w:pStyle w:val="Compact"/>
      </w:pPr>
      <w:r>
        <w:t xml:space="preserve">preparar listas rotineiras de recursos, materiais de alcance comunitário, instruções de consulta ou listas de verificação para navegação de serviços;</w:t>
      </w:r>
    </w:p>
    <w:p>
      <w:pPr>
        <w:numPr>
          <w:ilvl w:val="0"/>
          <w:numId w:val="1001"/>
        </w:numPr>
        <w:pStyle w:val="Compact"/>
      </w:pPr>
      <w:r>
        <w:t xml:space="preserve">ajudar clientes a entender qual organização é responsável pela próxima etapa;</w:t>
      </w:r>
    </w:p>
    <w:p>
      <w:pPr>
        <w:numPr>
          <w:ilvl w:val="0"/>
          <w:numId w:val="1001"/>
        </w:numPr>
        <w:pStyle w:val="Compact"/>
      </w:pPr>
      <w:r>
        <w:t xml:space="preserve">apoiar, sob supervisão, processos de admissão, alta, transição, moradia, emprego, deficiência, envelhecimento, apoio familiar ou navegação comunitária; e</w:t>
      </w:r>
    </w:p>
    <w:p>
      <w:pPr>
        <w:numPr>
          <w:ilvl w:val="0"/>
          <w:numId w:val="1001"/>
        </w:numPr>
        <w:pStyle w:val="Compact"/>
      </w:pPr>
      <w:r>
        <w:t xml:space="preserve">encaminhar preocupações médicas, de saúde mental, salvaguarda, jurídicas, abuso, negligência, exploração, automutilação, violência, tráfico, falta de moradia ou outras situações urgentes pelos canais aprovados.</w:t>
      </w:r>
    </w:p>
    <w:p>
      <w:pPr>
        <w:pStyle w:val="FirstParagraph"/>
      </w:pPr>
      <w:r>
        <w:t xml:space="preserve">A função exige acompanhamento preciso, comunicação respeitosa, limites profissionais claros, resolução prática de problemas e manejo cuidadoso de informações sensíveis.</w:t>
      </w:r>
    </w:p>
    <w:bookmarkEnd w:id="21"/>
    <w:bookmarkStart w:id="22" w:name="Xa854196fec5e35aff326890bab66d39211702df"/>
    <w:p>
      <w:pPr>
        <w:pStyle w:val="Heading2"/>
      </w:pPr>
      <w:r>
        <w:t xml:space="preserve">O que esta função não deve ser apresentada como</w:t>
      </w:r>
    </w:p>
    <w:p>
      <w:pPr>
        <w:pStyle w:val="FirstParagraph"/>
      </w:pPr>
      <w:r>
        <w:t xml:space="preserve">Uma função de apoio não autoriza automaticamente trabalho licenciado, clínico, jurídico, decisório ou de emergência.</w:t>
      </w:r>
    </w:p>
    <w:p>
      <w:pPr>
        <w:pStyle w:val="BodyText"/>
      </w:pPr>
      <w:r>
        <w:t xml:space="preserve">Não faça de forma independente:</w:t>
      </w:r>
    </w:p>
    <w:p>
      <w:pPr>
        <w:numPr>
          <w:ilvl w:val="0"/>
          <w:numId w:val="1002"/>
        </w:numPr>
        <w:pStyle w:val="Compact"/>
      </w:pPr>
      <w:r>
        <w:t xml:space="preserve">diagnóstico de condição de saúde mental, uso de substâncias, desenvolvimento ou condição médica;</w:t>
      </w:r>
    </w:p>
    <w:p>
      <w:pPr>
        <w:numPr>
          <w:ilvl w:val="0"/>
          <w:numId w:val="1002"/>
        </w:numPr>
        <w:pStyle w:val="Compact"/>
      </w:pPr>
      <w:r>
        <w:t xml:space="preserve">psicoterapia, aconselhamento clínico, avaliação de enfermagem ou tratamento clínico, salvo se você tiver credencial separada e autorização;</w:t>
      </w:r>
    </w:p>
    <w:p>
      <w:pPr>
        <w:numPr>
          <w:ilvl w:val="0"/>
          <w:numId w:val="1002"/>
        </w:numPr>
        <w:pStyle w:val="Compact"/>
      </w:pPr>
      <w:r>
        <w:t xml:space="preserve">determinações jurídicas ou aconselhamento legal;</w:t>
      </w:r>
    </w:p>
    <w:p>
      <w:pPr>
        <w:numPr>
          <w:ilvl w:val="0"/>
          <w:numId w:val="1002"/>
        </w:numPr>
        <w:pStyle w:val="Compact"/>
      </w:pPr>
      <w:r>
        <w:t xml:space="preserve">decisões sobre elegibilidade legal para benefícios governamentais quando essa autoridade pertence a uma agência ou autoridade designada;</w:t>
      </w:r>
    </w:p>
    <w:p>
      <w:pPr>
        <w:numPr>
          <w:ilvl w:val="0"/>
          <w:numId w:val="1002"/>
        </w:numPr>
        <w:pStyle w:val="Compact"/>
      </w:pPr>
      <w:r>
        <w:t xml:space="preserve">promessas de moradia, ajuda financeira, benefícios por deficiência, resultado migratório, resultado de tratamento, transporte, emprego ou ajuda emergencial que você não controla;</w:t>
      </w:r>
    </w:p>
    <w:p>
      <w:pPr>
        <w:numPr>
          <w:ilvl w:val="0"/>
          <w:numId w:val="1002"/>
        </w:numPr>
        <w:pStyle w:val="Compact"/>
      </w:pPr>
      <w:r>
        <w:t xml:space="preserve">decisões de salvaguarda, comunicação obrigatória ou comando de emergência que a lei ou a política atribua a outra pessoa ou autoridade qualificada;</w:t>
      </w:r>
    </w:p>
    <w:p>
      <w:pPr>
        <w:numPr>
          <w:ilvl w:val="0"/>
          <w:numId w:val="1002"/>
        </w:numPr>
        <w:pStyle w:val="Compact"/>
      </w:pPr>
      <w:r>
        <w:t xml:space="preserve">apresentar-se como assistente social licenciado, psicólogo, conselheiro, advogado, enfermeiro, médico, gestor de casos certificado ou outro profissional protegido ou credenciado se você não tiver essa credencial; ou</w:t>
      </w:r>
    </w:p>
    <w:p>
      <w:pPr>
        <w:numPr>
          <w:ilvl w:val="0"/>
          <w:numId w:val="1002"/>
        </w:numPr>
        <w:pStyle w:val="Compact"/>
      </w:pPr>
      <w:r>
        <w:t xml:space="preserve">ignorar supervisores, equipes de cuidado, protocolos da organização ou autoridades legalmente designadas porque uma situação parece urgente.</w:t>
      </w:r>
    </w:p>
    <w:p>
      <w:pPr>
        <w:pStyle w:val="FirstParagraph"/>
      </w:pPr>
      <w:r>
        <w:t xml:space="preserve">Quando o limite de autoridade não estiver claro, pare e consulte o supervisor responsável ou o profissional designado.</w:t>
      </w:r>
    </w:p>
    <w:bookmarkEnd w:id="22"/>
    <w:bookmarkStart w:id="23" w:name="X23e4310bdb194fc1f93c2100fcafbe45447f593"/>
    <w:p>
      <w:pPr>
        <w:pStyle w:val="Heading2"/>
      </w:pPr>
      <w:r>
        <w:t xml:space="preserve">Apoio à gestão de casos versus gestão profissional de casos</w:t>
      </w:r>
    </w:p>
    <w:p>
      <w:pPr>
        <w:pStyle w:val="FirstParagraph"/>
      </w:pPr>
      <w:r>
        <w:t xml:space="preserve">Empregadores usam a expressão</w:t>
      </w:r>
      <w:r>
        <w:t xml:space="preserve"> </w:t>
      </w:r>
      <w:r>
        <w:rPr>
          <w:iCs/>
          <w:i/>
        </w:rPr>
        <w:t xml:space="preserve">gestão de casos</w:t>
      </w:r>
      <w:r>
        <w:t xml:space="preserve"> </w:t>
      </w:r>
      <w:r>
        <w:t xml:space="preserve">de formas diferentes. Um Assistente de Gestão de Casos pode apoiar um gestor profissional organizando informações, coordenando logística rotineira, documentando contatos aprovados, acompanhando encaminhamentos e ajudando clientes a navegar serviços.</w:t>
      </w:r>
    </w:p>
    <w:p>
      <w:pPr>
        <w:pStyle w:val="BodyText"/>
      </w:pPr>
      <w:r>
        <w:t xml:space="preserve">Essa função de apoio é diferente de avaliar de forma independente necessidades clínicas complexas, criar planos de tratamento, determinar necessidade médica, autorizar benefícios, dirigir cuidado clínico, exercer trabalho social licenciado ou usar autoridade reservada a um gestor credenciado ou profissional regulamentado.</w:t>
      </w:r>
    </w:p>
    <w:p>
      <w:pPr>
        <w:pStyle w:val="BodyText"/>
      </w:pPr>
      <w:r>
        <w:t xml:space="preserve">Algumas organizações usam títulos como navegador de cuidado, navegador de pacientes, navegador de benefícios, navegador de moradia, navegador familiar, navegador comunitário, coordenador de recursos, auxiliar de casos, assistente de serviços sociais ou especialista de apoio ao cliente. O título, sozinho, não define o alcance legal. Leia as funções, o modelo de supervisão, as credenciais exigidas e as regras locais.</w:t>
      </w:r>
    </w:p>
    <w:bookmarkEnd w:id="23"/>
    <w:bookmarkStart w:id="24" w:name="Xc96be067aa2b884964198063bb5bc8cd22683ad"/>
    <w:p>
      <w:pPr>
        <w:pStyle w:val="Heading2"/>
      </w:pPr>
      <w:r>
        <w:t xml:space="preserve">Ambiente de trabalho e exigências emocionais</w:t>
      </w:r>
    </w:p>
    <w:p>
      <w:pPr>
        <w:pStyle w:val="FirstParagraph"/>
      </w:pPr>
      <w:r>
        <w:t xml:space="preserve">O trabalho pode ocorrer em escritórios, agências comunitárias, hospitais, clínicas, abrigos, programas de moradia, ambientes de saúde comportamental, programas de reabilitação, escolas, órgãos governamentais, programas de emprego, programas residenciais, organizações sem fins lucrativos, atividades de campo ou remotamente por sistemas aprovados.</w:t>
      </w:r>
    </w:p>
    <w:p>
      <w:pPr>
        <w:pStyle w:val="BodyText"/>
      </w:pPr>
      <w:r>
        <w:t xml:space="preserve">Exigências comuns podem incluir:</w:t>
      </w:r>
    </w:p>
    <w:p>
      <w:pPr>
        <w:numPr>
          <w:ilvl w:val="0"/>
          <w:numId w:val="1003"/>
        </w:numPr>
        <w:pStyle w:val="Compact"/>
      </w:pPr>
      <w:r>
        <w:t xml:space="preserve">contato frequente com pessoas estressadas, doentes, com deficiência, desempregadas, com insegurança de moradia, em luto, sobrecarregadas ou lidando com vários sistemas de serviços;</w:t>
      </w:r>
    </w:p>
    <w:p>
      <w:pPr>
        <w:numPr>
          <w:ilvl w:val="0"/>
          <w:numId w:val="1003"/>
        </w:numPr>
        <w:pStyle w:val="Compact"/>
      </w:pPr>
      <w:r>
        <w:t xml:space="preserve">gerenciar vários encaminhamentos, prazos, consultas e tarefas de acompanhamento ao mesmo tempo;</w:t>
      </w:r>
    </w:p>
    <w:p>
      <w:pPr>
        <w:numPr>
          <w:ilvl w:val="0"/>
          <w:numId w:val="1003"/>
        </w:numPr>
        <w:pStyle w:val="Compact"/>
      </w:pPr>
      <w:r>
        <w:t xml:space="preserve">documentação e entrada de dados repetitivas;</w:t>
      </w:r>
    </w:p>
    <w:p>
      <w:pPr>
        <w:numPr>
          <w:ilvl w:val="0"/>
          <w:numId w:val="1003"/>
        </w:numPr>
        <w:pStyle w:val="Compact"/>
      </w:pPr>
      <w:r>
        <w:t xml:space="preserve">coordenar entre organizações com regras diferentes de elegibilidade, horários, formulários e tempos de resposta;</w:t>
      </w:r>
    </w:p>
    <w:p>
      <w:pPr>
        <w:numPr>
          <w:ilvl w:val="0"/>
          <w:numId w:val="1003"/>
        </w:numPr>
        <w:pStyle w:val="Compact"/>
      </w:pPr>
      <w:r>
        <w:t xml:space="preserve">lidar com capacidade limitada de programas ou listas de espera;</w:t>
      </w:r>
    </w:p>
    <w:p>
      <w:pPr>
        <w:numPr>
          <w:ilvl w:val="0"/>
          <w:numId w:val="1003"/>
        </w:numPr>
        <w:pStyle w:val="Compact"/>
      </w:pPr>
      <w:r>
        <w:t xml:space="preserve">comunicar-se com clientes frustrados, assustados, irritados, confusos ou desconfiados;</w:t>
      </w:r>
    </w:p>
    <w:p>
      <w:pPr>
        <w:numPr>
          <w:ilvl w:val="0"/>
          <w:numId w:val="1003"/>
        </w:numPr>
        <w:pStyle w:val="Compact"/>
      </w:pPr>
      <w:r>
        <w:t xml:space="preserve">visitas ocasionais de campo ou comunitárias;</w:t>
      </w:r>
    </w:p>
    <w:p>
      <w:pPr>
        <w:numPr>
          <w:ilvl w:val="0"/>
          <w:numId w:val="1003"/>
        </w:numPr>
        <w:pStyle w:val="Compact"/>
      </w:pPr>
      <w:r>
        <w:t xml:space="preserve">horários noturnos ou de fim de semana em alguns ambientes;</w:t>
      </w:r>
    </w:p>
    <w:p>
      <w:pPr>
        <w:numPr>
          <w:ilvl w:val="0"/>
          <w:numId w:val="1003"/>
        </w:numPr>
        <w:pStyle w:val="Compact"/>
      </w:pPr>
      <w:r>
        <w:t xml:space="preserve">exposição a relatos de crise ou circunstâncias de vida difíceis; e</w:t>
      </w:r>
    </w:p>
    <w:p>
      <w:pPr>
        <w:numPr>
          <w:ilvl w:val="0"/>
          <w:numId w:val="1003"/>
        </w:numPr>
        <w:pStyle w:val="Compact"/>
      </w:pPr>
      <w:r>
        <w:t xml:space="preserve">equilibrar empatia com limites profissionais e limites de carga de trabalho.</w:t>
      </w:r>
    </w:p>
    <w:p>
      <w:pPr>
        <w:pStyle w:val="FirstParagraph"/>
      </w:pPr>
      <w:r>
        <w:t xml:space="preserve">Limites saudáveis, supervisão, debriefing, gestão de carga e recursos de apoio ao empregado podem ajudar a reduzir esgotamento e fadiga por compaixão.</w:t>
      </w:r>
    </w:p>
    <w:bookmarkEnd w:id="24"/>
    <w:bookmarkStart w:id="25" w:name="X1b17874b4c60e0a4ab5bebbd2c73ee1949699bb"/>
    <w:p>
      <w:pPr>
        <w:pStyle w:val="Heading2"/>
      </w:pPr>
      <w:r>
        <w:t xml:space="preserve">Limites de crise, salvaguarda e emergência</w:t>
      </w:r>
    </w:p>
    <w:p>
      <w:pPr>
        <w:pStyle w:val="FirstParagraph"/>
      </w:pPr>
      <w:r>
        <w:t xml:space="preserve">Um navegador ou assistente de casos pode receber relatos ou perceber sinais de abuso, negligência, exploração, risco de automutilação, risco de violência, tráfico de pessoas, perigo médico, emergência de moradia ou outros problemas urgentes.</w:t>
      </w:r>
    </w:p>
    <w:p>
      <w:pPr>
        <w:pStyle w:val="BodyText"/>
      </w:pPr>
      <w:r>
        <w:t xml:space="preserve">Não improvise uma resposta nem aja fora de sua autoridade. Siga o protocolo atual do empregador e a lei local.</w:t>
      </w:r>
    </w:p>
    <w:p>
      <w:pPr>
        <w:pStyle w:val="BodyText"/>
      </w:pPr>
      <w:r>
        <w:t xml:space="preserve">Dependendo da situação, pode ser necessário:</w:t>
      </w:r>
    </w:p>
    <w:p>
      <w:pPr>
        <w:numPr>
          <w:ilvl w:val="0"/>
          <w:numId w:val="1004"/>
        </w:numPr>
        <w:pStyle w:val="Compact"/>
      </w:pPr>
      <w:r>
        <w:t xml:space="preserve">contatar supervisor, profissional licenciado, responsável por salvaguarda ou equipe de crise designada;</w:t>
      </w:r>
    </w:p>
    <w:p>
      <w:pPr>
        <w:numPr>
          <w:ilvl w:val="0"/>
          <w:numId w:val="1004"/>
        </w:numPr>
        <w:pStyle w:val="Compact"/>
      </w:pPr>
      <w:r>
        <w:t xml:space="preserve">usar uma rota aprovada de emergência ou crise;</w:t>
      </w:r>
    </w:p>
    <w:p>
      <w:pPr>
        <w:numPr>
          <w:ilvl w:val="0"/>
          <w:numId w:val="1004"/>
        </w:numPr>
        <w:pStyle w:val="Compact"/>
      </w:pPr>
      <w:r>
        <w:t xml:space="preserve">contatar serviços de emergência quando exigido;</w:t>
      </w:r>
    </w:p>
    <w:p>
      <w:pPr>
        <w:numPr>
          <w:ilvl w:val="0"/>
          <w:numId w:val="1004"/>
        </w:numPr>
        <w:pStyle w:val="Compact"/>
      </w:pPr>
      <w:r>
        <w:t xml:space="preserve">fazer uma comunicação legalmente obrigatória pelo canal correto se sua função estiver coberta por regras de reporte obrigatório;</w:t>
      </w:r>
    </w:p>
    <w:p>
      <w:pPr>
        <w:numPr>
          <w:ilvl w:val="0"/>
          <w:numId w:val="1004"/>
        </w:numPr>
        <w:pStyle w:val="Compact"/>
      </w:pPr>
      <w:r>
        <w:t xml:space="preserve">documentar fatos de forma precisa e rápida; e</w:t>
      </w:r>
    </w:p>
    <w:p>
      <w:pPr>
        <w:numPr>
          <w:ilvl w:val="0"/>
          <w:numId w:val="1004"/>
        </w:numPr>
        <w:pStyle w:val="Compact"/>
      </w:pPr>
      <w:r>
        <w:t xml:space="preserve">evitar promessas de confidencialidade incompatíveis com obrigações legais ou de segurança.</w:t>
      </w:r>
    </w:p>
    <w:p>
      <w:pPr>
        <w:pStyle w:val="FirstParagraph"/>
      </w:pPr>
      <w:r>
        <w:t xml:space="preserve">Regras de reporte obrigatório, salvaguarda, consentimento e emergência variam por jurisdição, ambiente, população atendida e função profissional. Material de treinamento e ferramentas de IA não substituem políticas e leis atuais.</w:t>
      </w:r>
    </w:p>
    <w:bookmarkEnd w:id="25"/>
    <w:bookmarkStart w:id="26" w:name="X6f7e249570871c2ef93fb4c296c3fe575ad252f"/>
    <w:p>
      <w:pPr>
        <w:pStyle w:val="Heading2"/>
      </w:pPr>
      <w:r>
        <w:t xml:space="preserve">Privacidade, confidencialidade e documentação</w:t>
      </w:r>
    </w:p>
    <w:p>
      <w:pPr>
        <w:pStyle w:val="FirstParagraph"/>
      </w:pPr>
      <w:r>
        <w:t xml:space="preserve">O trabalho de assistência de casos e navegação pode envolver informações altamente sensíveis: nomes, endereços, datas de nascimento, informações de saúde e saúde mental, deficiência, detalhes migratórios, registros de benefícios, situação de moradia, histórico de emprego, informações familiares, assuntos legais, dados financeiros, documentos de identidade, credenciais e informações de crise.</w:t>
      </w:r>
    </w:p>
    <w:p>
      <w:pPr>
        <w:pStyle w:val="BodyText"/>
      </w:pPr>
      <w:r>
        <w:t xml:space="preserve">Siga as regras do empregador para:</w:t>
      </w:r>
    </w:p>
    <w:p>
      <w:pPr>
        <w:numPr>
          <w:ilvl w:val="0"/>
          <w:numId w:val="1005"/>
        </w:numPr>
        <w:pStyle w:val="Compact"/>
      </w:pPr>
      <w:r>
        <w:t xml:space="preserve">coletar apenas informações necessárias ao propósito autorizado;</w:t>
      </w:r>
    </w:p>
    <w:p>
      <w:pPr>
        <w:numPr>
          <w:ilvl w:val="0"/>
          <w:numId w:val="1005"/>
        </w:numPr>
        <w:pStyle w:val="Compact"/>
      </w:pPr>
      <w:r>
        <w:t xml:space="preserve">verificar identidade antes de divulgar informações protegidas;</w:t>
      </w:r>
    </w:p>
    <w:p>
      <w:pPr>
        <w:numPr>
          <w:ilvl w:val="0"/>
          <w:numId w:val="1005"/>
        </w:numPr>
        <w:pStyle w:val="Compact"/>
      </w:pPr>
      <w:r>
        <w:t xml:space="preserve">utilizar sistemas aprovados de gestão de casos, prontuário eletrônico, benefícios, moradia, emprego ou encaminhamento;</w:t>
      </w:r>
    </w:p>
    <w:p>
      <w:pPr>
        <w:numPr>
          <w:ilvl w:val="0"/>
          <w:numId w:val="1005"/>
        </w:numPr>
        <w:pStyle w:val="Compact"/>
      </w:pPr>
      <w:r>
        <w:t xml:space="preserve">acesso baseado em função;</w:t>
      </w:r>
    </w:p>
    <w:p>
      <w:pPr>
        <w:numPr>
          <w:ilvl w:val="0"/>
          <w:numId w:val="1005"/>
        </w:numPr>
        <w:pStyle w:val="Compact"/>
      </w:pPr>
      <w:r>
        <w:t xml:space="preserve">senhas e autenticação multifator;</w:t>
      </w:r>
    </w:p>
    <w:p>
      <w:pPr>
        <w:numPr>
          <w:ilvl w:val="0"/>
          <w:numId w:val="1005"/>
        </w:numPr>
        <w:pStyle w:val="Compact"/>
      </w:pPr>
      <w:r>
        <w:t xml:space="preserve">compartilhamento seguro de arquivos e canais aprovados de comunicação;</w:t>
      </w:r>
    </w:p>
    <w:p>
      <w:pPr>
        <w:numPr>
          <w:ilvl w:val="0"/>
          <w:numId w:val="1005"/>
        </w:numPr>
        <w:pStyle w:val="Compact"/>
      </w:pPr>
      <w:r>
        <w:t xml:space="preserve">conversas privadas e espaços físicos adequados;</w:t>
      </w:r>
    </w:p>
    <w:p>
      <w:pPr>
        <w:numPr>
          <w:ilvl w:val="0"/>
          <w:numId w:val="1005"/>
        </w:numPr>
        <w:pStyle w:val="Compact"/>
      </w:pPr>
      <w:r>
        <w:t xml:space="preserve">requisitos de retenção e descarte;</w:t>
      </w:r>
    </w:p>
    <w:p>
      <w:pPr>
        <w:numPr>
          <w:ilvl w:val="0"/>
          <w:numId w:val="1005"/>
        </w:numPr>
        <w:pStyle w:val="Compact"/>
      </w:pPr>
      <w:r>
        <w:t xml:space="preserve">impressão e registros físicos;</w:t>
      </w:r>
    </w:p>
    <w:p>
      <w:pPr>
        <w:numPr>
          <w:ilvl w:val="0"/>
          <w:numId w:val="1005"/>
        </w:numPr>
        <w:pStyle w:val="Compact"/>
      </w:pPr>
      <w:r>
        <w:t xml:space="preserve">trabalho remoto e dispositivos móveis;</w:t>
      </w:r>
    </w:p>
    <w:p>
      <w:pPr>
        <w:numPr>
          <w:ilvl w:val="0"/>
          <w:numId w:val="1005"/>
        </w:numPr>
        <w:pStyle w:val="Compact"/>
      </w:pPr>
      <w:r>
        <w:t xml:space="preserve">relato de incidentes; e</w:t>
      </w:r>
    </w:p>
    <w:p>
      <w:pPr>
        <w:numPr>
          <w:ilvl w:val="0"/>
          <w:numId w:val="1005"/>
        </w:numPr>
        <w:pStyle w:val="Compact"/>
      </w:pPr>
      <w:r>
        <w:t xml:space="preserve">uso de dispositivos pessoais, aplicativos de mensagens, e-mail, nuvem e ferramentas de IA.</w:t>
      </w:r>
    </w:p>
    <w:p>
      <w:pPr>
        <w:pStyle w:val="FirstParagraph"/>
      </w:pPr>
      <w:r>
        <w:t xml:space="preserve">Escreva notas factuais, relevantes, respeitosas e proporcionais. Diferencie o que você observou, o que o cliente relatou, o que outro profissional concluiu e qual ação realmente foi tomada.</w:t>
      </w:r>
    </w:p>
    <w:p>
      <w:pPr>
        <w:pStyle w:val="BodyText"/>
      </w:pPr>
      <w:r>
        <w:t xml:space="preserve">Não copie informações sensíveis para aplicativo pessoal de notas, nuvem não aprovada, e-mail pessoal, ferramenta pública de IA ou plataforma de mensagens apenas por conveniência.</w:t>
      </w:r>
    </w:p>
    <w:bookmarkEnd w:id="26"/>
    <w:bookmarkStart w:id="27" w:name="Xed1ac822eb62751aa3e4030f44d645ea595537c"/>
    <w:p>
      <w:pPr>
        <w:pStyle w:val="Heading2"/>
      </w:pPr>
      <w:r>
        <w:t xml:space="preserve">Habilidades que os empregadores podem valorizar</w:t>
      </w:r>
    </w:p>
    <w:p>
      <w:pPr>
        <w:pStyle w:val="FirstParagraph"/>
      </w:pPr>
      <w:r>
        <w:t xml:space="preserve">Empregadores costumam valorizar:</w:t>
      </w:r>
    </w:p>
    <w:p>
      <w:pPr>
        <w:numPr>
          <w:ilvl w:val="0"/>
          <w:numId w:val="1006"/>
        </w:numPr>
        <w:pStyle w:val="Compact"/>
      </w:pPr>
      <w:r>
        <w:t xml:space="preserve">escuta ativa;</w:t>
      </w:r>
    </w:p>
    <w:p>
      <w:pPr>
        <w:numPr>
          <w:ilvl w:val="0"/>
          <w:numId w:val="1006"/>
        </w:numPr>
        <w:pStyle w:val="Compact"/>
      </w:pPr>
      <w:r>
        <w:t xml:space="preserve">comunicação respeitosa com clientes;</w:t>
      </w:r>
    </w:p>
    <w:p>
      <w:pPr>
        <w:numPr>
          <w:ilvl w:val="0"/>
          <w:numId w:val="1006"/>
        </w:numPr>
        <w:pStyle w:val="Compact"/>
      </w:pPr>
      <w:r>
        <w:t xml:space="preserve">organização e acompanhamento de tarefas;</w:t>
      </w:r>
    </w:p>
    <w:p>
      <w:pPr>
        <w:numPr>
          <w:ilvl w:val="0"/>
          <w:numId w:val="1006"/>
        </w:numPr>
        <w:pStyle w:val="Compact"/>
      </w:pPr>
      <w:r>
        <w:t xml:space="preserve">documentação precisa;</w:t>
      </w:r>
    </w:p>
    <w:p>
      <w:pPr>
        <w:numPr>
          <w:ilvl w:val="0"/>
          <w:numId w:val="1006"/>
        </w:numPr>
        <w:pStyle w:val="Compact"/>
      </w:pPr>
      <w:r>
        <w:t xml:space="preserve">pesquisa prática de recursos;</w:t>
      </w:r>
    </w:p>
    <w:p>
      <w:pPr>
        <w:numPr>
          <w:ilvl w:val="0"/>
          <w:numId w:val="1006"/>
        </w:numPr>
        <w:pStyle w:val="Compact"/>
      </w:pPr>
      <w:r>
        <w:t xml:space="preserve">acompanhamento e confiabilidade;</w:t>
      </w:r>
    </w:p>
    <w:p>
      <w:pPr>
        <w:numPr>
          <w:ilvl w:val="0"/>
          <w:numId w:val="1006"/>
        </w:numPr>
        <w:pStyle w:val="Compact"/>
      </w:pPr>
      <w:r>
        <w:t xml:space="preserve">explicação de procedimentos em linguagem simples;</w:t>
      </w:r>
    </w:p>
    <w:p>
      <w:pPr>
        <w:numPr>
          <w:ilvl w:val="0"/>
          <w:numId w:val="1006"/>
        </w:numPr>
        <w:pStyle w:val="Compact"/>
      </w:pPr>
      <w:r>
        <w:t xml:space="preserve">empatia com limites profissionais claros;</w:t>
      </w:r>
    </w:p>
    <w:p>
      <w:pPr>
        <w:numPr>
          <w:ilvl w:val="0"/>
          <w:numId w:val="1006"/>
        </w:numPr>
        <w:pStyle w:val="Compact"/>
      </w:pPr>
      <w:r>
        <w:t xml:space="preserve">humildade cultural;</w:t>
      </w:r>
    </w:p>
    <w:p>
      <w:pPr>
        <w:numPr>
          <w:ilvl w:val="0"/>
          <w:numId w:val="1006"/>
        </w:numPr>
        <w:pStyle w:val="Compact"/>
      </w:pPr>
      <w:r>
        <w:t xml:space="preserve">comunicação inclusiva para pessoas com deficiência;</w:t>
      </w:r>
    </w:p>
    <w:p>
      <w:pPr>
        <w:numPr>
          <w:ilvl w:val="0"/>
          <w:numId w:val="1006"/>
        </w:numPr>
        <w:pStyle w:val="Compact"/>
      </w:pPr>
      <w:r>
        <w:t xml:space="preserve">trabalho em equipe com gestores de casos, clínicos, assistentes sociais, administradores e parceiros comunitários;</w:t>
      </w:r>
    </w:p>
    <w:p>
      <w:pPr>
        <w:numPr>
          <w:ilvl w:val="0"/>
          <w:numId w:val="1006"/>
        </w:numPr>
        <w:pStyle w:val="Compact"/>
      </w:pPr>
      <w:r>
        <w:t xml:space="preserve">encaminhamento calmo em situações difíceis;</w:t>
      </w:r>
    </w:p>
    <w:p>
      <w:pPr>
        <w:numPr>
          <w:ilvl w:val="0"/>
          <w:numId w:val="1006"/>
        </w:numPr>
        <w:pStyle w:val="Compact"/>
      </w:pPr>
      <w:r>
        <w:t xml:space="preserve">habilidades básicas de planilha, e-mail, calendário e sistemas de gestão de casos;</w:t>
      </w:r>
    </w:p>
    <w:p>
      <w:pPr>
        <w:numPr>
          <w:ilvl w:val="0"/>
          <w:numId w:val="1006"/>
        </w:numPr>
        <w:pStyle w:val="Compact"/>
      </w:pPr>
      <w:r>
        <w:t xml:space="preserve">consciência de confidencialidade e privacidade;</w:t>
      </w:r>
    </w:p>
    <w:p>
      <w:pPr>
        <w:numPr>
          <w:ilvl w:val="0"/>
          <w:numId w:val="1006"/>
        </w:numPr>
        <w:pStyle w:val="Compact"/>
      </w:pPr>
      <w:r>
        <w:t xml:space="preserve">capacidade de verificar informações atuais de programas; e</w:t>
      </w:r>
    </w:p>
    <w:p>
      <w:pPr>
        <w:numPr>
          <w:ilvl w:val="0"/>
          <w:numId w:val="1006"/>
        </w:numPr>
        <w:pStyle w:val="Compact"/>
      </w:pPr>
      <w:r>
        <w:t xml:space="preserve">julgamento para saber quando parar e pedir supervisão.</w:t>
      </w:r>
    </w:p>
    <w:p>
      <w:pPr>
        <w:pStyle w:val="FirstParagraph"/>
      </w:pPr>
      <w:r>
        <w:t xml:space="preserve">Capacidade bilíngue ou multilíngue pode ser valiosa em algumas comunidades, mas não declare credenciais profissionais de interpretação ou tradução que você não possui.</w:t>
      </w:r>
    </w:p>
    <w:bookmarkEnd w:id="27"/>
    <w:bookmarkStart w:id="32" w:name="educação-e-caminhos-de-entrada"/>
    <w:p>
      <w:pPr>
        <w:pStyle w:val="Heading2"/>
      </w:pPr>
      <w:r>
        <w:t xml:space="preserve">Educação e caminhos de entrada</w:t>
      </w:r>
    </w:p>
    <w:bookmarkStart w:id="28" w:name="estados-unidos"/>
    <w:p>
      <w:pPr>
        <w:pStyle w:val="Heading3"/>
      </w:pPr>
      <w:r>
        <w:t xml:space="preserve">Estados Unidos</w:t>
      </w:r>
    </w:p>
    <w:p>
      <w:pPr>
        <w:pStyle w:val="FirstParagraph"/>
      </w:pPr>
      <w:r>
        <w:t xml:space="preserve">A família ocupacional federal mais próxima é</w:t>
      </w:r>
      <w:r>
        <w:t xml:space="preserve"> </w:t>
      </w:r>
      <w:r>
        <w:rPr>
          <w:bCs/>
          <w:b/>
        </w:rPr>
        <w:t xml:space="preserve">Social and Human Service Assistants, O*NET-SOC 21-1093.00</w:t>
      </w:r>
      <w:r>
        <w:t xml:space="preserve">.</w:t>
      </w:r>
    </w:p>
    <w:p>
      <w:pPr>
        <w:pStyle w:val="BodyText"/>
      </w:pPr>
      <w:r>
        <w:t xml:space="preserve">O O*NET reporta dados salariais BLS de 2025 de</w:t>
      </w:r>
      <w:r>
        <w:t xml:space="preserve"> </w:t>
      </w:r>
      <w:r>
        <w:rPr>
          <w:bCs/>
          <w:b/>
        </w:rPr>
        <w:t xml:space="preserve">USD $22.08/hour / $45,930/year</w:t>
      </w:r>
      <w:r>
        <w:t xml:space="preserve"> </w:t>
      </w:r>
      <w:r>
        <w:t xml:space="preserve">para essa ocupação. Também reporta aproximadamente</w:t>
      </w:r>
      <w:r>
        <w:t xml:space="preserve"> </w:t>
      </w:r>
      <w:r>
        <w:rPr>
          <w:bCs/>
          <w:b/>
        </w:rPr>
        <w:t xml:space="preserve">449,600 trabalhadores em 2024</w:t>
      </w:r>
      <w:r>
        <w:t xml:space="preserve">, crescimento projetado de</w:t>
      </w:r>
      <w:r>
        <w:t xml:space="preserve"> </w:t>
      </w:r>
      <w:r>
        <w:rPr>
          <w:bCs/>
          <w:b/>
        </w:rPr>
        <w:t xml:space="preserve">6% entre 2024 e 2034</w:t>
      </w:r>
      <w:r>
        <w:t xml:space="preserve"> </w:t>
      </w:r>
      <w:r>
        <w:t xml:space="preserve">e aproximadamente</w:t>
      </w:r>
      <w:r>
        <w:t xml:space="preserve"> </w:t>
      </w:r>
      <w:r>
        <w:rPr>
          <w:bCs/>
          <w:b/>
        </w:rPr>
        <w:t xml:space="preserve">50,600 vagas anuais</w:t>
      </w:r>
      <w:r>
        <w:t xml:space="preserve"> </w:t>
      </w:r>
      <w:r>
        <w:t xml:space="preserve">ao longo da década.</w:t>
      </w:r>
    </w:p>
    <w:p>
      <w:pPr>
        <w:pStyle w:val="BodyText"/>
      </w:pPr>
      <w:r>
        <w:t xml:space="preserve">O U.S. Bureau of Labor Statistics informa que social and human service assistants normalmente precisam de pelo menos</w:t>
      </w:r>
      <w:r>
        <w:t xml:space="preserve"> </w:t>
      </w:r>
      <w:r>
        <w:rPr>
          <w:bCs/>
          <w:b/>
        </w:rPr>
        <w:t xml:space="preserve">high school diploma or equivalent</w:t>
      </w:r>
      <w:r>
        <w:t xml:space="preserve"> </w:t>
      </w:r>
      <w:r>
        <w:t xml:space="preserve">e geralmente recebem</w:t>
      </w:r>
      <w:r>
        <w:t xml:space="preserve"> </w:t>
      </w:r>
      <w:r>
        <w:rPr>
          <w:bCs/>
          <w:b/>
        </w:rPr>
        <w:t xml:space="preserve">short-term on-the-job training</w:t>
      </w:r>
      <w:r>
        <w:t xml:space="preserve">, embora alguns empregadores prefiram educação adicional ou experiência relacionada.</w:t>
      </w:r>
    </w:p>
    <w:p>
      <w:pPr>
        <w:pStyle w:val="BodyText"/>
      </w:pPr>
      <w:r>
        <w:t xml:space="preserve">Uma sequência prática de entrada é:</w:t>
      </w:r>
    </w:p>
    <w:p>
      <w:pPr>
        <w:numPr>
          <w:ilvl w:val="0"/>
          <w:numId w:val="1007"/>
        </w:numPr>
        <w:pStyle w:val="Compact"/>
      </w:pPr>
      <w:r>
        <w:t xml:space="preserve">Revise 15–20 vagas atuais para case management assistant, case aide, resource navigator, community navigator, benefits navigator, social-services assistant, outreach assistant, family navigator, housing navigator ou títulos semelhantes.</w:t>
      </w:r>
    </w:p>
    <w:p>
      <w:pPr>
        <w:numPr>
          <w:ilvl w:val="0"/>
          <w:numId w:val="1007"/>
        </w:numPr>
        <w:pStyle w:val="Compact"/>
      </w:pPr>
      <w:r>
        <w:t xml:space="preserve">Registre requisitos recorrentes de educação, direção, antecedentes, populações atendidas, sistemas de documentação, software, idiomas, treinamento de crise e horários.</w:t>
      </w:r>
    </w:p>
    <w:p>
      <w:pPr>
        <w:numPr>
          <w:ilvl w:val="0"/>
          <w:numId w:val="1007"/>
        </w:numPr>
        <w:pStyle w:val="Compact"/>
      </w:pPr>
      <w:r>
        <w:t xml:space="preserve">Separe funções de apoio de cargos que exigem credenciais profissionais de trabalho social, enfermagem, aconselhamento, saúde, direito ou gestão certificada de casos.</w:t>
      </w:r>
    </w:p>
    <w:p>
      <w:pPr>
        <w:numPr>
          <w:ilvl w:val="0"/>
          <w:numId w:val="1007"/>
        </w:numPr>
        <w:pStyle w:val="Compact"/>
      </w:pPr>
      <w:r>
        <w:t xml:space="preserve">Desenvolva experiência transferível por meio de serviço comunitário supervisionado, atendimento ao cliente, cuidado, apoio administrativo, administração em saúde, serviços para deficiência, programas de emprego, moradia, juventude, envelhecimento ou ambientes relacionados.</w:t>
      </w:r>
    </w:p>
    <w:p>
      <w:pPr>
        <w:numPr>
          <w:ilvl w:val="0"/>
          <w:numId w:val="1007"/>
        </w:numPr>
        <w:pStyle w:val="Compact"/>
      </w:pPr>
      <w:r>
        <w:t xml:space="preserve">Use treinamento público ou reconhecido por empregadores para fortalecer documentação, navegação de recursos, privacidade, salvaguarda, desescalada, inclusão de deficiência e habilidades digitais.</w:t>
      </w:r>
    </w:p>
    <w:p>
      <w:pPr>
        <w:numPr>
          <w:ilvl w:val="0"/>
          <w:numId w:val="1007"/>
        </w:numPr>
        <w:pStyle w:val="Compact"/>
      </w:pPr>
      <w:r>
        <w:t xml:space="preserve">Candidate-se apenas a funções compatíveis com sua educação, experiência e credenciais reais.</w:t>
      </w:r>
    </w:p>
    <w:p>
      <w:pPr>
        <w:pStyle w:val="FirstParagraph"/>
      </w:pPr>
      <w:r>
        <w:t xml:space="preserve">Não suponha que um certificado privado caro de</w:t>
      </w:r>
      <w:r>
        <w:t xml:space="preserve"> </w:t>
      </w:r>
      <w:r>
        <w:rPr>
          <w:rStyle w:val="VerbatimChar"/>
        </w:rPr>
        <w:t xml:space="preserve">case management</w:t>
      </w:r>
      <w:r>
        <w:t xml:space="preserve"> </w:t>
      </w:r>
      <w:r>
        <w:t xml:space="preserve">seja legalmente obrigatório apenas porque um fornecedor o comercializa.</w:t>
      </w:r>
    </w:p>
    <w:bookmarkEnd w:id="28"/>
    <w:bookmarkStart w:id="29" w:name="canadá"/>
    <w:p>
      <w:pPr>
        <w:pStyle w:val="Heading3"/>
      </w:pPr>
      <w:r>
        <w:t xml:space="preserve">Canadá</w:t>
      </w:r>
    </w:p>
    <w:p>
      <w:pPr>
        <w:pStyle w:val="FirstParagraph"/>
      </w:pPr>
      <w:r>
        <w:t xml:space="preserve">A comparação ampla mais próxima é</w:t>
      </w:r>
      <w:r>
        <w:t xml:space="preserve"> </w:t>
      </w:r>
      <w:r>
        <w:rPr>
          <w:bCs/>
          <w:b/>
        </w:rPr>
        <w:t xml:space="preserve">Social and community service workers, NOC 42201</w:t>
      </w:r>
      <w:r>
        <w:t xml:space="preserve">.</w:t>
      </w:r>
    </w:p>
    <w:p>
      <w:pPr>
        <w:pStyle w:val="BodyText"/>
      </w:pPr>
      <w:r>
        <w:t xml:space="preserve">O Job Bank do Governo do Canadá informa que normalmente é necessário concluir um programa de college ou universidade em serviço social, cuidado infantil e juvenil, psicologia ou outra disciplina relacionada a ciências sociais ou saúde. Experiência anterior em serviços sociais como voluntário ou trabalhador de apoio pode substituir a educação formal em algumas ocupações do grupo.</w:t>
      </w:r>
    </w:p>
    <w:p>
      <w:pPr>
        <w:pStyle w:val="BodyText"/>
      </w:pPr>
      <w:r>
        <w:t xml:space="preserve">Alguns títulos de social-service worker podem exigir registro em órgão regulador provincial. Um cargo genérico de navegador ou assistente e um título regulamentado de serviços sociais não são automaticamente a mesma coisa.</w:t>
      </w:r>
    </w:p>
    <w:p>
      <w:pPr>
        <w:pStyle w:val="BodyText"/>
      </w:pPr>
      <w:r>
        <w:t xml:space="preserve">Antes de pagar por treinamento, verifique:</w:t>
      </w:r>
    </w:p>
    <w:p>
      <w:pPr>
        <w:numPr>
          <w:ilvl w:val="0"/>
          <w:numId w:val="1008"/>
        </w:numPr>
        <w:pStyle w:val="Compact"/>
      </w:pPr>
      <w:r>
        <w:t xml:space="preserve">título e funções exatas;</w:t>
      </w:r>
    </w:p>
    <w:p>
      <w:pPr>
        <w:numPr>
          <w:ilvl w:val="0"/>
          <w:numId w:val="1008"/>
        </w:numPr>
        <w:pStyle w:val="Compact"/>
      </w:pPr>
      <w:r>
        <w:t xml:space="preserve">província ou território;</w:t>
      </w:r>
    </w:p>
    <w:p>
      <w:pPr>
        <w:numPr>
          <w:ilvl w:val="0"/>
          <w:numId w:val="1008"/>
        </w:numPr>
        <w:pStyle w:val="Compact"/>
      </w:pPr>
      <w:r>
        <w:t xml:space="preserve">se o empregador exige diploma de college, graduação ou credencial específica;</w:t>
      </w:r>
    </w:p>
    <w:p>
      <w:pPr>
        <w:numPr>
          <w:ilvl w:val="0"/>
          <w:numId w:val="1008"/>
        </w:numPr>
        <w:pStyle w:val="Compact"/>
      </w:pPr>
      <w:r>
        <w:t xml:space="preserve">se experiência supervisionada pode substituir educação;</w:t>
      </w:r>
    </w:p>
    <w:p>
      <w:pPr>
        <w:numPr>
          <w:ilvl w:val="0"/>
          <w:numId w:val="1008"/>
        </w:numPr>
        <w:pStyle w:val="Compact"/>
      </w:pPr>
      <w:r>
        <w:t xml:space="preserve">se há título protegido ou exigência de registro; e</w:t>
      </w:r>
    </w:p>
    <w:p>
      <w:pPr>
        <w:numPr>
          <w:ilvl w:val="0"/>
          <w:numId w:val="1008"/>
        </w:numPr>
        <w:pStyle w:val="Compact"/>
      </w:pPr>
      <w:r>
        <w:t xml:space="preserve">se os empregadores-alvo reconhecem o programa.</w:t>
      </w:r>
    </w:p>
    <w:bookmarkEnd w:id="29"/>
    <w:bookmarkStart w:id="30" w:name="colômbia"/>
    <w:p>
      <w:pPr>
        <w:pStyle w:val="Heading3"/>
      </w:pPr>
      <w:r>
        <w:t xml:space="preserve">Colômbia</w:t>
      </w:r>
    </w:p>
    <w:p>
      <w:pPr>
        <w:pStyle w:val="FirstParagraph"/>
      </w:pPr>
      <w:r>
        <w:t xml:space="preserve">A Clasificación Nacional de Ocupaciones do SENA identifica</w:t>
      </w:r>
      <w:r>
        <w:t xml:space="preserve"> </w:t>
      </w:r>
      <w:r>
        <w:rPr>
          <w:bCs/>
          <w:b/>
        </w:rPr>
        <w:t xml:space="preserve">CNO 4211 — Asistentes en servicios social y comunitario</w:t>
      </w:r>
      <w:r>
        <w:t xml:space="preserve">.</w:t>
      </w:r>
    </w:p>
    <w:p>
      <w:pPr>
        <w:pStyle w:val="BodyText"/>
      </w:pPr>
      <w:r>
        <w:t xml:space="preserve">Um exemplo atual da Agencia Pública de Empleo do SENA para</w:t>
      </w:r>
      <w:r>
        <w:t xml:space="preserve"> </w:t>
      </w:r>
      <w:r>
        <w:rPr>
          <w:bCs/>
          <w:b/>
        </w:rPr>
        <w:t xml:space="preserve">Gestor comunitario</w:t>
      </w:r>
      <w:r>
        <w:t xml:space="preserve"> </w:t>
      </w:r>
      <w:r>
        <w:t xml:space="preserve">inclui funções diretamente relacionadas à navegação de recursos: entrevistar pessoas ou famílias sobre necessidades, ajudar usuários a identificar opções e planos de ação, conectar pessoas a recursos jurídicos, médicos, financeiros, de moradia, emprego, transporte e outros e apoiar programas sob supervisão profissional.</w:t>
      </w:r>
    </w:p>
    <w:p>
      <w:pPr>
        <w:pStyle w:val="BodyText"/>
      </w:pPr>
      <w:r>
        <w:t xml:space="preserve">Isso evidencia uso atual no mercado de trabalho; não é descrição universal e não autoriza exercício de trabalho social profissional regulamentado.</w:t>
      </w:r>
    </w:p>
    <w:p>
      <w:pPr>
        <w:pStyle w:val="BodyText"/>
      </w:pPr>
      <w:r>
        <w:t xml:space="preserve">O SENA Betowa também lista</w:t>
      </w:r>
      <w:r>
        <w:t xml:space="preserve"> </w:t>
      </w:r>
      <w:r>
        <w:rPr>
          <w:bCs/>
          <w:b/>
        </w:rPr>
        <w:t xml:space="preserve">Desarrollo de habilidades para el bienestar familiar y comunitario</w:t>
      </w:r>
      <w:r>
        <w:t xml:space="preserve">, um programa complementar de</w:t>
      </w:r>
      <w:r>
        <w:t xml:space="preserve"> </w:t>
      </w:r>
      <w:r>
        <w:rPr>
          <w:bCs/>
          <w:b/>
        </w:rPr>
        <w:t xml:space="preserve">48 horas</w:t>
      </w:r>
      <w:r>
        <w:t xml:space="preserve">. A disponibilidade varia por modalidade, local, elegibilidade, turma e vagas. Trate-o como exemplo de desenvolvimento público de habilidade adjacente, não como requisito legal universal para CNO 4211 nem como substituto da formação profissional em serviço social.</w:t>
      </w:r>
    </w:p>
    <w:bookmarkEnd w:id="30"/>
    <w:bookmarkStart w:id="31" w:name="américa-latina-e-caribe"/>
    <w:p>
      <w:pPr>
        <w:pStyle w:val="Heading3"/>
      </w:pPr>
      <w:r>
        <w:t xml:space="preserve">América Latina e Caribe</w:t>
      </w:r>
    </w:p>
    <w:p>
      <w:pPr>
        <w:pStyle w:val="FirstParagraph"/>
      </w:pPr>
      <w:r>
        <w:t xml:space="preserve">Sistemas de formação, proteção de títulos, regras de trabalho social profissional, obrigações de privacidade, requisitos de salvaguarda e expectativas de empregadores variam por país.</w:t>
      </w:r>
    </w:p>
    <w:p>
      <w:pPr>
        <w:pStyle w:val="BodyText"/>
      </w:pPr>
      <w:r>
        <w:t xml:space="preserve">OIT/Cinterfor mantém uma rede regional de instituições de formação profissional e sistemas de qualificação. Use-a para identificar a instituição pública nacional relevante e depois confirme diretamente programa, custo, reconhecimento, elegibilidade e escopo legal com a instituição e o regulador responsáveis.</w:t>
      </w:r>
    </w:p>
    <w:bookmarkEnd w:id="31"/>
    <w:bookmarkEnd w:id="32"/>
    <w:bookmarkStart w:id="33" w:name="X760a29d0c97915d09fce80c1fac4f37dba16bc2"/>
    <w:p>
      <w:pPr>
        <w:pStyle w:val="Heading2"/>
      </w:pPr>
      <w:r>
        <w:t xml:space="preserve">Estratégia de treinamento gratuito primeiro e de baixo custo</w:t>
      </w:r>
    </w:p>
    <w:p>
      <w:pPr>
        <w:pStyle w:val="FirstParagraph"/>
      </w:pPr>
      <w:r>
        <w:t xml:space="preserve">Antes de pagar por treinamento:</w:t>
      </w:r>
    </w:p>
    <w:p>
      <w:pPr>
        <w:numPr>
          <w:ilvl w:val="0"/>
          <w:numId w:val="1009"/>
        </w:numPr>
        <w:pStyle w:val="Compact"/>
      </w:pPr>
      <w:r>
        <w:t xml:space="preserve">Revise vagas reais na localização-alvo.</w:t>
      </w:r>
    </w:p>
    <w:p>
      <w:pPr>
        <w:numPr>
          <w:ilvl w:val="0"/>
          <w:numId w:val="1009"/>
        </w:numPr>
        <w:pStyle w:val="Compact"/>
      </w:pPr>
      <w:r>
        <w:t xml:space="preserve">Separe requisitos obrigatórios de qualificações preferidas.</w:t>
      </w:r>
    </w:p>
    <w:p>
      <w:pPr>
        <w:numPr>
          <w:ilvl w:val="0"/>
          <w:numId w:val="1009"/>
        </w:numPr>
        <w:pStyle w:val="Compact"/>
      </w:pPr>
      <w:r>
        <w:t xml:space="preserve">Determine se a função é realmente de apoio ou exige licença profissional ou credencial protegida.</w:t>
      </w:r>
    </w:p>
    <w:p>
      <w:pPr>
        <w:numPr>
          <w:ilvl w:val="0"/>
          <w:numId w:val="1009"/>
        </w:numPr>
        <w:pStyle w:val="Compact"/>
      </w:pPr>
      <w:r>
        <w:t xml:space="preserve">Pergunte se o empregador oferece integração paga, treinamento supervisionado de apoio a casos, formação em sistemas de recursos ou reembolso.</w:t>
      </w:r>
    </w:p>
    <w:p>
      <w:pPr>
        <w:numPr>
          <w:ilvl w:val="0"/>
          <w:numId w:val="1009"/>
        </w:numPr>
        <w:pStyle w:val="Compact"/>
      </w:pPr>
      <w:r>
        <w:t xml:space="preserve">Use primeiro opções públicas, de força de trabalho, community college, formação profissional, organizações sem fins lucrativos, empregadores ou governo quando adequadas.</w:t>
      </w:r>
    </w:p>
    <w:p>
      <w:pPr>
        <w:numPr>
          <w:ilvl w:val="0"/>
          <w:numId w:val="1009"/>
        </w:numPr>
        <w:pStyle w:val="Compact"/>
      </w:pPr>
      <w:r>
        <w:t xml:space="preserve">Compare custo total, horário, transporte, materiais, exames, antecedentes, software e estágio não remunerado.</w:t>
      </w:r>
    </w:p>
    <w:p>
      <w:pPr>
        <w:numPr>
          <w:ilvl w:val="0"/>
          <w:numId w:val="1009"/>
        </w:numPr>
        <w:pStyle w:val="Compact"/>
      </w:pPr>
      <w:r>
        <w:t xml:space="preserve">Confirme que empregadores-alvo reconhecem o programa.</w:t>
      </w:r>
    </w:p>
    <w:p>
      <w:pPr>
        <w:numPr>
          <w:ilvl w:val="0"/>
          <w:numId w:val="1009"/>
        </w:numPr>
        <w:pStyle w:val="Compact"/>
      </w:pPr>
      <w:r>
        <w:t xml:space="preserve">Obtenha por escrito regras de reembolso, devolução e afirmações de colocação profissional.</w:t>
      </w:r>
    </w:p>
    <w:p>
      <w:pPr>
        <w:numPr>
          <w:ilvl w:val="0"/>
          <w:numId w:val="1009"/>
        </w:numPr>
        <w:pStyle w:val="Compact"/>
      </w:pPr>
      <w:r>
        <w:t xml:space="preserve">Evite dívida por credencial que empregadores locais não pedem.</w:t>
      </w:r>
    </w:p>
    <w:bookmarkEnd w:id="33"/>
    <w:bookmarkStart w:id="38" w:name="Xb11ea1759b5e6a09a500112a754092f0345cf40"/>
    <w:p>
      <w:pPr>
        <w:pStyle w:val="Heading2"/>
      </w:pPr>
      <w:r>
        <w:t xml:space="preserve">Localizadores de financiamento e treinamento público</w:t>
      </w:r>
    </w:p>
    <w:bookmarkStart w:id="34" w:name="estados-unidos-1"/>
    <w:p>
      <w:pPr>
        <w:pStyle w:val="Heading3"/>
      </w:pPr>
      <w:r>
        <w:t xml:space="preserve">Estados Unidos</w:t>
      </w:r>
    </w:p>
    <w:p>
      <w:pPr>
        <w:pStyle w:val="FirstParagraph"/>
      </w:pPr>
      <w:r>
        <w:t xml:space="preserve">CareerOneStop, patrocinado pelo U.S. Department of Labor, oferece a rede</w:t>
      </w:r>
      <w:r>
        <w:t xml:space="preserve"> </w:t>
      </w:r>
      <w:r>
        <w:rPr>
          <w:bCs/>
          <w:b/>
        </w:rPr>
        <w:t xml:space="preserve">American Job Center</w:t>
      </w:r>
      <w:r>
        <w:t xml:space="preserve"> </w:t>
      </w:r>
      <w:r>
        <w:t xml:space="preserve">e um</w:t>
      </w:r>
      <w:r>
        <w:t xml:space="preserve"> </w:t>
      </w:r>
      <w:r>
        <w:rPr>
          <w:bCs/>
          <w:b/>
        </w:rPr>
        <w:t xml:space="preserve">WIOA-Eligible Training Program Finder</w:t>
      </w:r>
      <w:r>
        <w:t xml:space="preserve">.</w:t>
      </w:r>
    </w:p>
    <w:p>
      <w:pPr>
        <w:pStyle w:val="BodyText"/>
      </w:pPr>
      <w:r>
        <w:t xml:space="preserve">O apoio WIOA pode estar disponível para pessoas elegíveis, inclusive algumas com barreiras ao emprego. Elegibilidade, programas aprovados, prioridades locais e fundos disponíveis variam. O financiamento</w:t>
      </w:r>
      <w:r>
        <w:t xml:space="preserve"> </w:t>
      </w:r>
      <w:r>
        <w:rPr>
          <w:bCs/>
          <w:b/>
        </w:rPr>
        <w:t xml:space="preserve">não é garantido</w:t>
      </w:r>
      <w:r>
        <w:t xml:space="preserve">.</w:t>
      </w:r>
    </w:p>
    <w:p>
      <w:pPr>
        <w:pStyle w:val="BodyText"/>
      </w:pPr>
      <w:r>
        <w:t xml:space="preserve">CareerOneStop também oferece ferramentas para pesquisar treinamento, bolsas, certificações, licenças e aprendizagem profissional.</w:t>
      </w:r>
    </w:p>
    <w:bookmarkEnd w:id="34"/>
    <w:bookmarkStart w:id="35" w:name="X0d087aa2b2db9a4806f2a1a9bd974fda67627e1"/>
    <w:p>
      <w:pPr>
        <w:pStyle w:val="Heading3"/>
      </w:pPr>
      <w:r>
        <w:t xml:space="preserve">Aprendizagem profissional e experiência no trabalho</w:t>
      </w:r>
    </w:p>
    <w:p>
      <w:pPr>
        <w:pStyle w:val="FirstParagraph"/>
      </w:pPr>
      <w:r>
        <w:t xml:space="preserve">Não existe requisito nacional universal de Registered Apprenticeship para Assistentes de Gestão de Casos ou Navegadores de Recursos. Podem existir oportunidades em serviços humanos ou ocupações relacionadas, mas variam por empregador e local.</w:t>
      </w:r>
    </w:p>
    <w:p>
      <w:pPr>
        <w:pStyle w:val="BodyText"/>
      </w:pPr>
      <w:r>
        <w:t xml:space="preserve">Pesquise vagas atuais em Apprenticeship.gov em vez de supor que existe um programa local.</w:t>
      </w:r>
    </w:p>
    <w:bookmarkEnd w:id="35"/>
    <w:bookmarkStart w:id="36" w:name="canadá-1"/>
    <w:p>
      <w:pPr>
        <w:pStyle w:val="Heading3"/>
      </w:pPr>
      <w:r>
        <w:t xml:space="preserve">Canadá</w:t>
      </w:r>
    </w:p>
    <w:p>
      <w:pPr>
        <w:pStyle w:val="FirstParagraph"/>
      </w:pPr>
      <w:r>
        <w:t xml:space="preserve">O Canadá não tem uma única credencial ou programa nacional de financiamento aplicável a todos os cargos NOC 42201. Compare programas públicos de college/universidade, serviços provinciais ou territoriais de emprego, auxílio estudantil aplicável, treinamento financiado por empregadores e requisitos de registro específicos do título.</w:t>
      </w:r>
    </w:p>
    <w:p>
      <w:pPr>
        <w:pStyle w:val="BodyText"/>
      </w:pPr>
      <w:r>
        <w:t xml:space="preserve">Confirme elegibilidade diretamente com o programa público responsável antes de presumir que um curso será financiado.</w:t>
      </w:r>
    </w:p>
    <w:bookmarkEnd w:id="36"/>
    <w:bookmarkStart w:id="37" w:name="colômbia-e-américa-latina"/>
    <w:p>
      <w:pPr>
        <w:pStyle w:val="Heading3"/>
      </w:pPr>
      <w:r>
        <w:t xml:space="preserve">Colômbia e América Latina</w:t>
      </w:r>
    </w:p>
    <w:p>
      <w:pPr>
        <w:pStyle w:val="FirstParagraph"/>
      </w:pPr>
      <w:r>
        <w:t xml:space="preserve">Comece com SENA/Betowa e a Agencia Pública de Empleo do SENA na Colômbia. Em outros países latino-americanos, use OIT/Cinterfor para identificar a instituição pública nacional de formação e confirmar diretamente a oferta vigente.</w:t>
      </w:r>
    </w:p>
    <w:bookmarkEnd w:id="37"/>
    <w:bookmarkEnd w:id="38"/>
    <w:bookmarkStart w:id="39" w:name="Xa4e67d7cd5e0f5e108545f998c603240a5161df"/>
    <w:p>
      <w:pPr>
        <w:pStyle w:val="Heading2"/>
      </w:pPr>
      <w:r>
        <w:t xml:space="preserve">Apoio do empregador e aprendizagem no trabalho</w:t>
      </w:r>
    </w:p>
    <w:p>
      <w:pPr>
        <w:pStyle w:val="FirstParagraph"/>
      </w:pPr>
      <w:r>
        <w:t xml:space="preserve">Pergunte aos empregadores sobre:</w:t>
      </w:r>
    </w:p>
    <w:p>
      <w:pPr>
        <w:numPr>
          <w:ilvl w:val="0"/>
          <w:numId w:val="1010"/>
        </w:numPr>
        <w:pStyle w:val="Compact"/>
      </w:pPr>
      <w:r>
        <w:t xml:space="preserve">orientação paga;</w:t>
      </w:r>
    </w:p>
    <w:p>
      <w:pPr>
        <w:numPr>
          <w:ilvl w:val="0"/>
          <w:numId w:val="1010"/>
        </w:numPr>
        <w:pStyle w:val="Compact"/>
      </w:pPr>
      <w:r>
        <w:t xml:space="preserve">treinamento supervisionado de admissão e apoio a casos;</w:t>
      </w:r>
    </w:p>
    <w:p>
      <w:pPr>
        <w:numPr>
          <w:ilvl w:val="0"/>
          <w:numId w:val="1010"/>
        </w:numPr>
        <w:pStyle w:val="Compact"/>
      </w:pPr>
      <w:r>
        <w:t xml:space="preserve">treinamento em diretórios de encaminhamento e navegação de recursos;</w:t>
      </w:r>
    </w:p>
    <w:p>
      <w:pPr>
        <w:numPr>
          <w:ilvl w:val="0"/>
          <w:numId w:val="1010"/>
        </w:numPr>
        <w:pStyle w:val="Compact"/>
      </w:pPr>
      <w:r>
        <w:t xml:space="preserve">documentação e sistemas de gestão de casos;</w:t>
      </w:r>
    </w:p>
    <w:p>
      <w:pPr>
        <w:numPr>
          <w:ilvl w:val="0"/>
          <w:numId w:val="1010"/>
        </w:numPr>
        <w:pStyle w:val="Compact"/>
      </w:pPr>
      <w:r>
        <w:t xml:space="preserve">privacidade e cibersegurança;</w:t>
      </w:r>
    </w:p>
    <w:p>
      <w:pPr>
        <w:numPr>
          <w:ilvl w:val="0"/>
          <w:numId w:val="1010"/>
        </w:numPr>
        <w:pStyle w:val="Compact"/>
      </w:pPr>
      <w:r>
        <w:t xml:space="preserve">salvaguarda e reporte obrigatório;</w:t>
      </w:r>
    </w:p>
    <w:p>
      <w:pPr>
        <w:numPr>
          <w:ilvl w:val="0"/>
          <w:numId w:val="1010"/>
        </w:numPr>
        <w:pStyle w:val="Compact"/>
      </w:pPr>
      <w:r>
        <w:t xml:space="preserve">desescalada e conscientização sobre trauma;</w:t>
      </w:r>
    </w:p>
    <w:p>
      <w:pPr>
        <w:numPr>
          <w:ilvl w:val="0"/>
          <w:numId w:val="1010"/>
        </w:numPr>
        <w:pStyle w:val="Compact"/>
      </w:pPr>
      <w:r>
        <w:t xml:space="preserve">inclusão de deficiência;</w:t>
      </w:r>
    </w:p>
    <w:p>
      <w:pPr>
        <w:numPr>
          <w:ilvl w:val="0"/>
          <w:numId w:val="1010"/>
        </w:numPr>
        <w:pStyle w:val="Compact"/>
      </w:pPr>
      <w:r>
        <w:t xml:space="preserve">assistência de matrícula;</w:t>
      </w:r>
    </w:p>
    <w:p>
      <w:pPr>
        <w:numPr>
          <w:ilvl w:val="0"/>
          <w:numId w:val="1010"/>
        </w:numPr>
        <w:pStyle w:val="Compact"/>
      </w:pPr>
      <w:r>
        <w:t xml:space="preserve">reembolso de certificação ou curso;</w:t>
      </w:r>
    </w:p>
    <w:p>
      <w:pPr>
        <w:numPr>
          <w:ilvl w:val="0"/>
          <w:numId w:val="1010"/>
        </w:numPr>
        <w:pStyle w:val="Compact"/>
      </w:pPr>
      <w:r>
        <w:t xml:space="preserve">apoio ao aprendizado de idiomas;</w:t>
      </w:r>
    </w:p>
    <w:p>
      <w:pPr>
        <w:numPr>
          <w:ilvl w:val="0"/>
          <w:numId w:val="1010"/>
        </w:numPr>
        <w:pStyle w:val="Compact"/>
      </w:pPr>
      <w:r>
        <w:t xml:space="preserve">treinamento cruzado em moradia, deficiência, emprego, família, envelhecimento, saúde, juventude ou serviços comunitários; e</w:t>
      </w:r>
    </w:p>
    <w:p>
      <w:pPr>
        <w:numPr>
          <w:ilvl w:val="0"/>
          <w:numId w:val="1010"/>
        </w:numPr>
        <w:pStyle w:val="Compact"/>
      </w:pPr>
      <w:r>
        <w:t xml:space="preserve">caminhos internos de promoção.</w:t>
      </w:r>
    </w:p>
    <w:p>
      <w:pPr>
        <w:pStyle w:val="FirstParagraph"/>
      </w:pPr>
      <w:r>
        <w:t xml:space="preserve">Obtenha por escrito qualquer obrigação de reembolso antes de aceitar educação financiada pelo empregador.</w:t>
      </w:r>
    </w:p>
    <w:bookmarkEnd w:id="39"/>
    <w:bookmarkStart w:id="44" w:name="renda-e-perspectiva-de-emprego"/>
    <w:p>
      <w:pPr>
        <w:pStyle w:val="Heading2"/>
      </w:pPr>
      <w:r>
        <w:t xml:space="preserve">Renda e perspectiva de emprego</w:t>
      </w:r>
    </w:p>
    <w:bookmarkStart w:id="40" w:name="X9f5835f46d412bdb755471ed178d26ed83e7667"/>
    <w:p>
      <w:pPr>
        <w:pStyle w:val="Heading3"/>
      </w:pPr>
      <w:r>
        <w:t xml:space="preserve">Estados Unidos — dados ocupacionais oficiais</w:t>
      </w:r>
    </w:p>
    <w:p>
      <w:pPr>
        <w:pStyle w:val="FirstParagraph"/>
      </w:pPr>
      <w:r>
        <w:t xml:space="preserve">O O*NET reporta</w:t>
      </w:r>
      <w:r>
        <w:t xml:space="preserve"> </w:t>
      </w:r>
      <w:r>
        <w:rPr>
          <w:bCs/>
          <w:b/>
        </w:rPr>
        <w:t xml:space="preserve">dados salariais BLS de 2025</w:t>
      </w:r>
      <w:r>
        <w:t xml:space="preserve"> </w:t>
      </w:r>
      <w:r>
        <w:t xml:space="preserve">para Social and Human Service Assistants, 21-1093.00:</w:t>
      </w:r>
    </w:p>
    <w:p>
      <w:pPr>
        <w:numPr>
          <w:ilvl w:val="0"/>
          <w:numId w:val="1011"/>
        </w:numPr>
        <w:pStyle w:val="Compact"/>
      </w:pPr>
      <w:r>
        <w:rPr>
          <w:bCs/>
          <w:b/>
        </w:rPr>
        <w:t xml:space="preserve">Salário mediano por hora: USD $22.08</w:t>
      </w:r>
    </w:p>
    <w:p>
      <w:pPr>
        <w:numPr>
          <w:ilvl w:val="0"/>
          <w:numId w:val="1011"/>
        </w:numPr>
        <w:pStyle w:val="Compact"/>
      </w:pPr>
      <w:r>
        <w:rPr>
          <w:bCs/>
          <w:b/>
        </w:rPr>
        <w:t xml:space="preserve">Salário mediano anual: USD $45,930</w:t>
      </w:r>
    </w:p>
    <w:p>
      <w:pPr>
        <w:pStyle w:val="FirstParagraph"/>
      </w:pPr>
      <w:r>
        <w:t xml:space="preserve">O O*NET também reporta aproximadamente</w:t>
      </w:r>
      <w:r>
        <w:t xml:space="preserve"> </w:t>
      </w:r>
      <w:r>
        <w:rPr>
          <w:bCs/>
          <w:b/>
        </w:rPr>
        <w:t xml:space="preserve">449,600 trabalhadores em 2024</w:t>
      </w:r>
      <w:r>
        <w:t xml:space="preserve">, crescimento projetado de</w:t>
      </w:r>
      <w:r>
        <w:t xml:space="preserve"> </w:t>
      </w:r>
      <w:r>
        <w:rPr>
          <w:bCs/>
          <w:b/>
        </w:rPr>
        <w:t xml:space="preserve">6% de 2024 a 2034</w:t>
      </w:r>
      <w:r>
        <w:t xml:space="preserve"> </w:t>
      </w:r>
      <w:r>
        <w:t xml:space="preserve">e aproximadamente</w:t>
      </w:r>
      <w:r>
        <w:t xml:space="preserve"> </w:t>
      </w:r>
      <w:r>
        <w:rPr>
          <w:bCs/>
          <w:b/>
        </w:rPr>
        <w:t xml:space="preserve">50,600 vagas por ano</w:t>
      </w:r>
      <w:r>
        <w:t xml:space="preserve"> </w:t>
      </w:r>
      <w:r>
        <w:t xml:space="preserve">durante a década.</w:t>
      </w:r>
    </w:p>
    <w:p>
      <w:pPr>
        <w:pStyle w:val="BodyText"/>
      </w:pPr>
      <w:r>
        <w:t xml:space="preserve">São números nacionais para a ocupação mapeada. Não garantem salário inicial e não representam todos os cargos que usam as palavras</w:t>
      </w:r>
      <w:r>
        <w:t xml:space="preserve"> </w:t>
      </w:r>
      <w:r>
        <w:rPr>
          <w:iCs/>
          <w:i/>
        </w:rPr>
        <w:t xml:space="preserve">case management</w:t>
      </w:r>
      <w:r>
        <w:t xml:space="preserve"> </w:t>
      </w:r>
      <w:r>
        <w:t xml:space="preserve">ou</w:t>
      </w:r>
      <w:r>
        <w:t xml:space="preserve"> </w:t>
      </w:r>
      <w:r>
        <w:rPr>
          <w:iCs/>
          <w:i/>
        </w:rPr>
        <w:t xml:space="preserve">navigator</w:t>
      </w:r>
      <w:r>
        <w:t xml:space="preserve">.</w:t>
      </w:r>
    </w:p>
    <w:bookmarkEnd w:id="40"/>
    <w:bookmarkStart w:id="41" w:name="Xcb26ca549628bcddc84eec5747228e704c70a96"/>
    <w:p>
      <w:pPr>
        <w:pStyle w:val="Heading3"/>
      </w:pPr>
      <w:r>
        <w:t xml:space="preserve">Estados Unidos — estimativa privada atual por título</w:t>
      </w:r>
    </w:p>
    <w:p>
      <w:pPr>
        <w:pStyle w:val="FirstParagraph"/>
      </w:pPr>
      <w:r>
        <w:t xml:space="preserve">O Indeed reportou salário-base médio de aproximadamente</w:t>
      </w:r>
      <w:r>
        <w:t xml:space="preserve"> </w:t>
      </w:r>
      <w:r>
        <w:rPr>
          <w:bCs/>
          <w:b/>
        </w:rPr>
        <w:t xml:space="preserve">USD $62,739/year</w:t>
      </w:r>
      <w:r>
        <w:t xml:space="preserve"> </w:t>
      </w:r>
      <w:r>
        <w:t xml:space="preserve">para o título amplo</w:t>
      </w:r>
      <w:r>
        <w:t xml:space="preserve"> </w:t>
      </w:r>
      <w:r>
        <w:rPr>
          <w:iCs/>
          <w:i/>
        </w:rPr>
        <w:t xml:space="preserve">Navigator</w:t>
      </w:r>
      <w:r>
        <w:t xml:space="preserve">, baseado em cerca de 1,7 mil observações salariais de anúncios nos 36 meses anteriores e atualizado em</w:t>
      </w:r>
      <w:r>
        <w:t xml:space="preserve"> </w:t>
      </w:r>
      <w:r>
        <w:rPr>
          <w:bCs/>
          <w:b/>
        </w:rPr>
        <w:t xml:space="preserve">2 de agosto de 2026</w:t>
      </w:r>
      <w:r>
        <w:t xml:space="preserve">.</w:t>
      </w:r>
    </w:p>
    <w:p>
      <w:pPr>
        <w:pStyle w:val="BodyText"/>
      </w:pPr>
      <w:r>
        <w:t xml:space="preserve">Essa é uma</w:t>
      </w:r>
      <w:r>
        <w:t xml:space="preserve"> </w:t>
      </w:r>
      <w:r>
        <w:rPr>
          <w:bCs/>
          <w:b/>
        </w:rPr>
        <w:t xml:space="preserve">estimativa não governamental baseada em título amplo</w:t>
      </w:r>
      <w:r>
        <w:t xml:space="preserve"> </w:t>
      </w:r>
      <w:r>
        <w:t xml:space="preserve">e inclui funções clínicas, educacionais, de emprego, transporte e outras que não são equivalentes. Não deve ser tratada como salário oficial do Guia 60 nem combinada com O*NET/BLS como se fossem o mesmo conjunto de dados.</w:t>
      </w:r>
    </w:p>
    <w:p>
      <w:pPr>
        <w:pStyle w:val="BodyText"/>
      </w:pPr>
      <w:r>
        <w:t xml:space="preserve">Salary.com reporta estimativas consideravelmente mais altas para</w:t>
      </w:r>
      <w:r>
        <w:t xml:space="preserve"> </w:t>
      </w:r>
      <w:r>
        <w:rPr>
          <w:iCs/>
          <w:i/>
        </w:rPr>
        <w:t xml:space="preserve">Case Manager Assistant</w:t>
      </w:r>
      <w:r>
        <w:t xml:space="preserve"> </w:t>
      </w:r>
      <w:r>
        <w:t xml:space="preserve">e</w:t>
      </w:r>
      <w:r>
        <w:t xml:space="preserve"> </w:t>
      </w:r>
      <w:r>
        <w:rPr>
          <w:iCs/>
          <w:i/>
        </w:rPr>
        <w:t xml:space="preserve">Case Management Assistant</w:t>
      </w:r>
      <w:r>
        <w:t xml:space="preserve">. Esses números podem incluir funções clínicas ou hospitalares mais bem pagas e não devem ser usados como referência padrão para este guia de nível de apoio sem comparação com uma vaga específica.</w:t>
      </w:r>
    </w:p>
    <w:bookmarkEnd w:id="41"/>
    <w:bookmarkStart w:id="42" w:name="canadá--dados-oficiais"/>
    <w:p>
      <w:pPr>
        <w:pStyle w:val="Heading3"/>
      </w:pPr>
      <w:r>
        <w:t xml:space="preserve">Canadá — dados oficiais</w:t>
      </w:r>
    </w:p>
    <w:p>
      <w:pPr>
        <w:pStyle w:val="FirstParagraph"/>
      </w:pPr>
      <w:r>
        <w:t xml:space="preserve">O Job Bank do Governo do Canadá reporta salários nacionais para NOC 42201, atualizados em</w:t>
      </w:r>
      <w:r>
        <w:t xml:space="preserve"> </w:t>
      </w:r>
      <w:r>
        <w:rPr>
          <w:bCs/>
          <w:b/>
        </w:rPr>
        <w:t xml:space="preserve">19 de novembro de 2025</w:t>
      </w:r>
      <w:r>
        <w:t xml:space="preserve">, de aproximadamente:</w:t>
      </w:r>
    </w:p>
    <w:p>
      <w:pPr>
        <w:numPr>
          <w:ilvl w:val="0"/>
          <w:numId w:val="1012"/>
        </w:numPr>
        <w:pStyle w:val="Compact"/>
      </w:pPr>
      <w:r>
        <w:rPr>
          <w:bCs/>
          <w:b/>
        </w:rPr>
        <w:t xml:space="preserve">CAD $19.00/hour baixo</w:t>
      </w:r>
    </w:p>
    <w:p>
      <w:pPr>
        <w:numPr>
          <w:ilvl w:val="0"/>
          <w:numId w:val="1012"/>
        </w:numPr>
        <w:pStyle w:val="Compact"/>
      </w:pPr>
      <w:r>
        <w:rPr>
          <w:bCs/>
          <w:b/>
        </w:rPr>
        <w:t xml:space="preserve">CAD $26.00/hour mediano</w:t>
      </w:r>
    </w:p>
    <w:p>
      <w:pPr>
        <w:numPr>
          <w:ilvl w:val="0"/>
          <w:numId w:val="1012"/>
        </w:numPr>
        <w:pStyle w:val="Compact"/>
      </w:pPr>
      <w:r>
        <w:rPr>
          <w:bCs/>
          <w:b/>
        </w:rPr>
        <w:t xml:space="preserve">CAD $36.06/hour alto</w:t>
      </w:r>
    </w:p>
    <w:p>
      <w:pPr>
        <w:pStyle w:val="FirstParagraph"/>
      </w:pPr>
      <w:r>
        <w:t xml:space="preserve">O período nacional de referência salarial subjacente é 2023–2024. Salários provinciais e regionais podem variar de forma material.</w:t>
      </w:r>
    </w:p>
    <w:bookmarkEnd w:id="42"/>
    <w:bookmarkStart w:id="43" w:name="colômbia-1"/>
    <w:p>
      <w:pPr>
        <w:pStyle w:val="Heading3"/>
      </w:pPr>
      <w:r>
        <w:t xml:space="preserve">Colômbia</w:t>
      </w:r>
    </w:p>
    <w:p>
      <w:pPr>
        <w:pStyle w:val="FirstParagraph"/>
      </w:pPr>
      <w:r>
        <w:t xml:space="preserve">Não foi identificada nesta revisão uma série salarial nacional oficial atual que se mapeie de forma limpa e direta ao título composto deste guia. Não invente um salário nacional.</w:t>
      </w:r>
    </w:p>
    <w:p>
      <w:pPr>
        <w:pStyle w:val="BodyText"/>
      </w:pPr>
      <w:r>
        <w:t xml:space="preserve">Use vagas atuais da Agencia Pública de Empleo do SENA e outras fontes verificadas para comparar remuneração, horário, tipo de contrato e requisitos na cidade ou departamento onde pretende trabalhar.</w:t>
      </w:r>
    </w:p>
    <w:bookmarkEnd w:id="43"/>
    <w:bookmarkEnd w:id="44"/>
    <w:bookmarkStart w:id="45" w:name="plano-prático-de-início-em-12-semanas"/>
    <w:p>
      <w:pPr>
        <w:pStyle w:val="Heading2"/>
      </w:pPr>
      <w:r>
        <w:t xml:space="preserve">Plano prático de início em 12 semanas</w:t>
      </w:r>
    </w:p>
    <w:p>
      <w:pPr>
        <w:pStyle w:val="FirstParagraph"/>
      </w:pPr>
      <w:r>
        <w:rPr>
          <w:bCs/>
          <w:b/>
        </w:rPr>
        <w:t xml:space="preserve">Semanas 1–2:</w:t>
      </w:r>
      <w:r>
        <w:t xml:space="preserve"> </w:t>
      </w:r>
      <w:r>
        <w:t xml:space="preserve">Revise 15–20 vagas locais. Registre títulos, educação, direção, antecedentes, populações atendidas, sistemas de documentação, horários e requisitos de idiomas.</w:t>
      </w:r>
    </w:p>
    <w:p>
      <w:pPr>
        <w:pStyle w:val="BodyText"/>
      </w:pPr>
      <w:r>
        <w:rPr>
          <w:bCs/>
          <w:b/>
        </w:rPr>
        <w:t xml:space="preserve">Semanas 3–4:</w:t>
      </w:r>
      <w:r>
        <w:t xml:space="preserve"> </w:t>
      </w:r>
      <w:r>
        <w:t xml:space="preserve">Construa um mapa local de recursos de moradia, alimentação, emprego, deficiência, envelhecimento, juventude, família, saúde, transporte, assistência jurídica e crise. Verifique o que cada organização realmente faz e como funcionam os encaminhamentos.</w:t>
      </w:r>
    </w:p>
    <w:p>
      <w:pPr>
        <w:pStyle w:val="BodyText"/>
      </w:pPr>
      <w:r>
        <w:rPr>
          <w:bCs/>
          <w:b/>
        </w:rPr>
        <w:t xml:space="preserve">Semanas 5–6:</w:t>
      </w:r>
      <w:r>
        <w:t xml:space="preserve"> </w:t>
      </w:r>
      <w:r>
        <w:t xml:space="preserve">Pratique escuta ativa, explicação em linguagem simples, notas objetivas, limites profissionais, privacidade e documentação básica usando cenários fictícios.</w:t>
      </w:r>
    </w:p>
    <w:p>
      <w:pPr>
        <w:pStyle w:val="BodyText"/>
      </w:pPr>
      <w:r>
        <w:rPr>
          <w:bCs/>
          <w:b/>
        </w:rPr>
        <w:t xml:space="preserve">Semanas 7–8:</w:t>
      </w:r>
      <w:r>
        <w:t xml:space="preserve"> </w:t>
      </w:r>
      <w:r>
        <w:t xml:space="preserve">Conclua treinamento público ou reconhecido por empregadores em salvaguarda, conscientização sobre trauma, desescalada, inclusão de deficiência, privacidade digital ou navegação comunitária quando apropriado.</w:t>
      </w:r>
    </w:p>
    <w:p>
      <w:pPr>
        <w:pStyle w:val="BodyText"/>
      </w:pPr>
      <w:r>
        <w:rPr>
          <w:bCs/>
          <w:b/>
        </w:rPr>
        <w:t xml:space="preserve">Semanas 9–10:</w:t>
      </w:r>
      <w:r>
        <w:t xml:space="preserve"> </w:t>
      </w:r>
      <w:r>
        <w:t xml:space="preserve">Desenvolva experiência supervisionada por voluntariado, programas comunitários, atendimento ao cliente, apoio administrativo, abrigos, deficiência, juventude, envelhecimento, saúde ou programas de emprego.</w:t>
      </w:r>
    </w:p>
    <w:p>
      <w:pPr>
        <w:pStyle w:val="BodyText"/>
      </w:pPr>
      <w:r>
        <w:rPr>
          <w:bCs/>
          <w:b/>
        </w:rPr>
        <w:t xml:space="preserve">Semanas 11–12:</w:t>
      </w:r>
      <w:r>
        <w:t xml:space="preserve"> </w:t>
      </w:r>
      <w:r>
        <w:t xml:space="preserve">Candidate-se a funções compatíveis com sua educação e experiência reais. Prepare exemplos que demonstrem confiabilidade, documentação, empatia, limites, navegação de recursos e encaminhamento adequado.</w:t>
      </w:r>
    </w:p>
    <w:bookmarkEnd w:id="45"/>
    <w:bookmarkStart w:id="46" w:name="X11c47e7962e34ffb5d264d1389ebf547cebcf9c"/>
    <w:p>
      <w:pPr>
        <w:pStyle w:val="Heading2"/>
      </w:pPr>
      <w:r>
        <w:t xml:space="preserve">Construindo experiência sem já ter o título</w:t>
      </w:r>
    </w:p>
    <w:p>
      <w:pPr>
        <w:pStyle w:val="FirstParagraph"/>
      </w:pPr>
      <w:r>
        <w:t xml:space="preserve">Experiência transferível pode vir de:</w:t>
      </w:r>
    </w:p>
    <w:p>
      <w:pPr>
        <w:numPr>
          <w:ilvl w:val="0"/>
          <w:numId w:val="1013"/>
        </w:numPr>
        <w:pStyle w:val="Compact"/>
      </w:pPr>
      <w:r>
        <w:t xml:space="preserve">voluntariado comunitário;</w:t>
      </w:r>
    </w:p>
    <w:p>
      <w:pPr>
        <w:numPr>
          <w:ilvl w:val="0"/>
          <w:numId w:val="1013"/>
        </w:numPr>
        <w:pStyle w:val="Compact"/>
      </w:pPr>
      <w:r>
        <w:t xml:space="preserve">bancos de alimentos ou centros de recursos;</w:t>
      </w:r>
    </w:p>
    <w:p>
      <w:pPr>
        <w:numPr>
          <w:ilvl w:val="0"/>
          <w:numId w:val="1013"/>
        </w:numPr>
        <w:pStyle w:val="Compact"/>
      </w:pPr>
      <w:r>
        <w:t xml:space="preserve">apoio de moradia ou abrigo;</w:t>
      </w:r>
    </w:p>
    <w:p>
      <w:pPr>
        <w:numPr>
          <w:ilvl w:val="0"/>
          <w:numId w:val="1013"/>
        </w:numPr>
        <w:pStyle w:val="Compact"/>
      </w:pPr>
      <w:r>
        <w:t xml:space="preserve">programas de deficiência;</w:t>
      </w:r>
    </w:p>
    <w:p>
      <w:pPr>
        <w:numPr>
          <w:ilvl w:val="0"/>
          <w:numId w:val="1013"/>
        </w:numPr>
        <w:pStyle w:val="Compact"/>
      </w:pPr>
      <w:r>
        <w:t xml:space="preserve">serviços para idosos;</w:t>
      </w:r>
    </w:p>
    <w:p>
      <w:pPr>
        <w:numPr>
          <w:ilvl w:val="0"/>
          <w:numId w:val="1013"/>
        </w:numPr>
        <w:pStyle w:val="Compact"/>
      </w:pPr>
      <w:r>
        <w:t xml:space="preserve">programas juvenis;</w:t>
      </w:r>
    </w:p>
    <w:p>
      <w:pPr>
        <w:numPr>
          <w:ilvl w:val="0"/>
          <w:numId w:val="1013"/>
        </w:numPr>
        <w:pStyle w:val="Compact"/>
      </w:pPr>
      <w:r>
        <w:t xml:space="preserve">atendimento ao cliente;</w:t>
      </w:r>
    </w:p>
    <w:p>
      <w:pPr>
        <w:numPr>
          <w:ilvl w:val="0"/>
          <w:numId w:val="1013"/>
        </w:numPr>
        <w:pStyle w:val="Compact"/>
      </w:pPr>
      <w:r>
        <w:t xml:space="preserve">administração em saúde;</w:t>
      </w:r>
    </w:p>
    <w:p>
      <w:pPr>
        <w:numPr>
          <w:ilvl w:val="0"/>
          <w:numId w:val="1013"/>
        </w:numPr>
        <w:pStyle w:val="Compact"/>
      </w:pPr>
      <w:r>
        <w:t xml:space="preserve">recepção e agendamento;</w:t>
      </w:r>
    </w:p>
    <w:p>
      <w:pPr>
        <w:numPr>
          <w:ilvl w:val="0"/>
          <w:numId w:val="1013"/>
        </w:numPr>
        <w:pStyle w:val="Compact"/>
      </w:pPr>
      <w:r>
        <w:t xml:space="preserve">cuidado;</w:t>
      </w:r>
    </w:p>
    <w:p>
      <w:pPr>
        <w:numPr>
          <w:ilvl w:val="0"/>
          <w:numId w:val="1013"/>
        </w:numPr>
        <w:pStyle w:val="Compact"/>
      </w:pPr>
      <w:r>
        <w:t xml:space="preserve">organizações comunitárias ou religiosas;</w:t>
      </w:r>
    </w:p>
    <w:p>
      <w:pPr>
        <w:numPr>
          <w:ilvl w:val="0"/>
          <w:numId w:val="1013"/>
        </w:numPr>
        <w:pStyle w:val="Compact"/>
      </w:pPr>
      <w:r>
        <w:t xml:space="preserve">apoio escolar; ou</w:t>
      </w:r>
    </w:p>
    <w:p>
      <w:pPr>
        <w:numPr>
          <w:ilvl w:val="0"/>
          <w:numId w:val="1013"/>
        </w:numPr>
        <w:pStyle w:val="Compact"/>
      </w:pPr>
      <w:r>
        <w:t xml:space="preserve">programas de emprego e força de trabalho.</w:t>
      </w:r>
    </w:p>
    <w:p>
      <w:pPr>
        <w:pStyle w:val="FirstParagraph"/>
      </w:pPr>
      <w:r>
        <w:t xml:space="preserve">Descreva sua experiência com precisão. Evidências úteis incluem registros corretos, encaminhamentos bem-sucedidos, volume de atendimento, presença confiável, apoio linguístico, logística de oficinas, desescalada sob supervisão ou ajuda com processos rotineiros.</w:t>
      </w:r>
    </w:p>
    <w:p>
      <w:pPr>
        <w:pStyle w:val="BodyText"/>
      </w:pPr>
      <w:r>
        <w:t xml:space="preserve">Não alegue aconselhamento clínico, licença de serviço social, autoridade independente de gestão de casos, adjudicação de benefícios, comando de crise ou experiência jurídica que você não possui.</w:t>
      </w:r>
    </w:p>
    <w:bookmarkEnd w:id="46"/>
    <w:bookmarkStart w:id="47" w:name="progressão-de-carreira"/>
    <w:p>
      <w:pPr>
        <w:pStyle w:val="Heading2"/>
      </w:pPr>
      <w:r>
        <w:t xml:space="preserve">Progressão de carreira</w:t>
      </w:r>
    </w:p>
    <w:p>
      <w:pPr>
        <w:pStyle w:val="FirstParagraph"/>
      </w:pPr>
      <w:r>
        <w:t xml:space="preserve">Próximos passos possíveis incluem assistente sênior de serviços humanos, auxiliar de casos, trabalhador de apoio comunitário, trabalhador de alcance, navegador de moradia, navegador de benefícios, especialista de admissão, coordenador de programas, apoio familiar, serviços de deficiência, emprego ou recursos comunitários.</w:t>
      </w:r>
    </w:p>
    <w:p>
      <w:pPr>
        <w:pStyle w:val="BodyText"/>
      </w:pPr>
      <w:r>
        <w:t xml:space="preserve">Com educação adicional e credenciais específicas da jurisdição, algumas pessoas podem avançar para serviço social, aconselhamento, reabilitação, saúde comportamental, enfermagem, administração pública, desenvolvimento comunitário ou gestão profissional de casos.</w:t>
      </w:r>
    </w:p>
    <w:p>
      <w:pPr>
        <w:pStyle w:val="BodyText"/>
      </w:pPr>
      <w:r>
        <w:t xml:space="preserve">Não suponha que experiência por si só conceda um título profissional protegido. Verifique requisitos legais e educacionais do próximo cargo antes de se matricular ou se apresentar sob esse título.</w:t>
      </w:r>
    </w:p>
    <w:bookmarkEnd w:id="47"/>
    <w:bookmarkStart w:id="48" w:name="uso-responsável-de-ia-neste-trabalho"/>
    <w:p>
      <w:pPr>
        <w:pStyle w:val="Heading2"/>
      </w:pPr>
      <w:r>
        <w:t xml:space="preserve">Uso responsável de IA neste trabalho</w:t>
      </w:r>
    </w:p>
    <w:p>
      <w:pPr>
        <w:pStyle w:val="FirstParagraph"/>
      </w:pPr>
      <w:r>
        <w:t xml:space="preserve">A IA pode ser útil para:</w:t>
      </w:r>
    </w:p>
    <w:p>
      <w:pPr>
        <w:numPr>
          <w:ilvl w:val="0"/>
          <w:numId w:val="1014"/>
        </w:numPr>
        <w:pStyle w:val="Compact"/>
      </w:pPr>
      <w:r>
        <w:t xml:space="preserve">praticar perguntas de entrevista;</w:t>
      </w:r>
    </w:p>
    <w:p>
      <w:pPr>
        <w:numPr>
          <w:ilvl w:val="0"/>
          <w:numId w:val="1014"/>
        </w:numPr>
        <w:pStyle w:val="Compact"/>
      </w:pPr>
      <w:r>
        <w:t xml:space="preserve">explicar terminologia geral não sensível;</w:t>
      </w:r>
    </w:p>
    <w:p>
      <w:pPr>
        <w:numPr>
          <w:ilvl w:val="0"/>
          <w:numId w:val="1014"/>
        </w:numPr>
        <w:pStyle w:val="Compact"/>
      </w:pPr>
      <w:r>
        <w:t xml:space="preserve">elaborar notas genéricas de estudo;</w:t>
      </w:r>
    </w:p>
    <w:p>
      <w:pPr>
        <w:numPr>
          <w:ilvl w:val="0"/>
          <w:numId w:val="1014"/>
        </w:numPr>
        <w:pStyle w:val="Compact"/>
      </w:pPr>
      <w:r>
        <w:t xml:space="preserve">criar cenários fictícios de prática; ou</w:t>
      </w:r>
    </w:p>
    <w:p>
      <w:pPr>
        <w:numPr>
          <w:ilvl w:val="0"/>
          <w:numId w:val="1014"/>
        </w:numPr>
        <w:pStyle w:val="Compact"/>
      </w:pPr>
      <w:r>
        <w:t xml:space="preserve">organizar uma lista genérica de recursos.</w:t>
      </w:r>
    </w:p>
    <w:p>
      <w:pPr>
        <w:pStyle w:val="FirstParagraph"/>
      </w:pPr>
      <w:r>
        <w:t xml:space="preserve">A IA</w:t>
      </w:r>
      <w:r>
        <w:t xml:space="preserve"> </w:t>
      </w:r>
      <w:r>
        <w:rPr>
          <w:bCs/>
          <w:b/>
        </w:rPr>
        <w:t xml:space="preserve">não deve</w:t>
      </w:r>
      <w:r>
        <w:t xml:space="preserve"> </w:t>
      </w:r>
      <w:r>
        <w:t xml:space="preserve">substituir julgamento profissional, avaliação de crise, decisões de elegibilidade de benefícios, aconselhamento jurídico, diagnóstico clínico, decisões de salvaguarda, decisões de reporte obrigatório ou procedimentos aprovados de gestão de casos.</w:t>
      </w:r>
    </w:p>
    <w:p>
      <w:pPr>
        <w:pStyle w:val="BodyText"/>
      </w:pPr>
      <w:r>
        <w:t xml:space="preserve">Não insira em ferramentas públicas de IA registros identificáveis de clientes, nomes, endereços, datas de nascimento, informações médicas ou de saúde mental, detalhes migratórios, benefícios, informações familiares, credenciais, notas de caso ou outros dados protegidos, a menos que a organização tenha aprovado expressamente esse uso e os controles necessários de privacidade e segurança estejam em vigor.</w:t>
      </w:r>
    </w:p>
    <w:p>
      <w:pPr>
        <w:pStyle w:val="BodyText"/>
      </w:pPr>
      <w:r>
        <w:t xml:space="preserve">Verifique qualquer recurso, resumo de política, informação de contato ou afirmação jurídica gerada por IA antes de confiar nela. Recursos comunitários, regras de programas, telefones, critérios de elegibilidade e leis podem mudar.</w:t>
      </w:r>
    </w:p>
    <w:bookmarkEnd w:id="48"/>
    <w:bookmarkStart w:id="49" w:name="X73c1dc6fed9cebb995f2b3fb845a9defe41fa9c"/>
    <w:p>
      <w:pPr>
        <w:pStyle w:val="Heading2"/>
      </w:pPr>
      <w:r>
        <w:t xml:space="preserve">Fundamentos de cibersegurança e privacidade</w:t>
      </w:r>
    </w:p>
    <w:p>
      <w:pPr>
        <w:pStyle w:val="FirstParagraph"/>
      </w:pPr>
      <w:r>
        <w:t xml:space="preserve">Organizações podem usar sistemas de gestão de casos, prontuários eletrônicos, unidades compartilhadas, e-mail, mensageria, portais de benefícios, sistemas de saúde, portais governamentais e dispositivos móveis.</w:t>
      </w:r>
    </w:p>
    <w:p>
      <w:pPr>
        <w:pStyle w:val="BodyText"/>
      </w:pPr>
      <w:r>
        <w:t xml:space="preserve">Siga as regras do empregador para:</w:t>
      </w:r>
    </w:p>
    <w:p>
      <w:pPr>
        <w:numPr>
          <w:ilvl w:val="0"/>
          <w:numId w:val="1015"/>
        </w:numPr>
        <w:pStyle w:val="Compact"/>
      </w:pPr>
      <w:r>
        <w:t xml:space="preserve">autenticação multifator;</w:t>
      </w:r>
    </w:p>
    <w:p>
      <w:pPr>
        <w:numPr>
          <w:ilvl w:val="0"/>
          <w:numId w:val="1015"/>
        </w:numPr>
        <w:pStyle w:val="Compact"/>
      </w:pPr>
      <w:r>
        <w:t xml:space="preserve">senhas e não compartilhamento de credenciais;</w:t>
      </w:r>
    </w:p>
    <w:p>
      <w:pPr>
        <w:numPr>
          <w:ilvl w:val="0"/>
          <w:numId w:val="1015"/>
        </w:numPr>
        <w:pStyle w:val="Compact"/>
      </w:pPr>
      <w:r>
        <w:t xml:space="preserve">dispositivos e aplicativos aprovados;</w:t>
      </w:r>
    </w:p>
    <w:p>
      <w:pPr>
        <w:numPr>
          <w:ilvl w:val="0"/>
          <w:numId w:val="1015"/>
        </w:numPr>
        <w:pStyle w:val="Compact"/>
      </w:pPr>
      <w:r>
        <w:t xml:space="preserve">phishing e links suspeitos;</w:t>
      </w:r>
    </w:p>
    <w:p>
      <w:pPr>
        <w:numPr>
          <w:ilvl w:val="0"/>
          <w:numId w:val="1015"/>
        </w:numPr>
        <w:pStyle w:val="Compact"/>
      </w:pPr>
      <w:r>
        <w:t xml:space="preserve">compartilhamento criptografado ou aprovado de arquivos;</w:t>
      </w:r>
    </w:p>
    <w:p>
      <w:pPr>
        <w:numPr>
          <w:ilvl w:val="0"/>
          <w:numId w:val="1015"/>
        </w:numPr>
        <w:pStyle w:val="Compact"/>
      </w:pPr>
      <w:r>
        <w:t xml:space="preserve">verificação de identidade do cliente;</w:t>
      </w:r>
    </w:p>
    <w:p>
      <w:pPr>
        <w:numPr>
          <w:ilvl w:val="0"/>
          <w:numId w:val="1015"/>
        </w:numPr>
        <w:pStyle w:val="Compact"/>
      </w:pPr>
      <w:r>
        <w:t xml:space="preserve">acesso baseado em função;</w:t>
      </w:r>
    </w:p>
    <w:p>
      <w:pPr>
        <w:numPr>
          <w:ilvl w:val="0"/>
          <w:numId w:val="1015"/>
        </w:numPr>
        <w:pStyle w:val="Compact"/>
      </w:pPr>
      <w:r>
        <w:t xml:space="preserve">impressão e registros físicos;</w:t>
      </w:r>
    </w:p>
    <w:p>
      <w:pPr>
        <w:numPr>
          <w:ilvl w:val="0"/>
          <w:numId w:val="1015"/>
        </w:numPr>
        <w:pStyle w:val="Compact"/>
      </w:pPr>
      <w:r>
        <w:t xml:space="preserve">trabalho remoto;</w:t>
      </w:r>
    </w:p>
    <w:p>
      <w:pPr>
        <w:numPr>
          <w:ilvl w:val="0"/>
          <w:numId w:val="1015"/>
        </w:numPr>
        <w:pStyle w:val="Compact"/>
      </w:pPr>
      <w:r>
        <w:t xml:space="preserve">relato de incidentes; e</w:t>
      </w:r>
    </w:p>
    <w:p>
      <w:pPr>
        <w:numPr>
          <w:ilvl w:val="0"/>
          <w:numId w:val="1015"/>
        </w:numPr>
        <w:pStyle w:val="Compact"/>
      </w:pPr>
      <w:r>
        <w:t xml:space="preserve">descarte de informações sensíveis.</w:t>
      </w:r>
    </w:p>
    <w:p>
      <w:pPr>
        <w:pStyle w:val="FirstParagraph"/>
      </w:pPr>
      <w:r>
        <w:t xml:space="preserve">Tenha cuidado especial com pedidos urgentes para alterar dados bancários de um cliente, redirecionar benefícios, redefinir credenciais, compartilhar registros ou enviar documentos sensíveis por um canal inesperado. Verifique pelo processo aprovado antes de agir.</w:t>
      </w:r>
    </w:p>
    <w:bookmarkEnd w:id="49"/>
    <w:bookmarkStart w:id="50" w:name="X43751de0c57041ec39da4f669899cb4edf80b9a"/>
    <w:p>
      <w:pPr>
        <w:pStyle w:val="Heading2"/>
      </w:pPr>
      <w:r>
        <w:t xml:space="preserve">Evitar golpes e ofertas fracas de treinamento</w:t>
      </w:r>
    </w:p>
    <w:p>
      <w:pPr>
        <w:pStyle w:val="FirstParagraph"/>
      </w:pPr>
      <w:r>
        <w:t xml:space="preserve">Tenha cautela quando escola, recrutador ou vendedor de treinamento:</w:t>
      </w:r>
    </w:p>
    <w:p>
      <w:pPr>
        <w:numPr>
          <w:ilvl w:val="0"/>
          <w:numId w:val="1016"/>
        </w:numPr>
        <w:pStyle w:val="Compact"/>
      </w:pPr>
      <w:r>
        <w:t xml:space="preserve">garante emprego ou salário específico;</w:t>
      </w:r>
    </w:p>
    <w:p>
      <w:pPr>
        <w:numPr>
          <w:ilvl w:val="0"/>
          <w:numId w:val="1016"/>
        </w:numPr>
        <w:pStyle w:val="Compact"/>
      </w:pPr>
      <w:r>
        <w:t xml:space="preserve">afirma que certificado privado é legalmente obrigatório sem evidência oficial;</w:t>
      </w:r>
    </w:p>
    <w:p>
      <w:pPr>
        <w:numPr>
          <w:ilvl w:val="0"/>
          <w:numId w:val="1016"/>
        </w:numPr>
        <w:pStyle w:val="Compact"/>
      </w:pPr>
      <w:r>
        <w:t xml:space="preserve">pressiona para pagamento imediato;</w:t>
      </w:r>
    </w:p>
    <w:p>
      <w:pPr>
        <w:numPr>
          <w:ilvl w:val="0"/>
          <w:numId w:val="1016"/>
        </w:numPr>
        <w:pStyle w:val="Compact"/>
      </w:pPr>
      <w:r>
        <w:t xml:space="preserve">esconde custo total, financiamento, estágio ou regras de reembolso;</w:t>
      </w:r>
    </w:p>
    <w:p>
      <w:pPr>
        <w:numPr>
          <w:ilvl w:val="0"/>
          <w:numId w:val="1016"/>
        </w:numPr>
        <w:pStyle w:val="Compact"/>
      </w:pPr>
      <w:r>
        <w:t xml:space="preserve">não consegue explicar quais empregadores reconhecem o programa;</w:t>
      </w:r>
    </w:p>
    <w:p>
      <w:pPr>
        <w:numPr>
          <w:ilvl w:val="0"/>
          <w:numId w:val="1016"/>
        </w:numPr>
        <w:pStyle w:val="Compact"/>
      </w:pPr>
      <w:r>
        <w:t xml:space="preserve">pede pagamento por uma oferta de emprego ou equipamento com gift cards ou criptomoedas;</w:t>
      </w:r>
    </w:p>
    <w:p>
      <w:pPr>
        <w:numPr>
          <w:ilvl w:val="0"/>
          <w:numId w:val="1016"/>
        </w:numPr>
        <w:pStyle w:val="Compact"/>
      </w:pPr>
      <w:r>
        <w:t xml:space="preserve">promete benefícios governamentais, licença profissional ou resultado que não controla; ou</w:t>
      </w:r>
    </w:p>
    <w:p>
      <w:pPr>
        <w:numPr>
          <w:ilvl w:val="0"/>
          <w:numId w:val="1016"/>
        </w:numPr>
        <w:pStyle w:val="Compact"/>
      </w:pPr>
      <w:r>
        <w:t xml:space="preserve">pede dados sensíveis de identidade ou banco antes de você verificar a organização.</w:t>
      </w:r>
    </w:p>
    <w:p>
      <w:pPr>
        <w:pStyle w:val="FirstParagraph"/>
      </w:pPr>
      <w:r>
        <w:t xml:space="preserve">Use fontes oficiais de governo, empregadores, reguladores, instituições públicas de ensino ou formação profissional para verificar afirmações.</w:t>
      </w:r>
    </w:p>
    <w:bookmarkEnd w:id="50"/>
    <w:bookmarkStart w:id="51" w:name="quando-pausar-antes-de-gastar-dinheiro"/>
    <w:p>
      <w:pPr>
        <w:pStyle w:val="Heading2"/>
      </w:pPr>
      <w:r>
        <w:t xml:space="preserve">Quando pausar antes de gastar dinheiro</w:t>
      </w:r>
    </w:p>
    <w:p>
      <w:pPr>
        <w:pStyle w:val="FirstParagraph"/>
      </w:pPr>
      <w:r>
        <w:t xml:space="preserve">Pause ou adie a matrícula quando:</w:t>
      </w:r>
    </w:p>
    <w:p>
      <w:pPr>
        <w:numPr>
          <w:ilvl w:val="0"/>
          <w:numId w:val="1017"/>
        </w:numPr>
        <w:pStyle w:val="Compact"/>
      </w:pPr>
      <w:r>
        <w:t xml:space="preserve">empregadores locais não pedem a credencial;</w:t>
      </w:r>
    </w:p>
    <w:p>
      <w:pPr>
        <w:numPr>
          <w:ilvl w:val="0"/>
          <w:numId w:val="1017"/>
        </w:numPr>
        <w:pStyle w:val="Compact"/>
      </w:pPr>
      <w:r>
        <w:t xml:space="preserve">o fornecedor não informa por escrito o custo total e as regras de reembolso;</w:t>
      </w:r>
    </w:p>
    <w:p>
      <w:pPr>
        <w:numPr>
          <w:ilvl w:val="0"/>
          <w:numId w:val="1017"/>
        </w:numPr>
        <w:pStyle w:val="Compact"/>
      </w:pPr>
      <w:r>
        <w:t xml:space="preserve">uma opção pública, paga pelo empregador, financiada pela força de trabalho ou de menor custo pode cobrir a mesma habilidade;</w:t>
      </w:r>
    </w:p>
    <w:p>
      <w:pPr>
        <w:numPr>
          <w:ilvl w:val="0"/>
          <w:numId w:val="1017"/>
        </w:numPr>
        <w:pStyle w:val="Compact"/>
      </w:pPr>
      <w:r>
        <w:t xml:space="preserve">você não confirmou se o título é regulamentado onde pretende trabalhar;</w:t>
      </w:r>
    </w:p>
    <w:p>
      <w:pPr>
        <w:numPr>
          <w:ilvl w:val="0"/>
          <w:numId w:val="1017"/>
        </w:numPr>
        <w:pStyle w:val="Compact"/>
      </w:pPr>
      <w:r>
        <w:t xml:space="preserve">você não confirmou se o programa atende aos requisitos do financiamento que espera usar;</w:t>
      </w:r>
    </w:p>
    <w:p>
      <w:pPr>
        <w:numPr>
          <w:ilvl w:val="0"/>
          <w:numId w:val="1017"/>
        </w:numPr>
        <w:pStyle w:val="Compact"/>
      </w:pPr>
      <w:r>
        <w:t xml:space="preserve">um estágio não remunerado ou o horário não é realista; ou</w:t>
      </w:r>
    </w:p>
    <w:p>
      <w:pPr>
        <w:numPr>
          <w:ilvl w:val="0"/>
          <w:numId w:val="1017"/>
        </w:numPr>
        <w:pStyle w:val="Compact"/>
      </w:pPr>
      <w:r>
        <w:t xml:space="preserve">o financiamento criaria dívida que você não consegue pagar confortavelmente.</w:t>
      </w:r>
    </w:p>
    <w:bookmarkEnd w:id="51"/>
    <w:bookmarkStart w:id="66" w:name="fontes-atuais"/>
    <w:p>
      <w:pPr>
        <w:pStyle w:val="Heading2"/>
      </w:pPr>
      <w:r>
        <w:t xml:space="preserve">Fontes atuais</w:t>
      </w:r>
    </w:p>
    <w:p>
      <w:pPr>
        <w:pStyle w:val="FirstParagraph"/>
      </w:pPr>
      <w:r>
        <w:t xml:space="preserve">Fontes oficiais/públicas:</w:t>
      </w:r>
    </w:p>
    <w:p>
      <w:pPr>
        <w:numPr>
          <w:ilvl w:val="0"/>
          <w:numId w:val="1018"/>
        </w:numPr>
        <w:pStyle w:val="Compact"/>
      </w:pPr>
      <w:r>
        <w:t xml:space="preserve">O*NET OnLine — Social and Human Service Assistants, 21-1093.00:</w:t>
      </w:r>
      <w:r>
        <w:t xml:space="preserve"> </w:t>
      </w:r>
      <w:hyperlink r:id="rId52">
        <w:hyperlink r:id="rId52">
          <w:r>
            <w:rPr>
              <w:rStyle w:val="Hyperlink"/>
            </w:rPr>
            <w:t xml:space="preserve">Source link</w:t>
          </w:r>
        </w:hyperlink>
      </w:hyperlink>
    </w:p>
    <w:p>
      <w:pPr>
        <w:numPr>
          <w:ilvl w:val="0"/>
          <w:numId w:val="1018"/>
        </w:numPr>
        <w:pStyle w:val="Compact"/>
      </w:pPr>
      <w:r>
        <w:t xml:space="preserve">O*NET OnLine — National wages, 21-1093.00:</w:t>
      </w:r>
      <w:r>
        <w:t xml:space="preserve"> </w:t>
      </w:r>
      <w:hyperlink r:id="rId53">
        <w:hyperlink r:id="rId53">
          <w:r>
            <w:rPr>
              <w:rStyle w:val="Hyperlink"/>
            </w:rPr>
            <w:t xml:space="preserve">Source link</w:t>
          </w:r>
        </w:hyperlink>
      </w:hyperlink>
    </w:p>
    <w:p>
      <w:pPr>
        <w:numPr>
          <w:ilvl w:val="0"/>
          <w:numId w:val="1018"/>
        </w:numPr>
        <w:pStyle w:val="Compact"/>
      </w:pPr>
      <w:r>
        <w:t xml:space="preserve">U.S. Bureau of Labor Statistics — Social and Human Service Assistants:</w:t>
      </w:r>
      <w:r>
        <w:t xml:space="preserve"> </w:t>
      </w:r>
      <w:hyperlink r:id="rId54">
        <w:hyperlink r:id="rId54">
          <w:r>
            <w:rPr>
              <w:rStyle w:val="Hyperlink"/>
            </w:rPr>
            <w:t xml:space="preserve">Source link</w:t>
          </w:r>
        </w:hyperlink>
      </w:hyperlink>
    </w:p>
    <w:p>
      <w:pPr>
        <w:numPr>
          <w:ilvl w:val="0"/>
          <w:numId w:val="1018"/>
        </w:numPr>
        <w:pStyle w:val="Compact"/>
      </w:pPr>
      <w:r>
        <w:t xml:space="preserve">CareerOneStop — WIOA-Eligible Training Program Finder:</w:t>
      </w:r>
      <w:r>
        <w:t xml:space="preserve"> </w:t>
      </w:r>
      <w:hyperlink r:id="rId55">
        <w:hyperlink r:id="rId55">
          <w:r>
            <w:rPr>
              <w:rStyle w:val="Hyperlink"/>
            </w:rPr>
            <w:t xml:space="preserve">Source link</w:t>
          </w:r>
        </w:hyperlink>
      </w:hyperlink>
    </w:p>
    <w:p>
      <w:pPr>
        <w:numPr>
          <w:ilvl w:val="0"/>
          <w:numId w:val="1018"/>
        </w:numPr>
        <w:pStyle w:val="Compact"/>
      </w:pPr>
      <w:r>
        <w:t xml:space="preserve">CareerOneStop — Find Training:</w:t>
      </w:r>
      <w:r>
        <w:t xml:space="preserve"> </w:t>
      </w:r>
      <w:hyperlink r:id="rId56">
        <w:hyperlink r:id="rId56">
          <w:r>
            <w:rPr>
              <w:rStyle w:val="Hyperlink"/>
            </w:rPr>
            <w:t xml:space="preserve">Source link</w:t>
          </w:r>
        </w:hyperlink>
      </w:hyperlink>
    </w:p>
    <w:p>
      <w:pPr>
        <w:numPr>
          <w:ilvl w:val="0"/>
          <w:numId w:val="1018"/>
        </w:numPr>
        <w:pStyle w:val="Compact"/>
      </w:pPr>
      <w:r>
        <w:t xml:space="preserve">Apprenticeship.gov:</w:t>
      </w:r>
      <w:r>
        <w:t xml:space="preserve"> </w:t>
      </w:r>
      <w:hyperlink r:id="rId57">
        <w:r>
          <w:rPr>
            <w:rStyle w:val="Hyperlink"/>
          </w:rPr>
          <w:t xml:space="preserve">https://www.apprenticeship.gov/</w:t>
        </w:r>
      </w:hyperlink>
    </w:p>
    <w:p>
      <w:pPr>
        <w:numPr>
          <w:ilvl w:val="0"/>
          <w:numId w:val="1018"/>
        </w:numPr>
        <w:pStyle w:val="Compact"/>
      </w:pPr>
      <w:r>
        <w:t xml:space="preserve">Government of Canada Job Bank — NOC 42201 national summary:</w:t>
      </w:r>
      <w:r>
        <w:t xml:space="preserve"> </w:t>
      </w:r>
      <w:hyperlink r:id="rId58">
        <w:hyperlink r:id="rId58">
          <w:r>
            <w:rPr>
              <w:rStyle w:val="Hyperlink"/>
            </w:rPr>
            <w:t xml:space="preserve">Source link</w:t>
          </w:r>
        </w:hyperlink>
      </w:hyperlink>
    </w:p>
    <w:p>
      <w:pPr>
        <w:numPr>
          <w:ilvl w:val="0"/>
          <w:numId w:val="1018"/>
        </w:numPr>
        <w:pStyle w:val="Compact"/>
      </w:pPr>
      <w:r>
        <w:t xml:space="preserve">Government of Canada Job Bank — NOC 42201 requirements:</w:t>
      </w:r>
      <w:r>
        <w:t xml:space="preserve"> </w:t>
      </w:r>
      <w:hyperlink r:id="rId59">
        <w:hyperlink r:id="rId59">
          <w:r>
            <w:rPr>
              <w:rStyle w:val="Hyperlink"/>
            </w:rPr>
            <w:t xml:space="preserve">Source link</w:t>
          </w:r>
        </w:hyperlink>
      </w:hyperlink>
    </w:p>
    <w:p>
      <w:pPr>
        <w:numPr>
          <w:ilvl w:val="0"/>
          <w:numId w:val="1018"/>
        </w:numPr>
        <w:pStyle w:val="Compact"/>
      </w:pPr>
      <w:r>
        <w:t xml:space="preserve">Government of Canada Job Bank — NOC 42201 wages:</w:t>
      </w:r>
      <w:r>
        <w:t xml:space="preserve"> </w:t>
      </w:r>
      <w:hyperlink r:id="rId60">
        <w:hyperlink r:id="rId60">
          <w:r>
            <w:rPr>
              <w:rStyle w:val="Hyperlink"/>
            </w:rPr>
            <w:t xml:space="preserve">Source link</w:t>
          </w:r>
        </w:hyperlink>
      </w:hyperlink>
    </w:p>
    <w:p>
      <w:pPr>
        <w:numPr>
          <w:ilvl w:val="0"/>
          <w:numId w:val="1018"/>
        </w:numPr>
        <w:pStyle w:val="Compact"/>
      </w:pPr>
      <w:r>
        <w:t xml:space="preserve">SENA Observatorio — CNO 4211 Asistentes en servicios social y comunitario:</w:t>
      </w:r>
      <w:r>
        <w:t xml:space="preserve"> </w:t>
      </w:r>
      <w:hyperlink r:id="rId61">
        <w:hyperlink r:id="rId61">
          <w:r>
            <w:rPr>
              <w:rStyle w:val="Hyperlink"/>
            </w:rPr>
            <w:t xml:space="preserve">Source link</w:t>
          </w:r>
        </w:hyperlink>
      </w:hyperlink>
    </w:p>
    <w:p>
      <w:pPr>
        <w:numPr>
          <w:ilvl w:val="0"/>
          <w:numId w:val="1018"/>
        </w:numPr>
        <w:pStyle w:val="Compact"/>
      </w:pPr>
      <w:r>
        <w:t xml:space="preserve">SENA APE — Gestor comunitario:</w:t>
      </w:r>
      <w:r>
        <w:t xml:space="preserve"> </w:t>
      </w:r>
      <w:hyperlink r:id="rId62">
        <w:hyperlink r:id="rId62">
          <w:r>
            <w:rPr>
              <w:rStyle w:val="Hyperlink"/>
            </w:rPr>
            <w:t xml:space="preserve">Source link</w:t>
          </w:r>
        </w:hyperlink>
      </w:hyperlink>
    </w:p>
    <w:p>
      <w:pPr>
        <w:numPr>
          <w:ilvl w:val="0"/>
          <w:numId w:val="1018"/>
        </w:numPr>
        <w:pStyle w:val="Compact"/>
      </w:pPr>
      <w:r>
        <w:t xml:space="preserve">SENA Betowa — Desarrollo de habilidades para el bienestar familiar y comunitario:</w:t>
      </w:r>
      <w:r>
        <w:t xml:space="preserve"> </w:t>
      </w:r>
      <w:hyperlink r:id="rId63">
        <w:hyperlink r:id="rId63">
          <w:r>
            <w:rPr>
              <w:rStyle w:val="Hyperlink"/>
            </w:rPr>
            <w:t xml:space="preserve">Source link</w:t>
          </w:r>
        </w:hyperlink>
      </w:hyperlink>
    </w:p>
    <w:p>
      <w:pPr>
        <w:numPr>
          <w:ilvl w:val="0"/>
          <w:numId w:val="1018"/>
        </w:numPr>
        <w:pStyle w:val="Compact"/>
      </w:pPr>
      <w:r>
        <w:t xml:space="preserve">OIT/Cinterfor:</w:t>
      </w:r>
      <w:r>
        <w:t xml:space="preserve"> </w:t>
      </w:r>
      <w:hyperlink r:id="rId64">
        <w:r>
          <w:rPr>
            <w:rStyle w:val="Hyperlink"/>
          </w:rPr>
          <w:t xml:space="preserve">https://www.oitcinterfor.org/</w:t>
        </w:r>
      </w:hyperlink>
    </w:p>
    <w:p>
      <w:pPr>
        <w:pStyle w:val="FirstParagraph"/>
      </w:pPr>
      <w:r>
        <w:t xml:space="preserve">Fonte suplementar não governamental de remuneração:</w:t>
      </w:r>
    </w:p>
    <w:p>
      <w:pPr>
        <w:numPr>
          <w:ilvl w:val="0"/>
          <w:numId w:val="1019"/>
        </w:numPr>
        <w:pStyle w:val="Compact"/>
      </w:pPr>
      <w:r>
        <w:t xml:space="preserve">Indeed — Navigator salary in the United States:</w:t>
      </w:r>
      <w:r>
        <w:t xml:space="preserve"> </w:t>
      </w:r>
      <w:hyperlink r:id="rId65">
        <w:hyperlink r:id="rId65">
          <w:r>
            <w:rPr>
              <w:rStyle w:val="Hyperlink"/>
            </w:rPr>
            <w:t xml:space="preserve">Source link</w:t>
          </w:r>
        </w:hyperlink>
      </w:hyperlink>
    </w:p>
    <w:bookmarkEnd w:id="66"/>
    <w:bookmarkStart w:id="67" w:name="nota-de-fontes-e-revisão"/>
    <w:p>
      <w:pPr>
        <w:pStyle w:val="Heading2"/>
      </w:pPr>
      <w:r>
        <w:t xml:space="preserve">Nota de fontes e revisão</w:t>
      </w:r>
    </w:p>
    <w:p>
      <w:pPr>
        <w:pStyle w:val="FirstParagraph"/>
      </w:pPr>
      <w:r>
        <w:t xml:space="preserve">Este guia usa pesquisa de fontes atuais registrada em 20 de agosto de 2026. Salários, programas públicos, disponibilidade de treinamento, regras de elegibilidade, requisitos de registro, dados de prestadores e expectativas locais podem mudar. Verifique novamente fontes oficiais e vagas atuais antes de agir.</w:t>
      </w:r>
    </w:p>
    <w:p>
      <w:pPr>
        <w:pStyle w:val="BodyText"/>
      </w:pPr>
      <w:r>
        <w:t xml:space="preserve">Esta revisão controlada foi produzida com assistência de IA e revisão auditável de fontes.</w:t>
      </w:r>
      <w:r>
        <w:t xml:space="preserve"> </w:t>
      </w:r>
      <w:r>
        <w:rPr>
          <w:bCs/>
          <w:b/>
        </w:rPr>
        <w:t xml:space="preserve">Não</w:t>
      </w:r>
      <w:r>
        <w:t xml:space="preserve"> </w:t>
      </w:r>
      <w:r>
        <w:t xml:space="preserve">afirma certificação humana independente, acreditação profissional, tradução certificada, revisão jurídica, revisão clínica, aconselhamento financeiro nem resultados de emprego garantidos.</w:t>
      </w:r>
    </w:p>
    <w:bookmarkEnd w:id="67"/>
    <w:bookmarkEnd w:id="6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2" Target="https://ape.sena.edu.co/spe-web/spe/demanda/solicitud-sintesis/4111884" TargetMode="External" /><Relationship Type="http://schemas.openxmlformats.org/officeDocument/2006/relationships/hyperlink" Id="rId63" Target="https://betowa.sena.edu.co/oferta/desarrollo-de-habilidades-para-el-bienestar-familiar-y-comunitario?location=57011001&amp;modality=V&amp;offertype=open&amp;programId=144936" TargetMode="External" /><Relationship Type="http://schemas.openxmlformats.org/officeDocument/2006/relationships/hyperlink" Id="rId61" Target="https://observatorio.sena.edu.co/Comportamiento/CnoDetalleFunciones?tags=4211" TargetMode="External" /><Relationship Type="http://schemas.openxmlformats.org/officeDocument/2006/relationships/hyperlink" Id="rId57" Target="https://www.apprenticeship.gov/" TargetMode="External" /><Relationship Type="http://schemas.openxmlformats.org/officeDocument/2006/relationships/hyperlink" Id="rId54" Target="https://www.bls.gov/ooh/community-and-social-service/social-and-human-service-assistants.htm" TargetMode="External" /><Relationship Type="http://schemas.openxmlformats.org/officeDocument/2006/relationships/hyperlink" Id="rId56" Target="https://www.careeronestop.org/FindTraining/find-training.aspx" TargetMode="External" /><Relationship Type="http://schemas.openxmlformats.org/officeDocument/2006/relationships/hyperlink" Id="rId55" Target="https://www.careeronestop.org/LocalHelp/EmploymentAndTraining/find-WIOA-training-programs.aspx" TargetMode="External" /><Relationship Type="http://schemas.openxmlformats.org/officeDocument/2006/relationships/hyperlink" Id="rId65" Target="https://www.indeed.com/career/navigator/salaries" TargetMode="External" /><Relationship Type="http://schemas.openxmlformats.org/officeDocument/2006/relationships/hyperlink" Id="rId59" Target="https://www.jobbank.gc.ca/marketreport/requirements/5112/ca" TargetMode="External" /><Relationship Type="http://schemas.openxmlformats.org/officeDocument/2006/relationships/hyperlink" Id="rId58" Target="https://www.jobbank.gc.ca/marketreport/summary-occupation/5112/ca" TargetMode="External" /><Relationship Type="http://schemas.openxmlformats.org/officeDocument/2006/relationships/hyperlink" Id="rId60" Target="https://www.jobbank.gc.ca/wagereport/occupation/5121" TargetMode="External" /><Relationship Type="http://schemas.openxmlformats.org/officeDocument/2006/relationships/hyperlink" Id="rId64" Target="https://www.oitcinterfor.org/" TargetMode="External" /><Relationship Type="http://schemas.openxmlformats.org/officeDocument/2006/relationships/hyperlink" Id="rId53" Target="https://www.onetonline.org/link/localwages/21-1093.00" TargetMode="External" /><Relationship Type="http://schemas.openxmlformats.org/officeDocument/2006/relationships/hyperlink" Id="rId52" Target="https://www.onetonline.org/link/summary/21-1093.00" TargetMode="External" /></Relationships>
</file>

<file path=word/_rels/footnotes.xml.rels><?xml version="1.0" encoding="UTF-8"?><Relationships xmlns="http://schemas.openxmlformats.org/package/2006/relationships"><Relationship Type="http://schemas.openxmlformats.org/officeDocument/2006/relationships/hyperlink" Id="rId62" Target="https://ape.sena.edu.co/spe-web/spe/demanda/solicitud-sintesis/4111884" TargetMode="External" /><Relationship Type="http://schemas.openxmlformats.org/officeDocument/2006/relationships/hyperlink" Id="rId63" Target="https://betowa.sena.edu.co/oferta/desarrollo-de-habilidades-para-el-bienestar-familiar-y-comunitario?location=57011001&amp;modality=V&amp;offertype=open&amp;programId=144936" TargetMode="External" /><Relationship Type="http://schemas.openxmlformats.org/officeDocument/2006/relationships/hyperlink" Id="rId61" Target="https://observatorio.sena.edu.co/Comportamiento/CnoDetalleFunciones?tags=4211" TargetMode="External" /><Relationship Type="http://schemas.openxmlformats.org/officeDocument/2006/relationships/hyperlink" Id="rId57" Target="https://www.apprenticeship.gov/" TargetMode="External" /><Relationship Type="http://schemas.openxmlformats.org/officeDocument/2006/relationships/hyperlink" Id="rId54" Target="https://www.bls.gov/ooh/community-and-social-service/social-and-human-service-assistants.htm" TargetMode="External" /><Relationship Type="http://schemas.openxmlformats.org/officeDocument/2006/relationships/hyperlink" Id="rId56" Target="https://www.careeronestop.org/FindTraining/find-training.aspx" TargetMode="External" /><Relationship Type="http://schemas.openxmlformats.org/officeDocument/2006/relationships/hyperlink" Id="rId55" Target="https://www.careeronestop.org/LocalHelp/EmploymentAndTraining/find-WIOA-training-programs.aspx" TargetMode="External" /><Relationship Type="http://schemas.openxmlformats.org/officeDocument/2006/relationships/hyperlink" Id="rId65" Target="https://www.indeed.com/career/navigator/salaries" TargetMode="External" /><Relationship Type="http://schemas.openxmlformats.org/officeDocument/2006/relationships/hyperlink" Id="rId59" Target="https://www.jobbank.gc.ca/marketreport/requirements/5112/ca" TargetMode="External" /><Relationship Type="http://schemas.openxmlformats.org/officeDocument/2006/relationships/hyperlink" Id="rId58" Target="https://www.jobbank.gc.ca/marketreport/summary-occupation/5112/ca" TargetMode="External" /><Relationship Type="http://schemas.openxmlformats.org/officeDocument/2006/relationships/hyperlink" Id="rId60" Target="https://www.jobbank.gc.ca/wagereport/occupation/5121" TargetMode="External" /><Relationship Type="http://schemas.openxmlformats.org/officeDocument/2006/relationships/hyperlink" Id="rId64" Target="https://www.oitcinterfor.org/" TargetMode="External" /><Relationship Type="http://schemas.openxmlformats.org/officeDocument/2006/relationships/hyperlink" Id="rId53" Target="https://www.onetonline.org/link/localwages/21-1093.00" TargetMode="External" /><Relationship Type="http://schemas.openxmlformats.org/officeDocument/2006/relationships/hyperlink" Id="rId52" Target="https://www.onetonline.org/link/summary/21-1093.0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2026-08-20T13:11:14Z</dcterms:created>
  <dcterms:modified xsi:type="dcterms:W3CDTF">2026-08-20T13:11:14Z</dcterms:modified>
</cp:coreProperties>
</file>

<file path=docProps/custom.xml><?xml version="1.0" encoding="utf-8"?>
<Properties xmlns="http://schemas.openxmlformats.org/officeDocument/2006/custom-properties" xmlns:vt="http://schemas.openxmlformats.org/officeDocument/2006/docPropsVTypes"/>
</file>