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d2f19a7d38178da1f146d9a0cd9a01cc1a1a6a2"/>
    <w:p>
      <w:pPr>
        <w:pStyle w:val="Heading1"/>
      </w:pPr>
      <w:r>
        <w:t xml:space="preserve">Guía 60 — Asistente de Gestión de Casos y Navegador de Recursos</w:t>
      </w:r>
    </w:p>
    <w:p>
      <w:pPr>
        <w:pStyle w:val="FirstParagraph"/>
      </w:pPr>
      <w:r>
        <w:rPr>
          <w:bCs/>
          <w:b/>
        </w:rPr>
        <w:t xml:space="preserve">Maestro de trabajo controlado en español latinoamericano neutral — Versión 2.0</w:t>
      </w:r>
      <w:r>
        <w:br/>
      </w:r>
      <w:r>
        <w:rPr>
          <w:bCs/>
          <w:b/>
        </w:rPr>
        <w:t xml:space="preserve">Fecha de revisión:</w:t>
      </w:r>
      <w:r>
        <w:t xml:space="preserve"> </w:t>
      </w:r>
      <w:r>
        <w:t xml:space="preserve">20 de agosto de 2026</w:t>
      </w:r>
      <w:r>
        <w:br/>
      </w:r>
      <w:r>
        <w:rPr>
          <w:bCs/>
          <w:b/>
        </w:rPr>
        <w:t xml:space="preserve">Licencia:</w:t>
      </w:r>
      <w:r>
        <w:t xml:space="preserve"> </w:t>
      </w:r>
      <w:r>
        <w:t xml:space="preserve">CC BY-NC-SA 4.0</w:t>
      </w:r>
    </w:p>
    <w:bookmarkStart w:id="20" w:name="qué-es-este-trabajo"/>
    <w:p>
      <w:pPr>
        <w:pStyle w:val="Heading2"/>
      </w:pPr>
      <w:r>
        <w:t xml:space="preserve">Qué es este trabajo</w:t>
      </w:r>
    </w:p>
    <w:p>
      <w:pPr>
        <w:pStyle w:val="FirstParagraph"/>
      </w:pPr>
      <w:r>
        <w:t xml:space="preserve">Los asistentes de gestión de casos y navegadores de recursos ayudan a las personas a organizar necesidades de servicios, comprender procesos rutinarios, localizar recursos comunitarios, completar documentación autorizada, coordinar citas y referencias, y dar seguimiento a los pasos de servicio acordados. Pueden trabajar en organizaciones sin fines de lucro, hospitales y clínicas, programas de salud conductual, organizaciones de vivienda, servicios para personas con discapacidad, programas para personas mayores, servicios familiares, albergues, programas de empleo, agencias comunitarias, programas gubernamentales, escuelas, programas de rehabilitación y otros entornos de servicios humanos.</w:t>
      </w:r>
    </w:p>
    <w:p>
      <w:pPr>
        <w:pStyle w:val="BodyText"/>
      </w:pPr>
      <w:r>
        <w:t xml:space="preserve">Esta guía se concentra en</w:t>
      </w:r>
      <w:r>
        <w:t xml:space="preserve"> </w:t>
      </w:r>
      <w:r>
        <w:rPr>
          <w:bCs/>
          <w:b/>
        </w:rPr>
        <w:t xml:space="preserve">apoyo a la gestión de casos y navegación de recursos</w:t>
      </w:r>
      <w:r>
        <w:t xml:space="preserve">. No presenta a un asistente de gestión de casos o navegador de recursos como equivalente automático de un trabajador social licenciado, gestor clínico de casos, gestor de casos de enfermería, terapeuta, abogado, adjudicador de beneficios, gestor de casos certificado, autoridad de salvaguarda o profesional de respuesta a emergencias.</w:t>
      </w:r>
    </w:p>
    <w:p>
      <w:pPr>
        <w:pStyle w:val="BodyText"/>
      </w:pPr>
      <w:r>
        <w:t xml:space="preserve">En Estados Unidos, la familia ocupacional federal más cercana es</w:t>
      </w:r>
      <w:r>
        <w:t xml:space="preserve"> </w:t>
      </w:r>
      <w:r>
        <w:rPr>
          <w:bCs/>
          <w:b/>
        </w:rPr>
        <w:t xml:space="preserve">Social and Human Service Assistants, O*NET-SOC 21-1093.00</w:t>
      </w:r>
      <w:r>
        <w:t xml:space="preserve">. En Canadá, la comparación amplia más cercana es</w:t>
      </w:r>
      <w:r>
        <w:t xml:space="preserve"> </w:t>
      </w:r>
      <w:r>
        <w:rPr>
          <w:bCs/>
          <w:b/>
        </w:rPr>
        <w:t xml:space="preserve">Social and community service workers, NOC 42201</w:t>
      </w:r>
      <w:r>
        <w:t xml:space="preserve">. En Colombia, la comparación ocupacional controlada más cercana es</w:t>
      </w:r>
      <w:r>
        <w:t xml:space="preserve"> </w:t>
      </w:r>
      <w:r>
        <w:rPr>
          <w:bCs/>
          <w:b/>
        </w:rPr>
        <w:t xml:space="preserve">CNO 4211 — Asistentes en servicios social y comunitario</w:t>
      </w:r>
      <w:r>
        <w:t xml:space="preserve">.</w:t>
      </w:r>
    </w:p>
    <w:p>
      <w:pPr>
        <w:pStyle w:val="BodyText"/>
      </w:pPr>
      <w:r>
        <w:t xml:space="preserve">Los títulos, funciones, modelos de supervisión, reglas de documentación, credenciales, títulos protegidos, obligaciones de privacidad y responsabilidades en crisis varían por empleador y jurisdicción. Revise siempre la descripción real del puesto y las reglas locales vigentes antes de aceptar un empleo o pagar capacitación.</w:t>
      </w:r>
    </w:p>
    <w:bookmarkEnd w:id="20"/>
    <w:bookmarkStart w:id="21" w:name="qué-puede-hacer"/>
    <w:p>
      <w:pPr>
        <w:pStyle w:val="Heading2"/>
      </w:pPr>
      <w:r>
        <w:t xml:space="preserve">Qué puede hacer</w:t>
      </w:r>
    </w:p>
    <w:p>
      <w:pPr>
        <w:pStyle w:val="FirstParagraph"/>
      </w:pPr>
      <w:r>
        <w:t xml:space="preserve">Según el empleador, el entorno, la capacitación, la supervisión y las reglas locales, las funciones pueden incluir:</w:t>
      </w:r>
    </w:p>
    <w:p>
      <w:pPr>
        <w:numPr>
          <w:ilvl w:val="0"/>
          <w:numId w:val="1001"/>
        </w:numPr>
        <w:pStyle w:val="Compact"/>
      </w:pPr>
      <w:r>
        <w:t xml:space="preserve">entrevistar a clientes para recopilar información demográfica, de servicios y antecedentes de carácter rutinario;</w:t>
      </w:r>
    </w:p>
    <w:p>
      <w:pPr>
        <w:numPr>
          <w:ilvl w:val="0"/>
          <w:numId w:val="1001"/>
        </w:numPr>
        <w:pStyle w:val="Compact"/>
      </w:pPr>
      <w:r>
        <w:t xml:space="preserve">identificar barreras prácticas relacionadas con vivienda, transporte, alimentos, empleo, apoyos para discapacidad, solicitudes de beneficios, servicios de salud, servicios familiares u otros recursos comunitarios;</w:t>
      </w:r>
    </w:p>
    <w:p>
      <w:pPr>
        <w:numPr>
          <w:ilvl w:val="0"/>
          <w:numId w:val="1001"/>
        </w:numPr>
        <w:pStyle w:val="Compact"/>
      </w:pPr>
      <w:r>
        <w:t xml:space="preserve">explicar en lenguaje claro pasos rutinarios de programas, citas, documentos y procedimientos de referencia;</w:t>
      </w:r>
    </w:p>
    <w:p>
      <w:pPr>
        <w:numPr>
          <w:ilvl w:val="0"/>
          <w:numId w:val="1001"/>
        </w:numPr>
        <w:pStyle w:val="Compact"/>
      </w:pPr>
      <w:r>
        <w:t xml:space="preserve">ayudar a organizar documentos y completar formularios sin tomar decisiones reguladas de elegibilidad o determinaciones legales;</w:t>
      </w:r>
    </w:p>
    <w:p>
      <w:pPr>
        <w:numPr>
          <w:ilvl w:val="0"/>
          <w:numId w:val="1001"/>
        </w:numPr>
        <w:pStyle w:val="Compact"/>
      </w:pPr>
      <w:r>
        <w:t xml:space="preserve">investigar recursos públicos, sin fines de lucro, de salud, vivienda, empleo, discapacidad, envejecimiento, juventud, familia o crisis que estén vigentes;</w:t>
      </w:r>
    </w:p>
    <w:p>
      <w:pPr>
        <w:numPr>
          <w:ilvl w:val="0"/>
          <w:numId w:val="1001"/>
        </w:numPr>
        <w:pStyle w:val="Compact"/>
      </w:pPr>
      <w:r>
        <w:t xml:space="preserve">proporcionar referencias y datos de contacto aprobados;</w:t>
      </w:r>
    </w:p>
    <w:p>
      <w:pPr>
        <w:numPr>
          <w:ilvl w:val="0"/>
          <w:numId w:val="1001"/>
        </w:numPr>
        <w:pStyle w:val="Compact"/>
      </w:pPr>
      <w:r>
        <w:t xml:space="preserve">ayudar a programar citas, transporte, llamadas de seguimiento o contactos con proveedores de servicios;</w:t>
      </w:r>
    </w:p>
    <w:p>
      <w:pPr>
        <w:numPr>
          <w:ilvl w:val="0"/>
          <w:numId w:val="1001"/>
        </w:numPr>
        <w:pStyle w:val="Compact"/>
      </w:pPr>
      <w:r>
        <w:t xml:space="preserve">mantener notas de caso autorizadas, registros de referencias, listas de tareas, registros de citas y documentación rutinaria;</w:t>
      </w:r>
    </w:p>
    <w:p>
      <w:pPr>
        <w:numPr>
          <w:ilvl w:val="0"/>
          <w:numId w:val="1001"/>
        </w:numPr>
        <w:pStyle w:val="Compact"/>
      </w:pPr>
      <w:r>
        <w:t xml:space="preserve">verificar si se completaron referencias o pasos de servicio acordados y registrar barreras;</w:t>
      </w:r>
    </w:p>
    <w:p>
      <w:pPr>
        <w:numPr>
          <w:ilvl w:val="0"/>
          <w:numId w:val="1001"/>
        </w:numPr>
        <w:pStyle w:val="Compact"/>
      </w:pPr>
      <w:r>
        <w:t xml:space="preserve">comunicar actualizaciones autorizadas a supervisores, equipos de atención, proveedores de servicios o socios comunitarios;</w:t>
      </w:r>
    </w:p>
    <w:p>
      <w:pPr>
        <w:numPr>
          <w:ilvl w:val="0"/>
          <w:numId w:val="1001"/>
        </w:numPr>
        <w:pStyle w:val="Compact"/>
      </w:pPr>
      <w:r>
        <w:t xml:space="preserve">preparar listas rutinarias de recursos, materiales de alcance, instrucciones de citas o listas de verificación para navegación de servicios;</w:t>
      </w:r>
    </w:p>
    <w:p>
      <w:pPr>
        <w:numPr>
          <w:ilvl w:val="0"/>
          <w:numId w:val="1001"/>
        </w:numPr>
        <w:pStyle w:val="Compact"/>
      </w:pPr>
      <w:r>
        <w:t xml:space="preserve">ayudar a los clientes a entender qué organización es responsable del siguiente paso;</w:t>
      </w:r>
    </w:p>
    <w:p>
      <w:pPr>
        <w:numPr>
          <w:ilvl w:val="0"/>
          <w:numId w:val="1001"/>
        </w:numPr>
        <w:pStyle w:val="Compact"/>
      </w:pPr>
      <w:r>
        <w:t xml:space="preserve">apoyar bajo supervisión procesos de admisión, alta, transición, vivienda, empleo, discapacidad, envejecimiento, apoyo familiar o navegación comunitaria; y</w:t>
      </w:r>
    </w:p>
    <w:p>
      <w:pPr>
        <w:numPr>
          <w:ilvl w:val="0"/>
          <w:numId w:val="1001"/>
        </w:numPr>
        <w:pStyle w:val="Compact"/>
      </w:pPr>
      <w:r>
        <w:t xml:space="preserve">escalar preocupaciones médicas, de salud mental, salvaguarda, legales, abuso, negligencia, explotación, autolesión, violencia, trata, falta de vivienda u otras situaciones urgentes mediante canales aprobados.</w:t>
      </w:r>
    </w:p>
    <w:p>
      <w:pPr>
        <w:pStyle w:val="FirstParagraph"/>
      </w:pPr>
      <w:r>
        <w:t xml:space="preserve">El puesto exige seguimiento preciso, comunicación respetuosa, límites profesionales claros, solución práctica de problemas y manejo cuidadoso de información sensible.</w:t>
      </w:r>
    </w:p>
    <w:bookmarkEnd w:id="21"/>
    <w:bookmarkStart w:id="22" w:name="X68207035cb7b0658956bbe8bdeef66ba1f0b463"/>
    <w:p>
      <w:pPr>
        <w:pStyle w:val="Heading2"/>
      </w:pPr>
      <w:r>
        <w:t xml:space="preserve">Lo que este puesto no debe presentarse como</w:t>
      </w:r>
    </w:p>
    <w:p>
      <w:pPr>
        <w:pStyle w:val="FirstParagraph"/>
      </w:pPr>
      <w:r>
        <w:t xml:space="preserve">Un puesto de apoyo no autoriza automáticamente trabajo licenciado, clínico, legal, adjudicativo o de emergencia.</w:t>
      </w:r>
    </w:p>
    <w:p>
      <w:pPr>
        <w:pStyle w:val="BodyText"/>
      </w:pPr>
      <w:r>
        <w:t xml:space="preserve">No debe realizar de forma independiente:</w:t>
      </w:r>
    </w:p>
    <w:p>
      <w:pPr>
        <w:numPr>
          <w:ilvl w:val="0"/>
          <w:numId w:val="1002"/>
        </w:numPr>
        <w:pStyle w:val="Compact"/>
      </w:pPr>
      <w:r>
        <w:t xml:space="preserve">diagnósticos de salud mental, consumo de sustancias, desarrollo o condiciones médicas;</w:t>
      </w:r>
    </w:p>
    <w:p>
      <w:pPr>
        <w:numPr>
          <w:ilvl w:val="0"/>
          <w:numId w:val="1002"/>
        </w:numPr>
        <w:pStyle w:val="Compact"/>
      </w:pPr>
      <w:r>
        <w:t xml:space="preserve">psicoterapia, consejería clínica, valoración de enfermería o tratamiento clínico salvo que tenga credenciales separadas y autorización;</w:t>
      </w:r>
    </w:p>
    <w:p>
      <w:pPr>
        <w:numPr>
          <w:ilvl w:val="0"/>
          <w:numId w:val="1002"/>
        </w:numPr>
        <w:pStyle w:val="Compact"/>
      </w:pPr>
      <w:r>
        <w:t xml:space="preserve">determinaciones legales o asesoría jurídica;</w:t>
      </w:r>
    </w:p>
    <w:p>
      <w:pPr>
        <w:numPr>
          <w:ilvl w:val="0"/>
          <w:numId w:val="1002"/>
        </w:numPr>
        <w:pStyle w:val="Compact"/>
      </w:pPr>
      <w:r>
        <w:t xml:space="preserve">decisiones sobre elegibilidad legal para beneficios gubernamentales cuando esa autoridad pertenece a una agencia o funcionario autorizado;</w:t>
      </w:r>
    </w:p>
    <w:p>
      <w:pPr>
        <w:numPr>
          <w:ilvl w:val="0"/>
          <w:numId w:val="1002"/>
        </w:numPr>
        <w:pStyle w:val="Compact"/>
      </w:pPr>
      <w:r>
        <w:t xml:space="preserve">promesas de vivienda, ayuda financiera, beneficios por discapacidad, resultados migratorios, resultados de tratamiento, transporte, empleo o ayuda de emergencia que no controla;</w:t>
      </w:r>
    </w:p>
    <w:p>
      <w:pPr>
        <w:numPr>
          <w:ilvl w:val="0"/>
          <w:numId w:val="1002"/>
        </w:numPr>
        <w:pStyle w:val="Compact"/>
      </w:pPr>
      <w:r>
        <w:t xml:space="preserve">decisiones de salvaguarda, reporte obligatorio o mando de emergencia que la ley o política asignen a otra persona o autoridad cualificada;</w:t>
      </w:r>
    </w:p>
    <w:p>
      <w:pPr>
        <w:numPr>
          <w:ilvl w:val="0"/>
          <w:numId w:val="1002"/>
        </w:numPr>
        <w:pStyle w:val="Compact"/>
      </w:pPr>
      <w:r>
        <w:t xml:space="preserve">representarse como trabajador social licenciado, psicólogo, consejero, abogado, enfermero, médico, gestor de casos certificado u otro profesional protegido o acreditado si no posee esa credencial; ni</w:t>
      </w:r>
    </w:p>
    <w:p>
      <w:pPr>
        <w:numPr>
          <w:ilvl w:val="0"/>
          <w:numId w:val="1002"/>
        </w:numPr>
        <w:pStyle w:val="Compact"/>
      </w:pPr>
      <w:r>
        <w:t xml:space="preserve">ignorar supervisores, equipos de atención, protocolos de la agencia o autoridades designadas por ley porque una situación parezca urgente.</w:t>
      </w:r>
    </w:p>
    <w:p>
      <w:pPr>
        <w:pStyle w:val="FirstParagraph"/>
      </w:pPr>
      <w:r>
        <w:t xml:space="preserve">Cuando el límite de autoridad no esté claro, deténgase y consulte al supervisor responsable o al profesional designado.</w:t>
      </w:r>
    </w:p>
    <w:bookmarkEnd w:id="22"/>
    <w:bookmarkStart w:id="23" w:name="X0e1e05730b0015e449f40e17df00c1272031c75"/>
    <w:p>
      <w:pPr>
        <w:pStyle w:val="Heading2"/>
      </w:pPr>
      <w:r>
        <w:t xml:space="preserve">Apoyo a la gestión de casos frente a gestión profesional de casos</w:t>
      </w:r>
    </w:p>
    <w:p>
      <w:pPr>
        <w:pStyle w:val="FirstParagraph"/>
      </w:pPr>
      <w:r>
        <w:t xml:space="preserve">Los empleadores utilizan la expresión</w:t>
      </w:r>
      <w:r>
        <w:t xml:space="preserve"> </w:t>
      </w:r>
      <w:r>
        <w:rPr>
          <w:iCs/>
          <w:i/>
        </w:rPr>
        <w:t xml:space="preserve">gestión de casos</w:t>
      </w:r>
      <w:r>
        <w:t xml:space="preserve"> </w:t>
      </w:r>
      <w:r>
        <w:t xml:space="preserve">de distintas maneras. Un asistente de gestión de casos puede apoyar a un gestor profesional organizando información, coordinando logística rutinaria, documentando contactos aprobados, dando seguimiento a referencias y ayudando a las personas a navegar servicios.</w:t>
      </w:r>
    </w:p>
    <w:p>
      <w:pPr>
        <w:pStyle w:val="BodyText"/>
      </w:pPr>
      <w:r>
        <w:t xml:space="preserve">Esa función de apoyo es distinta de valorar de manera independiente necesidades clínicas complejas, crear planes de tratamiento, determinar necesidad médica, autorizar beneficios, dirigir atención clínica, ejercer trabajo social licenciado o ejercer autoridad reservada a un gestor acreditado o profesional regulado.</w:t>
      </w:r>
    </w:p>
    <w:p>
      <w:pPr>
        <w:pStyle w:val="BodyText"/>
      </w:pPr>
      <w:r>
        <w:t xml:space="preserve">Algunas organizaciones utilizan títulos como navegador de atención, navegador de pacientes, navegador de beneficios, navegador de vivienda, navegador familiar, navegador comunitario, coordinador de recursos, auxiliar de casos, asistente de servicios sociales o especialista de apoyo al cliente. El título por sí solo no define el alcance legal. Lea las funciones, el modelo de supervisión, las credenciales requeridas y las regulaciones locales.</w:t>
      </w:r>
    </w:p>
    <w:bookmarkEnd w:id="23"/>
    <w:bookmarkStart w:id="24" w:name="X311f7efa155d925ea3cc9cb03f9744e963323fa"/>
    <w:p>
      <w:pPr>
        <w:pStyle w:val="Heading2"/>
      </w:pPr>
      <w:r>
        <w:t xml:space="preserve">Entorno de trabajo y exigencias emocionales</w:t>
      </w:r>
    </w:p>
    <w:p>
      <w:pPr>
        <w:pStyle w:val="FirstParagraph"/>
      </w:pPr>
      <w:r>
        <w:t xml:space="preserve">El trabajo puede realizarse en oficinas, agencias comunitarias, hospitales, clínicas, albergues, programas de vivienda, entornos de salud conductual, programas de rehabilitación, escuelas, agencias gubernamentales, programas de empleo, programas residenciales, organizaciones sin fines de lucro, actividades de alcance comunitario o de manera remota mediante sistemas aprobados.</w:t>
      </w:r>
    </w:p>
    <w:p>
      <w:pPr>
        <w:pStyle w:val="BodyText"/>
      </w:pPr>
      <w:r>
        <w:t xml:space="preserve">Las exigencias comunes pueden incluir:</w:t>
      </w:r>
    </w:p>
    <w:p>
      <w:pPr>
        <w:numPr>
          <w:ilvl w:val="0"/>
          <w:numId w:val="1003"/>
        </w:numPr>
        <w:pStyle w:val="Compact"/>
      </w:pPr>
      <w:r>
        <w:t xml:space="preserve">contacto frecuente con personas estresadas, enfermas, con discapacidad, desempleadas, con inseguridad de vivienda, en duelo, abrumadas o que manejan múltiples sistemas de servicios;</w:t>
      </w:r>
    </w:p>
    <w:p>
      <w:pPr>
        <w:numPr>
          <w:ilvl w:val="0"/>
          <w:numId w:val="1003"/>
        </w:numPr>
        <w:pStyle w:val="Compact"/>
      </w:pPr>
      <w:r>
        <w:t xml:space="preserve">gestionar varias referencias, fechas límite, citas y tareas de seguimiento al mismo tiempo;</w:t>
      </w:r>
    </w:p>
    <w:p>
      <w:pPr>
        <w:numPr>
          <w:ilvl w:val="0"/>
          <w:numId w:val="1003"/>
        </w:numPr>
        <w:pStyle w:val="Compact"/>
      </w:pPr>
      <w:r>
        <w:t xml:space="preserve">documentación y captura de datos repetitivas;</w:t>
      </w:r>
    </w:p>
    <w:p>
      <w:pPr>
        <w:numPr>
          <w:ilvl w:val="0"/>
          <w:numId w:val="1003"/>
        </w:numPr>
        <w:pStyle w:val="Compact"/>
      </w:pPr>
      <w:r>
        <w:t xml:space="preserve">coordinación entre organizaciones con diferentes reglas de elegibilidad, horarios, formularios y tiempos de respuesta;</w:t>
      </w:r>
    </w:p>
    <w:p>
      <w:pPr>
        <w:numPr>
          <w:ilvl w:val="0"/>
          <w:numId w:val="1003"/>
        </w:numPr>
        <w:pStyle w:val="Compact"/>
      </w:pPr>
      <w:r>
        <w:t xml:space="preserve">trabajar con capacidad limitada de programas o listas de espera;</w:t>
      </w:r>
    </w:p>
    <w:p>
      <w:pPr>
        <w:numPr>
          <w:ilvl w:val="0"/>
          <w:numId w:val="1003"/>
        </w:numPr>
        <w:pStyle w:val="Compact"/>
      </w:pPr>
      <w:r>
        <w:t xml:space="preserve">comunicarse con clientes frustrados, asustados, enojados, confundidos o desconfiados;</w:t>
      </w:r>
    </w:p>
    <w:p>
      <w:pPr>
        <w:numPr>
          <w:ilvl w:val="0"/>
          <w:numId w:val="1003"/>
        </w:numPr>
        <w:pStyle w:val="Compact"/>
      </w:pPr>
      <w:r>
        <w:t xml:space="preserve">visitas ocasionales de campo o comunitarias;</w:t>
      </w:r>
    </w:p>
    <w:p>
      <w:pPr>
        <w:numPr>
          <w:ilvl w:val="0"/>
          <w:numId w:val="1003"/>
        </w:numPr>
        <w:pStyle w:val="Compact"/>
      </w:pPr>
      <w:r>
        <w:t xml:space="preserve">horarios nocturnos o de fin de semana en algunos entornos;</w:t>
      </w:r>
    </w:p>
    <w:p>
      <w:pPr>
        <w:numPr>
          <w:ilvl w:val="0"/>
          <w:numId w:val="1003"/>
        </w:numPr>
        <w:pStyle w:val="Compact"/>
      </w:pPr>
      <w:r>
        <w:t xml:space="preserve">exposición a revelaciones de crisis o circunstancias de vida difíciles; y</w:t>
      </w:r>
    </w:p>
    <w:p>
      <w:pPr>
        <w:numPr>
          <w:ilvl w:val="0"/>
          <w:numId w:val="1003"/>
        </w:numPr>
        <w:pStyle w:val="Compact"/>
      </w:pPr>
      <w:r>
        <w:t xml:space="preserve">equilibrar empatía con límites profesionales y límites de carga de trabajo.</w:t>
      </w:r>
    </w:p>
    <w:p>
      <w:pPr>
        <w:pStyle w:val="FirstParagraph"/>
      </w:pPr>
      <w:r>
        <w:t xml:space="preserve">Los límites saludables, la supervisión, las sesiones de revisión, la gestión de carga de trabajo y los recursos de apoyo al empleado pueden ayudar a reducir agotamiento y fatiga por compasión.</w:t>
      </w:r>
    </w:p>
    <w:bookmarkEnd w:id="24"/>
    <w:bookmarkStart w:id="25" w:name="X4769fcf45d1d3db4ae23530ad5c71844fbfe05d"/>
    <w:p>
      <w:pPr>
        <w:pStyle w:val="Heading2"/>
      </w:pPr>
      <w:r>
        <w:t xml:space="preserve">Límites en crisis, salvaguarda y emergencias</w:t>
      </w:r>
    </w:p>
    <w:p>
      <w:pPr>
        <w:pStyle w:val="FirstParagraph"/>
      </w:pPr>
      <w:r>
        <w:t xml:space="preserve">Un navegador o asistente de casos puede recibir revelaciones o señales de abuso, negligencia, explotación, riesgo de autolesión, riesgo de violencia, trata de personas, peligro médico, emergencia de vivienda u otros problemas urgentes.</w:t>
      </w:r>
    </w:p>
    <w:p>
      <w:pPr>
        <w:pStyle w:val="BodyText"/>
      </w:pPr>
      <w:r>
        <w:t xml:space="preserve">No improvise una respuesta ni actúe fuera de su autoridad. Siga el protocolo vigente del empleador y la ley local.</w:t>
      </w:r>
    </w:p>
    <w:p>
      <w:pPr>
        <w:pStyle w:val="BodyText"/>
      </w:pPr>
      <w:r>
        <w:t xml:space="preserve">Según la situación, puede ser necesario:</w:t>
      </w:r>
    </w:p>
    <w:p>
      <w:pPr>
        <w:numPr>
          <w:ilvl w:val="0"/>
          <w:numId w:val="1004"/>
        </w:numPr>
        <w:pStyle w:val="Compact"/>
      </w:pPr>
      <w:r>
        <w:t xml:space="preserve">contactar a un supervisor, profesional licenciado, responsable de salvaguarda o equipo de crisis designado;</w:t>
      </w:r>
    </w:p>
    <w:p>
      <w:pPr>
        <w:numPr>
          <w:ilvl w:val="0"/>
          <w:numId w:val="1004"/>
        </w:numPr>
        <w:pStyle w:val="Compact"/>
      </w:pPr>
      <w:r>
        <w:t xml:space="preserve">utilizar una ruta de emergencia o crisis aprobada;</w:t>
      </w:r>
    </w:p>
    <w:p>
      <w:pPr>
        <w:numPr>
          <w:ilvl w:val="0"/>
          <w:numId w:val="1004"/>
        </w:numPr>
        <w:pStyle w:val="Compact"/>
      </w:pPr>
      <w:r>
        <w:t xml:space="preserve">contactar servicios de emergencia cuando corresponda;</w:t>
      </w:r>
    </w:p>
    <w:p>
      <w:pPr>
        <w:numPr>
          <w:ilvl w:val="0"/>
          <w:numId w:val="1004"/>
        </w:numPr>
        <w:pStyle w:val="Compact"/>
      </w:pPr>
      <w:r>
        <w:t xml:space="preserve">realizar un reporte legalmente obligatorio por el canal correcto si su función está cubierta por reglas de reporte obligatorio;</w:t>
      </w:r>
    </w:p>
    <w:p>
      <w:pPr>
        <w:numPr>
          <w:ilvl w:val="0"/>
          <w:numId w:val="1004"/>
        </w:numPr>
        <w:pStyle w:val="Compact"/>
      </w:pPr>
      <w:r>
        <w:t xml:space="preserve">documentar hechos de manera precisa y oportuna; y</w:t>
      </w:r>
    </w:p>
    <w:p>
      <w:pPr>
        <w:numPr>
          <w:ilvl w:val="0"/>
          <w:numId w:val="1004"/>
        </w:numPr>
        <w:pStyle w:val="Compact"/>
      </w:pPr>
      <w:r>
        <w:t xml:space="preserve">evitar promesas de confidencialidad incompatibles con obligaciones legales o de seguridad.</w:t>
      </w:r>
    </w:p>
    <w:p>
      <w:pPr>
        <w:pStyle w:val="FirstParagraph"/>
      </w:pPr>
      <w:r>
        <w:t xml:space="preserve">Las reglas de reporte obligatorio, salvaguarda, consentimiento y emergencia varían por jurisdicción, entorno, población atendida y rol profesional. El material de capacitación y las herramientas de IA no sustituyen las políticas y leyes vigentes.</w:t>
      </w:r>
    </w:p>
    <w:bookmarkEnd w:id="25"/>
    <w:bookmarkStart w:id="26" w:name="Xc37fd068d6afc2900379319339b0d95591cfb65"/>
    <w:p>
      <w:pPr>
        <w:pStyle w:val="Heading2"/>
      </w:pPr>
      <w:r>
        <w:t xml:space="preserve">Privacidad, confidencialidad y documentación</w:t>
      </w:r>
    </w:p>
    <w:p>
      <w:pPr>
        <w:pStyle w:val="FirstParagraph"/>
      </w:pPr>
      <w:r>
        <w:t xml:space="preserve">El trabajo de asistencia de casos y navegación puede involucrar información altamente sensible: nombres, direcciones, fechas de nacimiento, información de salud y salud mental, discapacidad, detalles migratorios, registros de beneficios, situación de vivienda, historial laboral, información familiar, asuntos legales, datos financieros, documentos de identidad, credenciales e información de crisis.</w:t>
      </w:r>
    </w:p>
    <w:p>
      <w:pPr>
        <w:pStyle w:val="BodyText"/>
      </w:pPr>
      <w:r>
        <w:t xml:space="preserve">Siga las reglas del empleador para:</w:t>
      </w:r>
    </w:p>
    <w:p>
      <w:pPr>
        <w:numPr>
          <w:ilvl w:val="0"/>
          <w:numId w:val="1005"/>
        </w:numPr>
        <w:pStyle w:val="Compact"/>
      </w:pPr>
      <w:r>
        <w:t xml:space="preserve">recopilar solo la información necesaria para el propósito autorizado;</w:t>
      </w:r>
    </w:p>
    <w:p>
      <w:pPr>
        <w:numPr>
          <w:ilvl w:val="0"/>
          <w:numId w:val="1005"/>
        </w:numPr>
        <w:pStyle w:val="Compact"/>
      </w:pPr>
      <w:r>
        <w:t xml:space="preserve">verificar identidad antes de divulgar información protegida;</w:t>
      </w:r>
    </w:p>
    <w:p>
      <w:pPr>
        <w:numPr>
          <w:ilvl w:val="0"/>
          <w:numId w:val="1005"/>
        </w:numPr>
        <w:pStyle w:val="Compact"/>
      </w:pPr>
      <w:r>
        <w:t xml:space="preserve">utilizar sistemas aprobados de gestión de casos, historia clínica electrónica, beneficios, vivienda, empleo o referencias;</w:t>
      </w:r>
    </w:p>
    <w:p>
      <w:pPr>
        <w:numPr>
          <w:ilvl w:val="0"/>
          <w:numId w:val="1005"/>
        </w:numPr>
        <w:pStyle w:val="Compact"/>
      </w:pPr>
      <w:r>
        <w:t xml:space="preserve">acceso basado en roles;</w:t>
      </w:r>
    </w:p>
    <w:p>
      <w:pPr>
        <w:numPr>
          <w:ilvl w:val="0"/>
          <w:numId w:val="1005"/>
        </w:numPr>
        <w:pStyle w:val="Compact"/>
      </w:pPr>
      <w:r>
        <w:t xml:space="preserve">contraseñas y autenticación multifactor;</w:t>
      </w:r>
    </w:p>
    <w:p>
      <w:pPr>
        <w:numPr>
          <w:ilvl w:val="0"/>
          <w:numId w:val="1005"/>
        </w:numPr>
        <w:pStyle w:val="Compact"/>
      </w:pPr>
      <w:r>
        <w:t xml:space="preserve">intercambio seguro de archivos y canales de comunicación aprobados;</w:t>
      </w:r>
    </w:p>
    <w:p>
      <w:pPr>
        <w:numPr>
          <w:ilvl w:val="0"/>
          <w:numId w:val="1005"/>
        </w:numPr>
        <w:pStyle w:val="Compact"/>
      </w:pPr>
      <w:r>
        <w:t xml:space="preserve">conversaciones privadas y espacios físicos apropiados;</w:t>
      </w:r>
    </w:p>
    <w:p>
      <w:pPr>
        <w:numPr>
          <w:ilvl w:val="0"/>
          <w:numId w:val="1005"/>
        </w:numPr>
        <w:pStyle w:val="Compact"/>
      </w:pPr>
      <w:r>
        <w:t xml:space="preserve">requisitos de retención y destrucción;</w:t>
      </w:r>
    </w:p>
    <w:p>
      <w:pPr>
        <w:numPr>
          <w:ilvl w:val="0"/>
          <w:numId w:val="1005"/>
        </w:numPr>
        <w:pStyle w:val="Compact"/>
      </w:pPr>
      <w:r>
        <w:t xml:space="preserve">impresión y registros físicos;</w:t>
      </w:r>
    </w:p>
    <w:p>
      <w:pPr>
        <w:numPr>
          <w:ilvl w:val="0"/>
          <w:numId w:val="1005"/>
        </w:numPr>
        <w:pStyle w:val="Compact"/>
      </w:pPr>
      <w:r>
        <w:t xml:space="preserve">trabajo remoto y dispositivos móviles;</w:t>
      </w:r>
    </w:p>
    <w:p>
      <w:pPr>
        <w:numPr>
          <w:ilvl w:val="0"/>
          <w:numId w:val="1005"/>
        </w:numPr>
        <w:pStyle w:val="Compact"/>
      </w:pPr>
      <w:r>
        <w:t xml:space="preserve">reporte de incidentes; y</w:t>
      </w:r>
    </w:p>
    <w:p>
      <w:pPr>
        <w:numPr>
          <w:ilvl w:val="0"/>
          <w:numId w:val="1005"/>
        </w:numPr>
        <w:pStyle w:val="Compact"/>
      </w:pPr>
      <w:r>
        <w:t xml:space="preserve">uso de dispositivos personales, mensajería, correo electrónico, servicios en la nube y herramientas de IA.</w:t>
      </w:r>
    </w:p>
    <w:p>
      <w:pPr>
        <w:pStyle w:val="FirstParagraph"/>
      </w:pPr>
      <w:r>
        <w:t xml:space="preserve">Escriba notas objetivas, pertinentes, respetuosas y proporcionales. Distinga lo que observó, lo que informó el cliente, lo que concluyó otro profesional y la acción que realmente se tomó.</w:t>
      </w:r>
    </w:p>
    <w:p>
      <w:pPr>
        <w:pStyle w:val="BodyText"/>
      </w:pPr>
      <w:r>
        <w:t xml:space="preserve">No copie información sensible en una aplicación personal de notas, almacenamiento en nube no aprobado, correo personal, herramienta pública de IA o plataforma de mensajería solo por conveniencia.</w:t>
      </w:r>
    </w:p>
    <w:bookmarkEnd w:id="26"/>
    <w:bookmarkStart w:id="27" w:name="X666864e509bf1ba73b30353b8fe68bc518859d0"/>
    <w:p>
      <w:pPr>
        <w:pStyle w:val="Heading2"/>
      </w:pPr>
      <w:r>
        <w:t xml:space="preserve">Habilidades que pueden valorar los empleadores</w:t>
      </w:r>
    </w:p>
    <w:p>
      <w:pPr>
        <w:pStyle w:val="FirstParagraph"/>
      </w:pPr>
      <w:r>
        <w:t xml:space="preserve">Los empleadores suelen valorar:</w:t>
      </w:r>
    </w:p>
    <w:p>
      <w:pPr>
        <w:numPr>
          <w:ilvl w:val="0"/>
          <w:numId w:val="1006"/>
        </w:numPr>
        <w:pStyle w:val="Compact"/>
      </w:pPr>
      <w:r>
        <w:t xml:space="preserve">escucha activa;</w:t>
      </w:r>
    </w:p>
    <w:p>
      <w:pPr>
        <w:numPr>
          <w:ilvl w:val="0"/>
          <w:numId w:val="1006"/>
        </w:numPr>
        <w:pStyle w:val="Compact"/>
      </w:pPr>
      <w:r>
        <w:t xml:space="preserve">comunicación respetuosa con clientes;</w:t>
      </w:r>
    </w:p>
    <w:p>
      <w:pPr>
        <w:numPr>
          <w:ilvl w:val="0"/>
          <w:numId w:val="1006"/>
        </w:numPr>
        <w:pStyle w:val="Compact"/>
      </w:pPr>
      <w:r>
        <w:t xml:space="preserve">organización y seguimiento de tareas;</w:t>
      </w:r>
    </w:p>
    <w:p>
      <w:pPr>
        <w:numPr>
          <w:ilvl w:val="0"/>
          <w:numId w:val="1006"/>
        </w:numPr>
        <w:pStyle w:val="Compact"/>
      </w:pPr>
      <w:r>
        <w:t xml:space="preserve">documentación precisa;</w:t>
      </w:r>
    </w:p>
    <w:p>
      <w:pPr>
        <w:numPr>
          <w:ilvl w:val="0"/>
          <w:numId w:val="1006"/>
        </w:numPr>
        <w:pStyle w:val="Compact"/>
      </w:pPr>
      <w:r>
        <w:t xml:space="preserve">investigación práctica de recursos;</w:t>
      </w:r>
    </w:p>
    <w:p>
      <w:pPr>
        <w:numPr>
          <w:ilvl w:val="0"/>
          <w:numId w:val="1006"/>
        </w:numPr>
        <w:pStyle w:val="Compact"/>
      </w:pPr>
      <w:r>
        <w:t xml:space="preserve">seguimiento y confiabilidad;</w:t>
      </w:r>
    </w:p>
    <w:p>
      <w:pPr>
        <w:numPr>
          <w:ilvl w:val="0"/>
          <w:numId w:val="1006"/>
        </w:numPr>
        <w:pStyle w:val="Compact"/>
      </w:pPr>
      <w:r>
        <w:t xml:space="preserve">explicación en lenguaje claro de procedimientos;</w:t>
      </w:r>
    </w:p>
    <w:p>
      <w:pPr>
        <w:numPr>
          <w:ilvl w:val="0"/>
          <w:numId w:val="1006"/>
        </w:numPr>
        <w:pStyle w:val="Compact"/>
      </w:pPr>
      <w:r>
        <w:t xml:space="preserve">empatía con límites profesionales claros;</w:t>
      </w:r>
    </w:p>
    <w:p>
      <w:pPr>
        <w:numPr>
          <w:ilvl w:val="0"/>
          <w:numId w:val="1006"/>
        </w:numPr>
        <w:pStyle w:val="Compact"/>
      </w:pPr>
      <w:r>
        <w:t xml:space="preserve">humildad cultural;</w:t>
      </w:r>
    </w:p>
    <w:p>
      <w:pPr>
        <w:numPr>
          <w:ilvl w:val="0"/>
          <w:numId w:val="1006"/>
        </w:numPr>
        <w:pStyle w:val="Compact"/>
      </w:pPr>
      <w:r>
        <w:t xml:space="preserve">comunicación inclusiva para personas con discapacidad;</w:t>
      </w:r>
    </w:p>
    <w:p>
      <w:pPr>
        <w:numPr>
          <w:ilvl w:val="0"/>
          <w:numId w:val="1006"/>
        </w:numPr>
        <w:pStyle w:val="Compact"/>
      </w:pPr>
      <w:r>
        <w:t xml:space="preserve">trabajo en equipo con gestores de casos, clínicos, trabajadores sociales, administradores y socios comunitarios;</w:t>
      </w:r>
    </w:p>
    <w:p>
      <w:pPr>
        <w:numPr>
          <w:ilvl w:val="0"/>
          <w:numId w:val="1006"/>
        </w:numPr>
        <w:pStyle w:val="Compact"/>
      </w:pPr>
      <w:r>
        <w:t xml:space="preserve">escalamiento calmado en situaciones difíciles;</w:t>
      </w:r>
    </w:p>
    <w:p>
      <w:pPr>
        <w:numPr>
          <w:ilvl w:val="0"/>
          <w:numId w:val="1006"/>
        </w:numPr>
        <w:pStyle w:val="Compact"/>
      </w:pPr>
      <w:r>
        <w:t xml:space="preserve">habilidades básicas de hojas de cálculo, correo, calendario y sistemas de gestión de casos;</w:t>
      </w:r>
    </w:p>
    <w:p>
      <w:pPr>
        <w:numPr>
          <w:ilvl w:val="0"/>
          <w:numId w:val="1006"/>
        </w:numPr>
        <w:pStyle w:val="Compact"/>
      </w:pPr>
      <w:r>
        <w:t xml:space="preserve">conciencia de confidencialidad y privacidad;</w:t>
      </w:r>
    </w:p>
    <w:p>
      <w:pPr>
        <w:numPr>
          <w:ilvl w:val="0"/>
          <w:numId w:val="1006"/>
        </w:numPr>
        <w:pStyle w:val="Compact"/>
      </w:pPr>
      <w:r>
        <w:t xml:space="preserve">capacidad para verificar información vigente de programas; y</w:t>
      </w:r>
    </w:p>
    <w:p>
      <w:pPr>
        <w:numPr>
          <w:ilvl w:val="0"/>
          <w:numId w:val="1006"/>
        </w:numPr>
        <w:pStyle w:val="Compact"/>
      </w:pPr>
      <w:r>
        <w:t xml:space="preserve">criterio para saber cuándo detenerse y solicitar supervisión.</w:t>
      </w:r>
    </w:p>
    <w:p>
      <w:pPr>
        <w:pStyle w:val="FirstParagraph"/>
      </w:pPr>
      <w:r>
        <w:t xml:space="preserve">La capacidad bilingüe o multilingüe puede ser valiosa en algunas comunidades, pero no afirme tener credenciales profesionales de interpretación o traducción que no posee.</w:t>
      </w:r>
    </w:p>
    <w:bookmarkEnd w:id="27"/>
    <w:bookmarkStart w:id="32" w:name="educación-y-rutas-de-entrada"/>
    <w:p>
      <w:pPr>
        <w:pStyle w:val="Heading2"/>
      </w:pPr>
      <w:r>
        <w:t xml:space="preserve">Educación y rutas de entrada</w:t>
      </w:r>
    </w:p>
    <w:bookmarkStart w:id="28" w:name="estados-unidos"/>
    <w:p>
      <w:pPr>
        <w:pStyle w:val="Heading3"/>
      </w:pPr>
      <w:r>
        <w:t xml:space="preserve">Estados Unidos</w:t>
      </w:r>
    </w:p>
    <w:p>
      <w:pPr>
        <w:pStyle w:val="FirstParagraph"/>
      </w:pPr>
      <w:r>
        <w:t xml:space="preserve">La familia ocupacional federal más cercana es</w:t>
      </w:r>
      <w:r>
        <w:t xml:space="preserve"> </w:t>
      </w:r>
      <w:r>
        <w:rPr>
          <w:bCs/>
          <w:b/>
        </w:rPr>
        <w:t xml:space="preserve">Social and Human Service Assistants, O*NET-SOC 21-1093.00</w:t>
      </w:r>
      <w:r>
        <w:t xml:space="preserve">.</w:t>
      </w:r>
    </w:p>
    <w:p>
      <w:pPr>
        <w:pStyle w:val="BodyText"/>
      </w:pPr>
      <w:r>
        <w:t xml:space="preserve">O*NET reporta datos salariales BLS de 2025 de</w:t>
      </w:r>
      <w:r>
        <w:t xml:space="preserve"> </w:t>
      </w:r>
      <w:r>
        <w:rPr>
          <w:bCs/>
          <w:b/>
        </w:rPr>
        <w:t xml:space="preserve">USD $22.08/hora / $45,930/año</w:t>
      </w:r>
      <w:r>
        <w:t xml:space="preserve"> </w:t>
      </w:r>
      <w:r>
        <w:t xml:space="preserve">para esta ocupación. Reporta aproximadamente</w:t>
      </w:r>
      <w:r>
        <w:t xml:space="preserve"> </w:t>
      </w:r>
      <w:r>
        <w:rPr>
          <w:bCs/>
          <w:b/>
        </w:rPr>
        <w:t xml:space="preserve">449,600 trabajadores en 2024</w:t>
      </w:r>
      <w:r>
        <w:t xml:space="preserve">, crecimiento proyectado de</w:t>
      </w:r>
      <w:r>
        <w:t xml:space="preserve"> </w:t>
      </w:r>
      <w:r>
        <w:rPr>
          <w:bCs/>
          <w:b/>
        </w:rPr>
        <w:t xml:space="preserve">6% entre 2024 y 2034</w:t>
      </w:r>
      <w:r>
        <w:t xml:space="preserve">, y alrededor de</w:t>
      </w:r>
      <w:r>
        <w:t xml:space="preserve"> </w:t>
      </w:r>
      <w:r>
        <w:rPr>
          <w:bCs/>
          <w:b/>
        </w:rPr>
        <w:t xml:space="preserve">50,600 vacantes anuales</w:t>
      </w:r>
      <w:r>
        <w:t xml:space="preserve"> </w:t>
      </w:r>
      <w:r>
        <w:t xml:space="preserve">durante la década.</w:t>
      </w:r>
    </w:p>
    <w:p>
      <w:pPr>
        <w:pStyle w:val="BodyText"/>
      </w:pPr>
      <w:r>
        <w:t xml:space="preserve">La Oficina de Estadísticas Laborales de Estados Unidos indica que los asistentes de servicios sociales y humanos normalmente necesitan al menos</w:t>
      </w:r>
      <w:r>
        <w:t xml:space="preserve"> </w:t>
      </w:r>
      <w:r>
        <w:rPr>
          <w:bCs/>
          <w:b/>
        </w:rPr>
        <w:t xml:space="preserve">diploma de secundaria o equivalente</w:t>
      </w:r>
      <w:r>
        <w:t xml:space="preserve"> </w:t>
      </w:r>
      <w:r>
        <w:t xml:space="preserve">y suelen recibir</w:t>
      </w:r>
      <w:r>
        <w:t xml:space="preserve"> </w:t>
      </w:r>
      <w:r>
        <w:rPr>
          <w:bCs/>
          <w:b/>
        </w:rPr>
        <w:t xml:space="preserve">capacitación de corto plazo en el trabajo</w:t>
      </w:r>
      <w:r>
        <w:t xml:space="preserve">, aunque algunos empleadores prefieren educación adicional o experiencia relacionada.</w:t>
      </w:r>
    </w:p>
    <w:p>
      <w:pPr>
        <w:pStyle w:val="BodyText"/>
      </w:pPr>
      <w:r>
        <w:t xml:space="preserve">Una secuencia práctica de entrada es:</w:t>
      </w:r>
    </w:p>
    <w:p>
      <w:pPr>
        <w:numPr>
          <w:ilvl w:val="0"/>
          <w:numId w:val="1007"/>
        </w:numPr>
        <w:pStyle w:val="Compact"/>
      </w:pPr>
      <w:r>
        <w:t xml:space="preserve">Revise 15–20 vacantes vigentes para asistente de gestión de casos, auxiliar de casos, navegador de recursos, navegador comunitario, navegador de beneficios, asistente de servicios sociales, asistente de alcance, navegador familiar, navegador de vivienda o títulos similares.</w:t>
      </w:r>
    </w:p>
    <w:p>
      <w:pPr>
        <w:numPr>
          <w:ilvl w:val="0"/>
          <w:numId w:val="1007"/>
        </w:numPr>
        <w:pStyle w:val="Compact"/>
      </w:pPr>
      <w:r>
        <w:t xml:space="preserve">Registre requisitos recurrentes de educación, conducción, antecedentes, poblaciones atendidas, sistemas de documentación, software, idiomas, capacitación en crisis y horarios.</w:t>
      </w:r>
    </w:p>
    <w:p>
      <w:pPr>
        <w:numPr>
          <w:ilvl w:val="0"/>
          <w:numId w:val="1007"/>
        </w:numPr>
        <w:pStyle w:val="Compact"/>
      </w:pPr>
      <w:r>
        <w:t xml:space="preserve">Separe los puestos de apoyo de aquellos que requieren credenciales profesionales de trabajo social, enfermería, consejería, salud, derecho o gestión certificada de casos.</w:t>
      </w:r>
    </w:p>
    <w:p>
      <w:pPr>
        <w:numPr>
          <w:ilvl w:val="0"/>
          <w:numId w:val="1007"/>
        </w:numPr>
        <w:pStyle w:val="Compact"/>
      </w:pPr>
      <w:r>
        <w:t xml:space="preserve">Desarrolle experiencia transferible mediante servicio comunitario supervisado, atención al cliente, cuidado, apoyo administrativo, administración de salud, servicios de discapacidad, programas de empleo, vivienda, juventud, envejecimiento o entornos relacionados.</w:t>
      </w:r>
    </w:p>
    <w:p>
      <w:pPr>
        <w:numPr>
          <w:ilvl w:val="0"/>
          <w:numId w:val="1007"/>
        </w:numPr>
        <w:pStyle w:val="Compact"/>
      </w:pPr>
      <w:r>
        <w:t xml:space="preserve">Utilice capacitación pública o reconocida por empleadores para fortalecer documentación, navegación de recursos, privacidad, salvaguarda, desescalamiento, inclusión de discapacidad y habilidades digitales.</w:t>
      </w:r>
    </w:p>
    <w:p>
      <w:pPr>
        <w:numPr>
          <w:ilvl w:val="0"/>
          <w:numId w:val="1007"/>
        </w:numPr>
        <w:pStyle w:val="Compact"/>
      </w:pPr>
      <w:r>
        <w:t xml:space="preserve">Postúlese solo a roles compatibles con su educación, experiencia y credenciales reales.</w:t>
      </w:r>
    </w:p>
    <w:p>
      <w:pPr>
        <w:pStyle w:val="FirstParagraph"/>
      </w:pPr>
      <w:r>
        <w:t xml:space="preserve">No suponga que un costoso certificado privado de</w:t>
      </w:r>
      <w:r>
        <w:t xml:space="preserve"> </w:t>
      </w:r>
      <w:r>
        <w:rPr>
          <w:rStyle w:val="VerbatimChar"/>
        </w:rPr>
        <w:t xml:space="preserve">gestión de casos</w:t>
      </w:r>
      <w:r>
        <w:t xml:space="preserve"> </w:t>
      </w:r>
      <w:r>
        <w:t xml:space="preserve">sea legalmente obligatorio solo porque un proveedor lo comercializa.</w:t>
      </w:r>
    </w:p>
    <w:bookmarkEnd w:id="28"/>
    <w:bookmarkStart w:id="29" w:name="canadá"/>
    <w:p>
      <w:pPr>
        <w:pStyle w:val="Heading3"/>
      </w:pPr>
      <w:r>
        <w:t xml:space="preserve">Canadá</w:t>
      </w:r>
    </w:p>
    <w:p>
      <w:pPr>
        <w:pStyle w:val="FirstParagraph"/>
      </w:pPr>
      <w:r>
        <w:t xml:space="preserve">La comparación amplia más cercana es</w:t>
      </w:r>
      <w:r>
        <w:t xml:space="preserve"> </w:t>
      </w:r>
      <w:r>
        <w:rPr>
          <w:bCs/>
          <w:b/>
        </w:rPr>
        <w:t xml:space="preserve">Social and community service workers, NOC 42201</w:t>
      </w:r>
      <w:r>
        <w:t xml:space="preserve">.</w:t>
      </w:r>
    </w:p>
    <w:p>
      <w:pPr>
        <w:pStyle w:val="BodyText"/>
      </w:pPr>
      <w:r>
        <w:t xml:space="preserve">Job Bank del Gobierno de Canadá indica que normalmente se requiere completar un programa universitario o de college en trabajo social, atención infantil y juvenil, psicología u otra disciplina relacionada con ciencias sociales o salud. La experiencia previa en servicios sociales como voluntario o trabajador de apoyo puede sustituir requisitos de educación formal en algunas ocupaciones del grupo.</w:t>
      </w:r>
    </w:p>
    <w:p>
      <w:pPr>
        <w:pStyle w:val="BodyText"/>
      </w:pPr>
      <w:r>
        <w:t xml:space="preserve">Algunos títulos de trabajador de servicios sociales pueden requerir registro ante un organismo regulador provincial. Un rol genérico de navegador o asistente y un título regulado de servicios sociales no son automáticamente equivalentes.</w:t>
      </w:r>
    </w:p>
    <w:p>
      <w:pPr>
        <w:pStyle w:val="BodyText"/>
      </w:pPr>
      <w:r>
        <w:t xml:space="preserve">Antes de pagar capacitación, verifique:</w:t>
      </w:r>
    </w:p>
    <w:p>
      <w:pPr>
        <w:numPr>
          <w:ilvl w:val="0"/>
          <w:numId w:val="1008"/>
        </w:numPr>
        <w:pStyle w:val="Compact"/>
      </w:pPr>
      <w:r>
        <w:t xml:space="preserve">título y funciones exactas;</w:t>
      </w:r>
    </w:p>
    <w:p>
      <w:pPr>
        <w:numPr>
          <w:ilvl w:val="0"/>
          <w:numId w:val="1008"/>
        </w:numPr>
        <w:pStyle w:val="Compact"/>
      </w:pPr>
      <w:r>
        <w:t xml:space="preserve">provincia o territorio;</w:t>
      </w:r>
    </w:p>
    <w:p>
      <w:pPr>
        <w:numPr>
          <w:ilvl w:val="0"/>
          <w:numId w:val="1008"/>
        </w:numPr>
        <w:pStyle w:val="Compact"/>
      </w:pPr>
      <w:r>
        <w:t xml:space="preserve">si el empleador exige diploma de college, título universitario o credencial específica;</w:t>
      </w:r>
    </w:p>
    <w:p>
      <w:pPr>
        <w:numPr>
          <w:ilvl w:val="0"/>
          <w:numId w:val="1008"/>
        </w:numPr>
        <w:pStyle w:val="Compact"/>
      </w:pPr>
      <w:r>
        <w:t xml:space="preserve">si la experiencia supervisada puede sustituir educación;</w:t>
      </w:r>
    </w:p>
    <w:p>
      <w:pPr>
        <w:numPr>
          <w:ilvl w:val="0"/>
          <w:numId w:val="1008"/>
        </w:numPr>
        <w:pStyle w:val="Compact"/>
      </w:pPr>
      <w:r>
        <w:t xml:space="preserve">si aplica un título protegido o requisito de registro; y</w:t>
      </w:r>
    </w:p>
    <w:p>
      <w:pPr>
        <w:numPr>
          <w:ilvl w:val="0"/>
          <w:numId w:val="1008"/>
        </w:numPr>
        <w:pStyle w:val="Compact"/>
      </w:pPr>
      <w:r>
        <w:t xml:space="preserve">si los empleadores objetivo reconocen el programa.</w:t>
      </w:r>
    </w:p>
    <w:bookmarkEnd w:id="29"/>
    <w:bookmarkStart w:id="30" w:name="colombia"/>
    <w:p>
      <w:pPr>
        <w:pStyle w:val="Heading3"/>
      </w:pPr>
      <w:r>
        <w:t xml:space="preserve">Colombia</w:t>
      </w:r>
    </w:p>
    <w:p>
      <w:pPr>
        <w:pStyle w:val="FirstParagraph"/>
      </w:pPr>
      <w:r>
        <w:t xml:space="preserve">La Clasificación Nacional de Ocupaciones del SENA identifica</w:t>
      </w:r>
      <w:r>
        <w:t xml:space="preserve"> </w:t>
      </w:r>
      <w:r>
        <w:rPr>
          <w:bCs/>
          <w:b/>
        </w:rPr>
        <w:t xml:space="preserve">CNO 4211 — Asistentes en servicios social y comunitario</w:t>
      </w:r>
      <w:r>
        <w:t xml:space="preserve">.</w:t>
      </w:r>
    </w:p>
    <w:p>
      <w:pPr>
        <w:pStyle w:val="BodyText"/>
      </w:pPr>
      <w:r>
        <w:t xml:space="preserve">Un ejemplo vigente de la Agencia Pública de Empleo del SENA para</w:t>
      </w:r>
      <w:r>
        <w:t xml:space="preserve"> </w:t>
      </w:r>
      <w:r>
        <w:rPr>
          <w:bCs/>
          <w:b/>
        </w:rPr>
        <w:t xml:space="preserve">Gestor comunitario</w:t>
      </w:r>
      <w:r>
        <w:t xml:space="preserve"> </w:t>
      </w:r>
      <w:r>
        <w:t xml:space="preserve">incluye funciones directamente relacionadas con navegación de recursos: entrevistar personas o familias sobre sus necesidades, ayudar a identificar opciones y planes de acción, conectar usuarios con recursos legales, médicos, financieros, de vivienda, empleo, transporte y otros, y apoyar programas bajo supervisión profesional.</w:t>
      </w:r>
    </w:p>
    <w:p>
      <w:pPr>
        <w:pStyle w:val="BodyText"/>
      </w:pPr>
      <w:r>
        <w:t xml:space="preserve">Esto demuestra uso actual en el mercado laboral; no es una descripción universal y no autoriza a ejercer trabajo social profesional regulado.</w:t>
      </w:r>
    </w:p>
    <w:p>
      <w:pPr>
        <w:pStyle w:val="BodyText"/>
      </w:pPr>
      <w:r>
        <w:t xml:space="preserve">SENA Betowa también lista</w:t>
      </w:r>
      <w:r>
        <w:t xml:space="preserve"> </w:t>
      </w:r>
      <w:r>
        <w:rPr>
          <w:bCs/>
          <w:b/>
        </w:rPr>
        <w:t xml:space="preserve">Desarrollo de habilidades para el bienestar familiar y comunitario</w:t>
      </w:r>
      <w:r>
        <w:t xml:space="preserve">, un programa complementario de</w:t>
      </w:r>
      <w:r>
        <w:t xml:space="preserve"> </w:t>
      </w:r>
      <w:r>
        <w:rPr>
          <w:bCs/>
          <w:b/>
        </w:rPr>
        <w:t xml:space="preserve">48 horas</w:t>
      </w:r>
      <w:r>
        <w:t xml:space="preserve">. La disponibilidad varía por modalidad, ubicación, elegibilidad, cohorte y cupos. Debe verse como ejemplo de desarrollo público de habilidades adyacentes, no como requisito legal universal para CNO 4211 ni sustituto de formación profesional en trabajo social.</w:t>
      </w:r>
    </w:p>
    <w:bookmarkEnd w:id="30"/>
    <w:bookmarkStart w:id="31" w:name="américa-latina-y-el-caribe"/>
    <w:p>
      <w:pPr>
        <w:pStyle w:val="Heading3"/>
      </w:pPr>
      <w:r>
        <w:t xml:space="preserve">América Latina y el Caribe</w:t>
      </w:r>
    </w:p>
    <w:p>
      <w:pPr>
        <w:pStyle w:val="FirstParagraph"/>
      </w:pPr>
      <w:r>
        <w:t xml:space="preserve">Los sistemas de formación, protección de títulos, reglas de trabajo social profesional, obligaciones de privacidad, requisitos de salvaguarda y expectativas de empleadores varían por país.</w:t>
      </w:r>
    </w:p>
    <w:p>
      <w:pPr>
        <w:pStyle w:val="BodyText"/>
      </w:pPr>
      <w:r>
        <w:t xml:space="preserve">OIT/Cinterfor mantiene una red regional de instituciones de formación profesional y sistemas de cualificaciones. Úsela para identificar la institución pública nacional pertinente y luego verifique directamente el programa, costo, reconocimiento, elegibilidad y alcance legal con la institución y el regulador responsables.</w:t>
      </w:r>
    </w:p>
    <w:bookmarkEnd w:id="31"/>
    <w:bookmarkEnd w:id="32"/>
    <w:bookmarkStart w:id="33" w:name="X16336857c8b2eb53880b26e4307d339747250d8"/>
    <w:p>
      <w:pPr>
        <w:pStyle w:val="Heading2"/>
      </w:pPr>
      <w:r>
        <w:t xml:space="preserve">Estrategia de capacitación gratuita primero y de bajo costo</w:t>
      </w:r>
    </w:p>
    <w:p>
      <w:pPr>
        <w:pStyle w:val="FirstParagraph"/>
      </w:pPr>
      <w:r>
        <w:t xml:space="preserve">Antes de pagar capacitación:</w:t>
      </w:r>
    </w:p>
    <w:p>
      <w:pPr>
        <w:numPr>
          <w:ilvl w:val="0"/>
          <w:numId w:val="1009"/>
        </w:numPr>
        <w:pStyle w:val="Compact"/>
      </w:pPr>
      <w:r>
        <w:t xml:space="preserve">Revise vacantes reales en la ubicación objetivo.</w:t>
      </w:r>
    </w:p>
    <w:p>
      <w:pPr>
        <w:numPr>
          <w:ilvl w:val="0"/>
          <w:numId w:val="1009"/>
        </w:numPr>
        <w:pStyle w:val="Compact"/>
      </w:pPr>
      <w:r>
        <w:t xml:space="preserve">Separe requisitos obligatorios de calificaciones preferidas.</w:t>
      </w:r>
    </w:p>
    <w:p>
      <w:pPr>
        <w:numPr>
          <w:ilvl w:val="0"/>
          <w:numId w:val="1009"/>
        </w:numPr>
        <w:pStyle w:val="Compact"/>
      </w:pPr>
      <w:r>
        <w:t xml:space="preserve">Determine si el rol es realmente de apoyo o exige licencia profesional o credencial protegida.</w:t>
      </w:r>
    </w:p>
    <w:p>
      <w:pPr>
        <w:numPr>
          <w:ilvl w:val="0"/>
          <w:numId w:val="1009"/>
        </w:numPr>
        <w:pStyle w:val="Compact"/>
      </w:pPr>
      <w:r>
        <w:t xml:space="preserve">Pregunte si el empleador ofrece inducción pagada, capacitación supervisada de apoyo a casos, formación en sistemas de recursos o reembolso.</w:t>
      </w:r>
    </w:p>
    <w:p>
      <w:pPr>
        <w:numPr>
          <w:ilvl w:val="0"/>
          <w:numId w:val="1009"/>
        </w:numPr>
        <w:pStyle w:val="Compact"/>
      </w:pPr>
      <w:r>
        <w:t xml:space="preserve">Utilice primero opciones públicas, de fuerza laboral, community college, formación profesional, organizaciones sin fines de lucro, empleadores o gobierno cuando sean adecuadas.</w:t>
      </w:r>
    </w:p>
    <w:p>
      <w:pPr>
        <w:numPr>
          <w:ilvl w:val="0"/>
          <w:numId w:val="1009"/>
        </w:numPr>
        <w:pStyle w:val="Compact"/>
      </w:pPr>
      <w:r>
        <w:t xml:space="preserve">Compare costo total, horario, transporte, materiales, exámenes, verificación de antecedentes, software y prácticas no pagadas.</w:t>
      </w:r>
    </w:p>
    <w:p>
      <w:pPr>
        <w:numPr>
          <w:ilvl w:val="0"/>
          <w:numId w:val="1009"/>
        </w:numPr>
        <w:pStyle w:val="Compact"/>
      </w:pPr>
      <w:r>
        <w:t xml:space="preserve">Confirme que los empleadores objetivo reconozcan el programa.</w:t>
      </w:r>
    </w:p>
    <w:p>
      <w:pPr>
        <w:numPr>
          <w:ilvl w:val="0"/>
          <w:numId w:val="1009"/>
        </w:numPr>
        <w:pStyle w:val="Compact"/>
      </w:pPr>
      <w:r>
        <w:t xml:space="preserve">Obtenga por escrito políticas de reembolso, devolución y afirmaciones de colocación laboral.</w:t>
      </w:r>
    </w:p>
    <w:p>
      <w:pPr>
        <w:numPr>
          <w:ilvl w:val="0"/>
          <w:numId w:val="1009"/>
        </w:numPr>
        <w:pStyle w:val="Compact"/>
      </w:pPr>
      <w:r>
        <w:t xml:space="preserve">Evite deuda por credenciales que los empleadores locales no solicitan.</w:t>
      </w:r>
    </w:p>
    <w:bookmarkEnd w:id="33"/>
    <w:bookmarkStart w:id="38" w:name="X3681cd9e0911d1e88d0cf4b907ca3f51aff10bf"/>
    <w:p>
      <w:pPr>
        <w:pStyle w:val="Heading2"/>
      </w:pPr>
      <w:r>
        <w:t xml:space="preserve">Localizadores de financiación y formación pública</w:t>
      </w:r>
    </w:p>
    <w:bookmarkStart w:id="34" w:name="estados-unidos-1"/>
    <w:p>
      <w:pPr>
        <w:pStyle w:val="Heading3"/>
      </w:pPr>
      <w:r>
        <w:t xml:space="preserve">Estados Unidos</w:t>
      </w:r>
    </w:p>
    <w:p>
      <w:pPr>
        <w:pStyle w:val="FirstParagraph"/>
      </w:pPr>
      <w:r>
        <w:t xml:space="preserve">CareerOneStop, patrocinado por el Departamento de Trabajo de Estados Unidos, ofrece la red</w:t>
      </w:r>
      <w:r>
        <w:t xml:space="preserve"> </w:t>
      </w:r>
      <w:r>
        <w:rPr>
          <w:bCs/>
          <w:b/>
        </w:rPr>
        <w:t xml:space="preserve">American Job Center</w:t>
      </w:r>
      <w:r>
        <w:t xml:space="preserve"> </w:t>
      </w:r>
      <w:r>
        <w:t xml:space="preserve">y un</w:t>
      </w:r>
      <w:r>
        <w:t xml:space="preserve"> </w:t>
      </w:r>
      <w:r>
        <w:rPr>
          <w:bCs/>
          <w:b/>
        </w:rPr>
        <w:t xml:space="preserve">WIOA-Eligible Training Program Finder</w:t>
      </w:r>
      <w:r>
        <w:t xml:space="preserve">.</w:t>
      </w:r>
    </w:p>
    <w:p>
      <w:pPr>
        <w:pStyle w:val="BodyText"/>
      </w:pPr>
      <w:r>
        <w:t xml:space="preserve">El apoyo WIOA puede estar disponible para personas elegibles, incluidas algunas con barreras de empleo. Elegibilidad, programas aprobados, prioridades locales y fondos disponibles varían. La financiación</w:t>
      </w:r>
      <w:r>
        <w:t xml:space="preserve"> </w:t>
      </w:r>
      <w:r>
        <w:rPr>
          <w:bCs/>
          <w:b/>
        </w:rPr>
        <w:t xml:space="preserve">no está garantizada</w:t>
      </w:r>
      <w:r>
        <w:t xml:space="preserve">.</w:t>
      </w:r>
    </w:p>
    <w:p>
      <w:pPr>
        <w:pStyle w:val="BodyText"/>
      </w:pPr>
      <w:r>
        <w:t xml:space="preserve">CareerOneStop también ofrece herramientas para buscar formación, becas, certificaciones, licencias y aprendizajes.</w:t>
      </w:r>
    </w:p>
    <w:bookmarkEnd w:id="34"/>
    <w:bookmarkStart w:id="35" w:name="X272e4238f112f96f290f8718fdbe95aecb38876"/>
    <w:p>
      <w:pPr>
        <w:pStyle w:val="Heading3"/>
      </w:pPr>
      <w:r>
        <w:t xml:space="preserve">Aprendizajes y aprendizaje basado en el trabajo</w:t>
      </w:r>
    </w:p>
    <w:p>
      <w:pPr>
        <w:pStyle w:val="FirstParagraph"/>
      </w:pPr>
      <w:r>
        <w:t xml:space="preserve">No existe un requisito nacional universal de aprendizaje registrado para asistentes de gestión de casos o navegadores de recursos. Pueden existir oportunidades de Registered Apprenticeship en algunos servicios humanos u ocupaciones adyacentes, pero varían por empleador y ubicación.</w:t>
      </w:r>
    </w:p>
    <w:p>
      <w:pPr>
        <w:pStyle w:val="BodyText"/>
      </w:pPr>
      <w:r>
        <w:t xml:space="preserve">Busque vacantes vigentes en Apprenticeship.gov en lugar de asumir que existe un programa local.</w:t>
      </w:r>
    </w:p>
    <w:bookmarkEnd w:id="35"/>
    <w:bookmarkStart w:id="36" w:name="canadá-1"/>
    <w:p>
      <w:pPr>
        <w:pStyle w:val="Heading3"/>
      </w:pPr>
      <w:r>
        <w:t xml:space="preserve">Canadá</w:t>
      </w:r>
    </w:p>
    <w:p>
      <w:pPr>
        <w:pStyle w:val="FirstParagraph"/>
      </w:pPr>
      <w:r>
        <w:t xml:space="preserve">Canadá no tiene una sola credencial o programa de financiación nacional aplicable a todos los roles NOC 42201. Compare programas públicos de college/universidad, servicios de empleo provinciales o territoriales, ayudas estudiantiles aplicables, capacitación financiada por empleadores y requisitos de registro específicos del título.</w:t>
      </w:r>
    </w:p>
    <w:p>
      <w:pPr>
        <w:pStyle w:val="BodyText"/>
      </w:pPr>
      <w:r>
        <w:t xml:space="preserve">Confirme elegibilidad directamente con el programa público responsable antes de asumir que un curso será financiado.</w:t>
      </w:r>
    </w:p>
    <w:bookmarkEnd w:id="36"/>
    <w:bookmarkStart w:id="37" w:name="colombia-y-américa-latina"/>
    <w:p>
      <w:pPr>
        <w:pStyle w:val="Heading3"/>
      </w:pPr>
      <w:r>
        <w:t xml:space="preserve">Colombia y América Latina</w:t>
      </w:r>
    </w:p>
    <w:p>
      <w:pPr>
        <w:pStyle w:val="FirstParagraph"/>
      </w:pPr>
      <w:r>
        <w:t xml:space="preserve">Comience con SENA/Betowa y la Agencia Pública de Empleo del SENA en Colombia. En otros países latinoamericanos, utilice OIT/Cinterfor para identificar la institución pública nacional de formación y confirmar directamente la oferta vigente.</w:t>
      </w:r>
    </w:p>
    <w:bookmarkEnd w:id="37"/>
    <w:bookmarkEnd w:id="38"/>
    <w:bookmarkStart w:id="39" w:name="X53c5ab1e70201dfc89a08cf032d31b0710ce8a9"/>
    <w:p>
      <w:pPr>
        <w:pStyle w:val="Heading2"/>
      </w:pPr>
      <w:r>
        <w:t xml:space="preserve">Apoyo del empleador y aprendizaje en el trabajo</w:t>
      </w:r>
    </w:p>
    <w:p>
      <w:pPr>
        <w:pStyle w:val="FirstParagraph"/>
      </w:pPr>
      <w:r>
        <w:t xml:space="preserve">Pregunte a los empleadores sobre:</w:t>
      </w:r>
    </w:p>
    <w:p>
      <w:pPr>
        <w:numPr>
          <w:ilvl w:val="0"/>
          <w:numId w:val="1010"/>
        </w:numPr>
        <w:pStyle w:val="Compact"/>
      </w:pPr>
      <w:r>
        <w:t xml:space="preserve">orientación pagada;</w:t>
      </w:r>
    </w:p>
    <w:p>
      <w:pPr>
        <w:numPr>
          <w:ilvl w:val="0"/>
          <w:numId w:val="1010"/>
        </w:numPr>
        <w:pStyle w:val="Compact"/>
      </w:pPr>
      <w:r>
        <w:t xml:space="preserve">capacitación supervisada de admisión y apoyo de casos;</w:t>
      </w:r>
    </w:p>
    <w:p>
      <w:pPr>
        <w:numPr>
          <w:ilvl w:val="0"/>
          <w:numId w:val="1010"/>
        </w:numPr>
        <w:pStyle w:val="Compact"/>
      </w:pPr>
      <w:r>
        <w:t xml:space="preserve">capacitación en directorios de referencias y navegación de recursos;</w:t>
      </w:r>
    </w:p>
    <w:p>
      <w:pPr>
        <w:numPr>
          <w:ilvl w:val="0"/>
          <w:numId w:val="1010"/>
        </w:numPr>
        <w:pStyle w:val="Compact"/>
      </w:pPr>
      <w:r>
        <w:t xml:space="preserve">formación en documentación y sistemas de gestión de casos;</w:t>
      </w:r>
    </w:p>
    <w:p>
      <w:pPr>
        <w:numPr>
          <w:ilvl w:val="0"/>
          <w:numId w:val="1010"/>
        </w:numPr>
        <w:pStyle w:val="Compact"/>
      </w:pPr>
      <w:r>
        <w:t xml:space="preserve">privacidad y ciberseguridad;</w:t>
      </w:r>
    </w:p>
    <w:p>
      <w:pPr>
        <w:numPr>
          <w:ilvl w:val="0"/>
          <w:numId w:val="1010"/>
        </w:numPr>
        <w:pStyle w:val="Compact"/>
      </w:pPr>
      <w:r>
        <w:t xml:space="preserve">salvaguarda y reporte obligatorio;</w:t>
      </w:r>
    </w:p>
    <w:p>
      <w:pPr>
        <w:numPr>
          <w:ilvl w:val="0"/>
          <w:numId w:val="1010"/>
        </w:numPr>
        <w:pStyle w:val="Compact"/>
      </w:pPr>
      <w:r>
        <w:t xml:space="preserve">desescalamiento y conciencia de trauma;</w:t>
      </w:r>
    </w:p>
    <w:p>
      <w:pPr>
        <w:numPr>
          <w:ilvl w:val="0"/>
          <w:numId w:val="1010"/>
        </w:numPr>
        <w:pStyle w:val="Compact"/>
      </w:pPr>
      <w:r>
        <w:t xml:space="preserve">inclusión de discapacidad;</w:t>
      </w:r>
    </w:p>
    <w:p>
      <w:pPr>
        <w:numPr>
          <w:ilvl w:val="0"/>
          <w:numId w:val="1010"/>
        </w:numPr>
        <w:pStyle w:val="Compact"/>
      </w:pPr>
      <w:r>
        <w:t xml:space="preserve">asistencia de matrícula;</w:t>
      </w:r>
    </w:p>
    <w:p>
      <w:pPr>
        <w:numPr>
          <w:ilvl w:val="0"/>
          <w:numId w:val="1010"/>
        </w:numPr>
        <w:pStyle w:val="Compact"/>
      </w:pPr>
      <w:r>
        <w:t xml:space="preserve">reembolso de certificaciones o cursos;</w:t>
      </w:r>
    </w:p>
    <w:p>
      <w:pPr>
        <w:numPr>
          <w:ilvl w:val="0"/>
          <w:numId w:val="1010"/>
        </w:numPr>
        <w:pStyle w:val="Compact"/>
      </w:pPr>
      <w:r>
        <w:t xml:space="preserve">apoyo para aprendizaje de idiomas;</w:t>
      </w:r>
    </w:p>
    <w:p>
      <w:pPr>
        <w:numPr>
          <w:ilvl w:val="0"/>
          <w:numId w:val="1010"/>
        </w:numPr>
        <w:pStyle w:val="Compact"/>
      </w:pPr>
      <w:r>
        <w:t xml:space="preserve">capacitación cruzada en vivienda, discapacidad, empleo, familia, envejecimiento, salud, juventud o servicios comunitarios; y</w:t>
      </w:r>
    </w:p>
    <w:p>
      <w:pPr>
        <w:numPr>
          <w:ilvl w:val="0"/>
          <w:numId w:val="1010"/>
        </w:numPr>
        <w:pStyle w:val="Compact"/>
      </w:pPr>
      <w:r>
        <w:t xml:space="preserve">rutas internas de promoción.</w:t>
      </w:r>
    </w:p>
    <w:p>
      <w:pPr>
        <w:pStyle w:val="FirstParagraph"/>
      </w:pPr>
      <w:r>
        <w:t xml:space="preserve">Obtenga por escrito las obligaciones de reembolso antes de aceptar educación financiada por el empleador.</w:t>
      </w:r>
    </w:p>
    <w:bookmarkEnd w:id="39"/>
    <w:bookmarkStart w:id="44" w:name="ingresos-y-perspectiva-de-empleo"/>
    <w:p>
      <w:pPr>
        <w:pStyle w:val="Heading2"/>
      </w:pPr>
      <w:r>
        <w:t xml:space="preserve">Ingresos y perspectiva de empleo</w:t>
      </w:r>
    </w:p>
    <w:bookmarkStart w:id="40" w:name="X1315f4e3d629002714ab0c31bb0b659af50188f"/>
    <w:p>
      <w:pPr>
        <w:pStyle w:val="Heading3"/>
      </w:pPr>
      <w:r>
        <w:t xml:space="preserve">Estados Unidos — datos ocupacionales oficiales</w:t>
      </w:r>
    </w:p>
    <w:p>
      <w:pPr>
        <w:pStyle w:val="FirstParagraph"/>
      </w:pPr>
      <w:r>
        <w:t xml:space="preserve">O*NET reporta</w:t>
      </w:r>
      <w:r>
        <w:t xml:space="preserve"> </w:t>
      </w:r>
      <w:r>
        <w:rPr>
          <w:bCs/>
          <w:b/>
        </w:rPr>
        <w:t xml:space="preserve">datos salariales BLS de 2025</w:t>
      </w:r>
      <w:r>
        <w:t xml:space="preserve"> </w:t>
      </w:r>
      <w:r>
        <w:t xml:space="preserve">para Social and Human Service Assistants, 21-1093.00:</w:t>
      </w:r>
    </w:p>
    <w:p>
      <w:pPr>
        <w:numPr>
          <w:ilvl w:val="0"/>
          <w:numId w:val="1011"/>
        </w:numPr>
        <w:pStyle w:val="Compact"/>
      </w:pPr>
      <w:r>
        <w:rPr>
          <w:bCs/>
          <w:b/>
        </w:rPr>
        <w:t xml:space="preserve">Salario mediano por hora: USD $22.08</w:t>
      </w:r>
    </w:p>
    <w:p>
      <w:pPr>
        <w:numPr>
          <w:ilvl w:val="0"/>
          <w:numId w:val="1011"/>
        </w:numPr>
        <w:pStyle w:val="Compact"/>
      </w:pPr>
      <w:r>
        <w:rPr>
          <w:bCs/>
          <w:b/>
        </w:rPr>
        <w:t xml:space="preserve">Salario mediano anual: USD $45,930</w:t>
      </w:r>
    </w:p>
    <w:p>
      <w:pPr>
        <w:pStyle w:val="FirstParagraph"/>
      </w:pPr>
      <w:r>
        <w:t xml:space="preserve">O*NET también reporta aproximadamente</w:t>
      </w:r>
      <w:r>
        <w:t xml:space="preserve"> </w:t>
      </w:r>
      <w:r>
        <w:rPr>
          <w:bCs/>
          <w:b/>
        </w:rPr>
        <w:t xml:space="preserve">449,600 trabajadores en 2024</w:t>
      </w:r>
      <w:r>
        <w:t xml:space="preserve">, crecimiento proyectado de</w:t>
      </w:r>
      <w:r>
        <w:t xml:space="preserve"> </w:t>
      </w:r>
      <w:r>
        <w:rPr>
          <w:bCs/>
          <w:b/>
        </w:rPr>
        <w:t xml:space="preserve">6% de 2024 a 2034</w:t>
      </w:r>
      <w:r>
        <w:t xml:space="preserve"> </w:t>
      </w:r>
      <w:r>
        <w:t xml:space="preserve">y aproximadamente</w:t>
      </w:r>
      <w:r>
        <w:t xml:space="preserve"> </w:t>
      </w:r>
      <w:r>
        <w:rPr>
          <w:bCs/>
          <w:b/>
        </w:rPr>
        <w:t xml:space="preserve">50,600 vacantes por año</w:t>
      </w:r>
      <w:r>
        <w:t xml:space="preserve"> </w:t>
      </w:r>
      <w:r>
        <w:t xml:space="preserve">durante la década.</w:t>
      </w:r>
    </w:p>
    <w:p>
      <w:pPr>
        <w:pStyle w:val="BodyText"/>
      </w:pPr>
      <w:r>
        <w:t xml:space="preserve">Son cifras nacionales para la ocupación mapeada. No garantizan salario inicial ni representan todos los puestos que usan las palabras</w:t>
      </w:r>
      <w:r>
        <w:t xml:space="preserve"> </w:t>
      </w:r>
      <w:r>
        <w:rPr>
          <w:iCs/>
          <w:i/>
        </w:rPr>
        <w:t xml:space="preserve">case management</w:t>
      </w:r>
      <w:r>
        <w:t xml:space="preserve"> </w:t>
      </w:r>
      <w:r>
        <w:t xml:space="preserve">o</w:t>
      </w:r>
      <w:r>
        <w:t xml:space="preserve"> </w:t>
      </w:r>
      <w:r>
        <w:rPr>
          <w:iCs/>
          <w:i/>
        </w:rPr>
        <w:t xml:space="preserve">navigator</w:t>
      </w:r>
      <w:r>
        <w:t xml:space="preserve">.</w:t>
      </w:r>
    </w:p>
    <w:bookmarkEnd w:id="40"/>
    <w:bookmarkStart w:id="41" w:name="Xbe89d9e37e37f7e439534319eccb06b2a51e981"/>
    <w:p>
      <w:pPr>
        <w:pStyle w:val="Heading3"/>
      </w:pPr>
      <w:r>
        <w:t xml:space="preserve">Estados Unidos — estimación privada actual por título</w:t>
      </w:r>
    </w:p>
    <w:p>
      <w:pPr>
        <w:pStyle w:val="FirstParagraph"/>
      </w:pPr>
      <w:r>
        <w:t xml:space="preserve">Indeed reportó un salario base promedio de aproximadamente</w:t>
      </w:r>
      <w:r>
        <w:t xml:space="preserve"> </w:t>
      </w:r>
      <w:r>
        <w:rPr>
          <w:bCs/>
          <w:b/>
        </w:rPr>
        <w:t xml:space="preserve">USD $62,739/año</w:t>
      </w:r>
      <w:r>
        <w:t xml:space="preserve"> </w:t>
      </w:r>
      <w:r>
        <w:t xml:space="preserve">para el título amplio</w:t>
      </w:r>
      <w:r>
        <w:t xml:space="preserve"> </w:t>
      </w:r>
      <w:r>
        <w:rPr>
          <w:iCs/>
          <w:i/>
        </w:rPr>
        <w:t xml:space="preserve">Navigator</w:t>
      </w:r>
      <w:r>
        <w:t xml:space="preserve">, basado en aproximadamente 1.7 mil observaciones salariales de anuncios durante los 36 meses anteriores y actualizado el</w:t>
      </w:r>
      <w:r>
        <w:t xml:space="preserve"> </w:t>
      </w:r>
      <w:r>
        <w:rPr>
          <w:bCs/>
          <w:b/>
        </w:rPr>
        <w:t xml:space="preserve">2 de agosto de 2026</w:t>
      </w:r>
      <w:r>
        <w:t xml:space="preserve">.</w:t>
      </w:r>
    </w:p>
    <w:p>
      <w:pPr>
        <w:pStyle w:val="BodyText"/>
      </w:pPr>
      <w:r>
        <w:t xml:space="preserve">Esta es una</w:t>
      </w:r>
      <w:r>
        <w:t xml:space="preserve"> </w:t>
      </w:r>
      <w:r>
        <w:rPr>
          <w:bCs/>
          <w:b/>
        </w:rPr>
        <w:t xml:space="preserve">estimación no gubernamental basada en un título amplio</w:t>
      </w:r>
      <w:r>
        <w:t xml:space="preserve"> </w:t>
      </w:r>
      <w:r>
        <w:t xml:space="preserve">e incluye funciones clínicas, educativas, laborales, de transporte y otras que no son equivalentes. No debe tratarse como salario oficial de la Guía 60 ni mezclarse con O*NET/BLS como si fueran el mismo conjunto de datos.</w:t>
      </w:r>
    </w:p>
    <w:p>
      <w:pPr>
        <w:pStyle w:val="BodyText"/>
      </w:pPr>
      <w:r>
        <w:t xml:space="preserve">Salary.com reporta estimaciones considerablemente superiores para</w:t>
      </w:r>
      <w:r>
        <w:t xml:space="preserve"> </w:t>
      </w:r>
      <w:r>
        <w:rPr>
          <w:iCs/>
          <w:i/>
        </w:rPr>
        <w:t xml:space="preserve">Case Manager Assistant</w:t>
      </w:r>
      <w:r>
        <w:t xml:space="preserve"> </w:t>
      </w:r>
      <w:r>
        <w:t xml:space="preserve">y</w:t>
      </w:r>
      <w:r>
        <w:t xml:space="preserve"> </w:t>
      </w:r>
      <w:r>
        <w:rPr>
          <w:iCs/>
          <w:i/>
        </w:rPr>
        <w:t xml:space="preserve">Case Management Assistant</w:t>
      </w:r>
      <w:r>
        <w:t xml:space="preserve">. Esas cifras pueden incorporar cargos clínicos u hospitalarios mejor pagados y no deben utilizarse como referencia predeterminada para esta guía de nivel de apoyo sin comparar un puesto específico.</w:t>
      </w:r>
    </w:p>
    <w:bookmarkEnd w:id="41"/>
    <w:bookmarkStart w:id="42" w:name="canadá--datos-oficiales"/>
    <w:p>
      <w:pPr>
        <w:pStyle w:val="Heading3"/>
      </w:pPr>
      <w:r>
        <w:t xml:space="preserve">Canadá — datos oficiales</w:t>
      </w:r>
    </w:p>
    <w:p>
      <w:pPr>
        <w:pStyle w:val="FirstParagraph"/>
      </w:pPr>
      <w:r>
        <w:t xml:space="preserve">Job Bank del Gobierno de Canadá reporta salarios nacionales para NOC 42201, actualizados el</w:t>
      </w:r>
      <w:r>
        <w:t xml:space="preserve"> </w:t>
      </w:r>
      <w:r>
        <w:rPr>
          <w:bCs/>
          <w:b/>
        </w:rPr>
        <w:t xml:space="preserve">19 de noviembre de 2025</w:t>
      </w:r>
      <w:r>
        <w:t xml:space="preserve">, de aproximadamente:</w:t>
      </w:r>
    </w:p>
    <w:p>
      <w:pPr>
        <w:numPr>
          <w:ilvl w:val="0"/>
          <w:numId w:val="1012"/>
        </w:numPr>
        <w:pStyle w:val="Compact"/>
      </w:pPr>
      <w:r>
        <w:rPr>
          <w:bCs/>
          <w:b/>
        </w:rPr>
        <w:t xml:space="preserve">CAD $19.00/hora bajo</w:t>
      </w:r>
    </w:p>
    <w:p>
      <w:pPr>
        <w:numPr>
          <w:ilvl w:val="0"/>
          <w:numId w:val="1012"/>
        </w:numPr>
        <w:pStyle w:val="Compact"/>
      </w:pPr>
      <w:r>
        <w:rPr>
          <w:bCs/>
          <w:b/>
        </w:rPr>
        <w:t xml:space="preserve">CAD $26.00/hora mediano</w:t>
      </w:r>
    </w:p>
    <w:p>
      <w:pPr>
        <w:numPr>
          <w:ilvl w:val="0"/>
          <w:numId w:val="1012"/>
        </w:numPr>
        <w:pStyle w:val="Compact"/>
      </w:pPr>
      <w:r>
        <w:rPr>
          <w:bCs/>
          <w:b/>
        </w:rPr>
        <w:t xml:space="preserve">CAD $36.06/hora alto</w:t>
      </w:r>
    </w:p>
    <w:p>
      <w:pPr>
        <w:pStyle w:val="FirstParagraph"/>
      </w:pPr>
      <w:r>
        <w:t xml:space="preserve">El período de referencia salarial nacional subyacente es 2023–2024. Los salarios provinciales y regionales pueden variar de forma material.</w:t>
      </w:r>
    </w:p>
    <w:bookmarkEnd w:id="42"/>
    <w:bookmarkStart w:id="43" w:name="colombia-1"/>
    <w:p>
      <w:pPr>
        <w:pStyle w:val="Heading3"/>
      </w:pPr>
      <w:r>
        <w:t xml:space="preserve">Colombia</w:t>
      </w:r>
    </w:p>
    <w:p>
      <w:pPr>
        <w:pStyle w:val="FirstParagraph"/>
      </w:pPr>
      <w:r>
        <w:t xml:space="preserve">No se identificó en esta revisión una serie salarial oficial nacional actual que se pueda mapear de forma limpia y directa a este título compuesto. No invente una cifra nacional.</w:t>
      </w:r>
    </w:p>
    <w:p>
      <w:pPr>
        <w:pStyle w:val="BodyText"/>
      </w:pPr>
      <w:r>
        <w:t xml:space="preserve">Utilice vacantes vigentes de la Agencia Pública de Empleo del SENA y otras fuentes verificadas para comparar remuneración, horario, tipo de contrato y requisitos en la ciudad o departamento donde desea trabajar.</w:t>
      </w:r>
    </w:p>
    <w:bookmarkEnd w:id="43"/>
    <w:bookmarkEnd w:id="44"/>
    <w:bookmarkStart w:id="45" w:name="plan-práctico-de-inicio-de-12-semanas"/>
    <w:p>
      <w:pPr>
        <w:pStyle w:val="Heading2"/>
      </w:pPr>
      <w:r>
        <w:t xml:space="preserve">Plan práctico de inicio de 12 semanas</w:t>
      </w:r>
    </w:p>
    <w:p>
      <w:pPr>
        <w:pStyle w:val="FirstParagraph"/>
      </w:pPr>
      <w:r>
        <w:rPr>
          <w:bCs/>
          <w:b/>
        </w:rPr>
        <w:t xml:space="preserve">Semanas 1–2:</w:t>
      </w:r>
      <w:r>
        <w:t xml:space="preserve"> </w:t>
      </w:r>
      <w:r>
        <w:t xml:space="preserve">Revise 15–20 vacantes locales. Registre títulos, educación, licencias de conducción, antecedentes, poblaciones atendidas, sistemas de documentación, horarios y requisitos de idiomas.</w:t>
      </w:r>
    </w:p>
    <w:p>
      <w:pPr>
        <w:pStyle w:val="BodyText"/>
      </w:pPr>
      <w:r>
        <w:rPr>
          <w:bCs/>
          <w:b/>
        </w:rPr>
        <w:t xml:space="preserve">Semanas 3–4:</w:t>
      </w:r>
      <w:r>
        <w:t xml:space="preserve"> </w:t>
      </w:r>
      <w:r>
        <w:t xml:space="preserve">Construya un mapa local de recursos de vivienda, alimentos, empleo, discapacidad, envejecimiento, juventud, familia, salud, transporte, asistencia jurídica y crisis. Verifique qué hace realmente cada organización y cómo funciona la referencia.</w:t>
      </w:r>
    </w:p>
    <w:p>
      <w:pPr>
        <w:pStyle w:val="BodyText"/>
      </w:pPr>
      <w:r>
        <w:rPr>
          <w:bCs/>
          <w:b/>
        </w:rPr>
        <w:t xml:space="preserve">Semanas 5–6:</w:t>
      </w:r>
      <w:r>
        <w:t xml:space="preserve"> </w:t>
      </w:r>
      <w:r>
        <w:t xml:space="preserve">Practique escucha activa, explicación en lenguaje claro, notas objetivas, límites profesionales, privacidad y documentación básica usando escenarios ficticios.</w:t>
      </w:r>
    </w:p>
    <w:p>
      <w:pPr>
        <w:pStyle w:val="BodyText"/>
      </w:pPr>
      <w:r>
        <w:rPr>
          <w:bCs/>
          <w:b/>
        </w:rPr>
        <w:t xml:space="preserve">Semanas 7–8:</w:t>
      </w:r>
      <w:r>
        <w:t xml:space="preserve"> </w:t>
      </w:r>
      <w:r>
        <w:t xml:space="preserve">Complete capacitación pública o reconocida por empleadores en salvaguarda, conciencia de trauma, desescalamiento, inclusión de discapacidad, privacidad digital o navegación comunitaria cuando corresponda.</w:t>
      </w:r>
    </w:p>
    <w:p>
      <w:pPr>
        <w:pStyle w:val="BodyText"/>
      </w:pPr>
      <w:r>
        <w:rPr>
          <w:bCs/>
          <w:b/>
        </w:rPr>
        <w:t xml:space="preserve">Semanas 9–10:</w:t>
      </w:r>
      <w:r>
        <w:t xml:space="preserve"> </w:t>
      </w:r>
      <w:r>
        <w:t xml:space="preserve">Desarrolle experiencia supervisada mediante voluntariado, programas comunitarios, atención al cliente, apoyo administrativo, albergues, discapacidad, juventud, envejecimiento, salud o programas de empleo.</w:t>
      </w:r>
    </w:p>
    <w:p>
      <w:pPr>
        <w:pStyle w:val="BodyText"/>
      </w:pPr>
      <w:r>
        <w:rPr>
          <w:bCs/>
          <w:b/>
        </w:rPr>
        <w:t xml:space="preserve">Semanas 11–12:</w:t>
      </w:r>
      <w:r>
        <w:t xml:space="preserve"> </w:t>
      </w:r>
      <w:r>
        <w:t xml:space="preserve">Postúlese a roles compatibles con su educación y experiencia reales. Prepare ejemplos que demuestren confiabilidad, documentación, empatía, límites, navegación de recursos y escalamiento apropiado.</w:t>
      </w:r>
    </w:p>
    <w:bookmarkEnd w:id="45"/>
    <w:bookmarkStart w:id="46" w:name="crear-experiencia-sin-tener-ya-el-título"/>
    <w:p>
      <w:pPr>
        <w:pStyle w:val="Heading2"/>
      </w:pPr>
      <w:r>
        <w:t xml:space="preserve">Crear experiencia sin tener ya el título</w:t>
      </w:r>
    </w:p>
    <w:p>
      <w:pPr>
        <w:pStyle w:val="FirstParagraph"/>
      </w:pPr>
      <w:r>
        <w:t xml:space="preserve">La experiencia transferible puede provenir de:</w:t>
      </w:r>
    </w:p>
    <w:p>
      <w:pPr>
        <w:numPr>
          <w:ilvl w:val="0"/>
          <w:numId w:val="1013"/>
        </w:numPr>
        <w:pStyle w:val="Compact"/>
      </w:pPr>
      <w:r>
        <w:t xml:space="preserve">voluntariado comunitario;</w:t>
      </w:r>
    </w:p>
    <w:p>
      <w:pPr>
        <w:numPr>
          <w:ilvl w:val="0"/>
          <w:numId w:val="1013"/>
        </w:numPr>
        <w:pStyle w:val="Compact"/>
      </w:pPr>
      <w:r>
        <w:t xml:space="preserve">bancos de alimentos o centros de recursos;</w:t>
      </w:r>
    </w:p>
    <w:p>
      <w:pPr>
        <w:numPr>
          <w:ilvl w:val="0"/>
          <w:numId w:val="1013"/>
        </w:numPr>
        <w:pStyle w:val="Compact"/>
      </w:pPr>
      <w:r>
        <w:t xml:space="preserve">apoyo de vivienda o albergues;</w:t>
      </w:r>
    </w:p>
    <w:p>
      <w:pPr>
        <w:numPr>
          <w:ilvl w:val="0"/>
          <w:numId w:val="1013"/>
        </w:numPr>
        <w:pStyle w:val="Compact"/>
      </w:pPr>
      <w:r>
        <w:t xml:space="preserve">programas de discapacidad;</w:t>
      </w:r>
    </w:p>
    <w:p>
      <w:pPr>
        <w:numPr>
          <w:ilvl w:val="0"/>
          <w:numId w:val="1013"/>
        </w:numPr>
        <w:pStyle w:val="Compact"/>
      </w:pPr>
      <w:r>
        <w:t xml:space="preserve">servicios para personas mayores;</w:t>
      </w:r>
    </w:p>
    <w:p>
      <w:pPr>
        <w:numPr>
          <w:ilvl w:val="0"/>
          <w:numId w:val="1013"/>
        </w:numPr>
        <w:pStyle w:val="Compact"/>
      </w:pPr>
      <w:r>
        <w:t xml:space="preserve">programas juveniles;</w:t>
      </w:r>
    </w:p>
    <w:p>
      <w:pPr>
        <w:numPr>
          <w:ilvl w:val="0"/>
          <w:numId w:val="1013"/>
        </w:numPr>
        <w:pStyle w:val="Compact"/>
      </w:pPr>
      <w:r>
        <w:t xml:space="preserve">atención al cliente;</w:t>
      </w:r>
    </w:p>
    <w:p>
      <w:pPr>
        <w:numPr>
          <w:ilvl w:val="0"/>
          <w:numId w:val="1013"/>
        </w:numPr>
        <w:pStyle w:val="Compact"/>
      </w:pPr>
      <w:r>
        <w:t xml:space="preserve">administración de salud;</w:t>
      </w:r>
    </w:p>
    <w:p>
      <w:pPr>
        <w:numPr>
          <w:ilvl w:val="0"/>
          <w:numId w:val="1013"/>
        </w:numPr>
        <w:pStyle w:val="Compact"/>
      </w:pPr>
      <w:r>
        <w:t xml:space="preserve">recepción y programación;</w:t>
      </w:r>
    </w:p>
    <w:p>
      <w:pPr>
        <w:numPr>
          <w:ilvl w:val="0"/>
          <w:numId w:val="1013"/>
        </w:numPr>
        <w:pStyle w:val="Compact"/>
      </w:pPr>
      <w:r>
        <w:t xml:space="preserve">cuidado;</w:t>
      </w:r>
    </w:p>
    <w:p>
      <w:pPr>
        <w:numPr>
          <w:ilvl w:val="0"/>
          <w:numId w:val="1013"/>
        </w:numPr>
        <w:pStyle w:val="Compact"/>
      </w:pPr>
      <w:r>
        <w:t xml:space="preserve">organizaciones comunitarias o de fe;</w:t>
      </w:r>
    </w:p>
    <w:p>
      <w:pPr>
        <w:numPr>
          <w:ilvl w:val="0"/>
          <w:numId w:val="1013"/>
        </w:numPr>
        <w:pStyle w:val="Compact"/>
      </w:pPr>
      <w:r>
        <w:t xml:space="preserve">apoyo escolar; o</w:t>
      </w:r>
    </w:p>
    <w:p>
      <w:pPr>
        <w:numPr>
          <w:ilvl w:val="0"/>
          <w:numId w:val="1013"/>
        </w:numPr>
        <w:pStyle w:val="Compact"/>
      </w:pPr>
      <w:r>
        <w:t xml:space="preserve">programas de empleo y fuerza laboral.</w:t>
      </w:r>
    </w:p>
    <w:p>
      <w:pPr>
        <w:pStyle w:val="FirstParagraph"/>
      </w:pPr>
      <w:r>
        <w:t xml:space="preserve">Describa su experiencia con precisión. Evidencia útil puede incluir registros exactos, referencias exitosas, volumen de atención, asistencia confiable, apoyo lingüístico, logística de talleres, desescalamiento bajo supervisión o ayuda con procesos rutinarios.</w:t>
      </w:r>
    </w:p>
    <w:p>
      <w:pPr>
        <w:pStyle w:val="BodyText"/>
      </w:pPr>
      <w:r>
        <w:t xml:space="preserve">No afirme consejería clínica, licencia de trabajo social, autoridad independiente de gestión de casos, adjudicación de beneficios, mando de crisis o experiencia legal que no posee.</w:t>
      </w:r>
    </w:p>
    <w:bookmarkEnd w:id="46"/>
    <w:bookmarkStart w:id="47" w:name="progresión-profesional"/>
    <w:p>
      <w:pPr>
        <w:pStyle w:val="Heading2"/>
      </w:pPr>
      <w:r>
        <w:t xml:space="preserve">Progresión profesional</w:t>
      </w:r>
    </w:p>
    <w:p>
      <w:pPr>
        <w:pStyle w:val="FirstParagraph"/>
      </w:pPr>
      <w:r>
        <w:t xml:space="preserve">Posibles pasos siguientes incluyen asistente senior de servicios humanos, auxiliar de casos, trabajador de apoyo comunitario, trabajador de alcance, navegador de vivienda, navegador de beneficios, especialista de admisión, coordinador de programas, apoyo familiar, servicios de discapacidad, empleo o recursos comunitarios.</w:t>
      </w:r>
    </w:p>
    <w:p>
      <w:pPr>
        <w:pStyle w:val="BodyText"/>
      </w:pPr>
      <w:r>
        <w:t xml:space="preserve">Con educación adicional y credenciales específicas de la jurisdicción, algunas personas pueden avanzar hacia trabajo social, consejería, rehabilitación, salud conductual, enfermería, administración pública, desarrollo comunitario o gestión profesional de casos.</w:t>
      </w:r>
    </w:p>
    <w:p>
      <w:pPr>
        <w:pStyle w:val="BodyText"/>
      </w:pPr>
      <w:r>
        <w:t xml:space="preserve">No suponga que la experiencia por sí sola otorga un título profesional protegido. Verifique requisitos legales y educativos del siguiente puesto antes de matricularse o presentarse con ese título.</w:t>
      </w:r>
    </w:p>
    <w:bookmarkEnd w:id="47"/>
    <w:bookmarkStart w:id="48" w:name="uso-responsable-de-ia-en-este-trabajo"/>
    <w:p>
      <w:pPr>
        <w:pStyle w:val="Heading2"/>
      </w:pPr>
      <w:r>
        <w:t xml:space="preserve">Uso responsable de IA en este trabajo</w:t>
      </w:r>
    </w:p>
    <w:p>
      <w:pPr>
        <w:pStyle w:val="FirstParagraph"/>
      </w:pPr>
      <w:r>
        <w:t xml:space="preserve">La IA puede ser útil para:</w:t>
      </w:r>
    </w:p>
    <w:p>
      <w:pPr>
        <w:numPr>
          <w:ilvl w:val="0"/>
          <w:numId w:val="1014"/>
        </w:numPr>
        <w:pStyle w:val="Compact"/>
      </w:pPr>
      <w:r>
        <w:t xml:space="preserve">practicar preguntas de entrevista;</w:t>
      </w:r>
    </w:p>
    <w:p>
      <w:pPr>
        <w:numPr>
          <w:ilvl w:val="0"/>
          <w:numId w:val="1014"/>
        </w:numPr>
        <w:pStyle w:val="Compact"/>
      </w:pPr>
      <w:r>
        <w:t xml:space="preserve">explicar terminología general no sensible;</w:t>
      </w:r>
    </w:p>
    <w:p>
      <w:pPr>
        <w:numPr>
          <w:ilvl w:val="0"/>
          <w:numId w:val="1014"/>
        </w:numPr>
        <w:pStyle w:val="Compact"/>
      </w:pPr>
      <w:r>
        <w:t xml:space="preserve">redactar notas genéricas de estudio;</w:t>
      </w:r>
    </w:p>
    <w:p>
      <w:pPr>
        <w:numPr>
          <w:ilvl w:val="0"/>
          <w:numId w:val="1014"/>
        </w:numPr>
        <w:pStyle w:val="Compact"/>
      </w:pPr>
      <w:r>
        <w:t xml:space="preserve">crear escenarios ficticios de práctica; o</w:t>
      </w:r>
    </w:p>
    <w:p>
      <w:pPr>
        <w:numPr>
          <w:ilvl w:val="0"/>
          <w:numId w:val="1014"/>
        </w:numPr>
        <w:pStyle w:val="Compact"/>
      </w:pPr>
      <w:r>
        <w:t xml:space="preserve">organizar una lista genérica de recursos.</w:t>
      </w:r>
    </w:p>
    <w:p>
      <w:pPr>
        <w:pStyle w:val="FirstParagraph"/>
      </w:pPr>
      <w:r>
        <w:t xml:space="preserve">La IA</w:t>
      </w:r>
      <w:r>
        <w:t xml:space="preserve"> </w:t>
      </w:r>
      <w:r>
        <w:rPr>
          <w:bCs/>
          <w:b/>
        </w:rPr>
        <w:t xml:space="preserve">no debe</w:t>
      </w:r>
      <w:r>
        <w:t xml:space="preserve"> </w:t>
      </w:r>
      <w:r>
        <w:t xml:space="preserve">sustituir el criterio profesional, la valoración de crisis, decisiones de elegibilidad de beneficios, asesoría legal, diagnóstico clínico, decisiones de salvaguarda, decisiones de reporte obligatorio ni procedimientos aprobados de gestión de casos.</w:t>
      </w:r>
    </w:p>
    <w:p>
      <w:pPr>
        <w:pStyle w:val="BodyText"/>
      </w:pPr>
      <w:r>
        <w:t xml:space="preserve">No introduzca en herramientas públicas de IA registros identificables de clientes, nombres, direcciones, fechas de nacimiento, información médica o de salud mental, detalles migratorios, beneficios, información familiar, credenciales, notas de caso u otros datos protegidos salvo que la organización haya aprobado expresamente ese uso y existan los controles de privacidad y seguridad requeridos.</w:t>
      </w:r>
    </w:p>
    <w:p>
      <w:pPr>
        <w:pStyle w:val="BodyText"/>
      </w:pPr>
      <w:r>
        <w:t xml:space="preserve">Verifique cualquier recurso, resumen de política, contacto o afirmación legal generado por IA antes de confiar en él. Los recursos comunitarios, reglas de programas, teléfonos, criterios de elegibilidad y leyes pueden cambiar.</w:t>
      </w:r>
    </w:p>
    <w:bookmarkEnd w:id="48"/>
    <w:bookmarkStart w:id="49" w:name="X838856dc10feccea0c4ce703e3cb5417e51c5f2"/>
    <w:p>
      <w:pPr>
        <w:pStyle w:val="Heading2"/>
      </w:pPr>
      <w:r>
        <w:t xml:space="preserve">Fundamentos de ciberseguridad y privacidad</w:t>
      </w:r>
    </w:p>
    <w:p>
      <w:pPr>
        <w:pStyle w:val="FirstParagraph"/>
      </w:pPr>
      <w:r>
        <w:t xml:space="preserve">Las organizaciones pueden utilizar sistemas de gestión de casos, historias clínicas, unidades compartidas, correo electrónico, mensajería, portales de beneficios, sistemas de salud, portales gubernamentales y dispositivos móviles.</w:t>
      </w:r>
    </w:p>
    <w:p>
      <w:pPr>
        <w:pStyle w:val="BodyText"/>
      </w:pPr>
      <w:r>
        <w:t xml:space="preserve">Siga las reglas del empleador para:</w:t>
      </w:r>
    </w:p>
    <w:p>
      <w:pPr>
        <w:numPr>
          <w:ilvl w:val="0"/>
          <w:numId w:val="1015"/>
        </w:numPr>
        <w:pStyle w:val="Compact"/>
      </w:pPr>
      <w:r>
        <w:t xml:space="preserve">autenticación multifactor;</w:t>
      </w:r>
    </w:p>
    <w:p>
      <w:pPr>
        <w:numPr>
          <w:ilvl w:val="0"/>
          <w:numId w:val="1015"/>
        </w:numPr>
        <w:pStyle w:val="Compact"/>
      </w:pPr>
      <w:r>
        <w:t xml:space="preserve">contraseñas y no compartir credenciales;</w:t>
      </w:r>
    </w:p>
    <w:p>
      <w:pPr>
        <w:numPr>
          <w:ilvl w:val="0"/>
          <w:numId w:val="1015"/>
        </w:numPr>
        <w:pStyle w:val="Compact"/>
      </w:pPr>
      <w:r>
        <w:t xml:space="preserve">dispositivos y aplicaciones aprobados;</w:t>
      </w:r>
    </w:p>
    <w:p>
      <w:pPr>
        <w:numPr>
          <w:ilvl w:val="0"/>
          <w:numId w:val="1015"/>
        </w:numPr>
        <w:pStyle w:val="Compact"/>
      </w:pPr>
      <w:r>
        <w:t xml:space="preserve">phishing y enlaces sospechosos;</w:t>
      </w:r>
    </w:p>
    <w:p>
      <w:pPr>
        <w:numPr>
          <w:ilvl w:val="0"/>
          <w:numId w:val="1015"/>
        </w:numPr>
        <w:pStyle w:val="Compact"/>
      </w:pPr>
      <w:r>
        <w:t xml:space="preserve">intercambio cifrado o aprobado de archivos;</w:t>
      </w:r>
    </w:p>
    <w:p>
      <w:pPr>
        <w:numPr>
          <w:ilvl w:val="0"/>
          <w:numId w:val="1015"/>
        </w:numPr>
        <w:pStyle w:val="Compact"/>
      </w:pPr>
      <w:r>
        <w:t xml:space="preserve">verificación de identidad del cliente;</w:t>
      </w:r>
    </w:p>
    <w:p>
      <w:pPr>
        <w:numPr>
          <w:ilvl w:val="0"/>
          <w:numId w:val="1015"/>
        </w:numPr>
        <w:pStyle w:val="Compact"/>
      </w:pPr>
      <w:r>
        <w:t xml:space="preserve">acceso basado en roles;</w:t>
      </w:r>
    </w:p>
    <w:p>
      <w:pPr>
        <w:numPr>
          <w:ilvl w:val="0"/>
          <w:numId w:val="1015"/>
        </w:numPr>
        <w:pStyle w:val="Compact"/>
      </w:pPr>
      <w:r>
        <w:t xml:space="preserve">impresión y registros físicos;</w:t>
      </w:r>
    </w:p>
    <w:p>
      <w:pPr>
        <w:numPr>
          <w:ilvl w:val="0"/>
          <w:numId w:val="1015"/>
        </w:numPr>
        <w:pStyle w:val="Compact"/>
      </w:pPr>
      <w:r>
        <w:t xml:space="preserve">trabajo remoto;</w:t>
      </w:r>
    </w:p>
    <w:p>
      <w:pPr>
        <w:numPr>
          <w:ilvl w:val="0"/>
          <w:numId w:val="1015"/>
        </w:numPr>
        <w:pStyle w:val="Compact"/>
      </w:pPr>
      <w:r>
        <w:t xml:space="preserve">reporte de incidentes; y</w:t>
      </w:r>
    </w:p>
    <w:p>
      <w:pPr>
        <w:numPr>
          <w:ilvl w:val="0"/>
          <w:numId w:val="1015"/>
        </w:numPr>
        <w:pStyle w:val="Compact"/>
      </w:pPr>
      <w:r>
        <w:t xml:space="preserve">eliminación de información sensible.</w:t>
      </w:r>
    </w:p>
    <w:p>
      <w:pPr>
        <w:pStyle w:val="FirstParagraph"/>
      </w:pPr>
      <w:r>
        <w:t xml:space="preserve">Tenga especial cuidado con solicitudes urgentes para cambiar datos bancarios de un cliente, redirigir beneficios, restablecer credenciales, compartir expedientes o enviar documentos sensibles por un canal inesperado. Verifique mediante el proceso aprobado antes de actuar.</w:t>
      </w:r>
    </w:p>
    <w:bookmarkEnd w:id="49"/>
    <w:bookmarkStart w:id="50" w:name="X5e03845c1ffc006bbfd82f063902242fa3c3eff"/>
    <w:p>
      <w:pPr>
        <w:pStyle w:val="Heading2"/>
      </w:pPr>
      <w:r>
        <w:t xml:space="preserve">Evitar estafas y ofertas débiles de capacitación</w:t>
      </w:r>
    </w:p>
    <w:p>
      <w:pPr>
        <w:pStyle w:val="FirstParagraph"/>
      </w:pPr>
      <w:r>
        <w:t xml:space="preserve">Tenga precaución cuando una escuela, reclutador o vendedor de formación:</w:t>
      </w:r>
    </w:p>
    <w:p>
      <w:pPr>
        <w:numPr>
          <w:ilvl w:val="0"/>
          <w:numId w:val="1016"/>
        </w:numPr>
        <w:pStyle w:val="Compact"/>
      </w:pPr>
      <w:r>
        <w:t xml:space="preserve">garantice empleo o un salario específico;</w:t>
      </w:r>
    </w:p>
    <w:p>
      <w:pPr>
        <w:numPr>
          <w:ilvl w:val="0"/>
          <w:numId w:val="1016"/>
        </w:numPr>
        <w:pStyle w:val="Compact"/>
      </w:pPr>
      <w:r>
        <w:t xml:space="preserve">afirme que un certificado privado es legalmente obligatorio sin evidencia oficial;</w:t>
      </w:r>
    </w:p>
    <w:p>
      <w:pPr>
        <w:numPr>
          <w:ilvl w:val="0"/>
          <w:numId w:val="1016"/>
        </w:numPr>
        <w:pStyle w:val="Compact"/>
      </w:pPr>
      <w:r>
        <w:t xml:space="preserve">presione para pagar de inmediato;</w:t>
      </w:r>
    </w:p>
    <w:p>
      <w:pPr>
        <w:numPr>
          <w:ilvl w:val="0"/>
          <w:numId w:val="1016"/>
        </w:numPr>
        <w:pStyle w:val="Compact"/>
      </w:pPr>
      <w:r>
        <w:t xml:space="preserve">oculte costo total, financiación, prácticas o reglas de reembolso;</w:t>
      </w:r>
    </w:p>
    <w:p>
      <w:pPr>
        <w:numPr>
          <w:ilvl w:val="0"/>
          <w:numId w:val="1016"/>
        </w:numPr>
        <w:pStyle w:val="Compact"/>
      </w:pPr>
      <w:r>
        <w:t xml:space="preserve">no pueda explicar qué empleadores reconocen el programa;</w:t>
      </w:r>
    </w:p>
    <w:p>
      <w:pPr>
        <w:numPr>
          <w:ilvl w:val="0"/>
          <w:numId w:val="1016"/>
        </w:numPr>
        <w:pStyle w:val="Compact"/>
      </w:pPr>
      <w:r>
        <w:t xml:space="preserve">pida pagar por una oferta de trabajo o equipo con tarjetas de regalo o criptomonedas;</w:t>
      </w:r>
    </w:p>
    <w:p>
      <w:pPr>
        <w:numPr>
          <w:ilvl w:val="0"/>
          <w:numId w:val="1016"/>
        </w:numPr>
        <w:pStyle w:val="Compact"/>
      </w:pPr>
      <w:r>
        <w:t xml:space="preserve">prometa beneficios gubernamentales, licencias profesionales o resultados que no controla; o</w:t>
      </w:r>
    </w:p>
    <w:p>
      <w:pPr>
        <w:numPr>
          <w:ilvl w:val="0"/>
          <w:numId w:val="1016"/>
        </w:numPr>
        <w:pStyle w:val="Compact"/>
      </w:pPr>
      <w:r>
        <w:t xml:space="preserve">solicite datos sensibles de identidad o banca antes de verificar la organización.</w:t>
      </w:r>
    </w:p>
    <w:p>
      <w:pPr>
        <w:pStyle w:val="FirstParagraph"/>
      </w:pPr>
      <w:r>
        <w:t xml:space="preserve">Use fuentes oficiales del gobierno, empleadores, reguladores, instituciones públicas de educación o formación profesional para verificar afirmaciones.</w:t>
      </w:r>
    </w:p>
    <w:bookmarkEnd w:id="50"/>
    <w:bookmarkStart w:id="51" w:name="cuándo-pausar-antes-de-gastar-dinero"/>
    <w:p>
      <w:pPr>
        <w:pStyle w:val="Heading2"/>
      </w:pPr>
      <w:r>
        <w:t xml:space="preserve">Cuándo pausar antes de gastar dinero</w:t>
      </w:r>
    </w:p>
    <w:p>
      <w:pPr>
        <w:pStyle w:val="FirstParagraph"/>
      </w:pPr>
      <w:r>
        <w:t xml:space="preserve">Pause o retrase la matrícula cuando:</w:t>
      </w:r>
    </w:p>
    <w:p>
      <w:pPr>
        <w:numPr>
          <w:ilvl w:val="0"/>
          <w:numId w:val="1017"/>
        </w:numPr>
        <w:pStyle w:val="Compact"/>
      </w:pPr>
      <w:r>
        <w:t xml:space="preserve">los empleadores locales no solicitan la credencial;</w:t>
      </w:r>
    </w:p>
    <w:p>
      <w:pPr>
        <w:numPr>
          <w:ilvl w:val="0"/>
          <w:numId w:val="1017"/>
        </w:numPr>
        <w:pStyle w:val="Compact"/>
      </w:pPr>
      <w:r>
        <w:t xml:space="preserve">el proveedor no revela por escrito el costo total y las reglas de reembolso;</w:t>
      </w:r>
    </w:p>
    <w:p>
      <w:pPr>
        <w:numPr>
          <w:ilvl w:val="0"/>
          <w:numId w:val="1017"/>
        </w:numPr>
        <w:pStyle w:val="Compact"/>
      </w:pPr>
      <w:r>
        <w:t xml:space="preserve">una opción pública, pagada por el empleador, financiada por fuerza laboral o de menor costo puede cubrir la misma habilidad;</w:t>
      </w:r>
    </w:p>
    <w:p>
      <w:pPr>
        <w:numPr>
          <w:ilvl w:val="0"/>
          <w:numId w:val="1017"/>
        </w:numPr>
        <w:pStyle w:val="Compact"/>
      </w:pPr>
      <w:r>
        <w:t xml:space="preserve">no ha confirmado si el título está regulado donde desea trabajar;</w:t>
      </w:r>
    </w:p>
    <w:p>
      <w:pPr>
        <w:numPr>
          <w:ilvl w:val="0"/>
          <w:numId w:val="1017"/>
        </w:numPr>
        <w:pStyle w:val="Compact"/>
      </w:pPr>
      <w:r>
        <w:t xml:space="preserve">no ha confirmado si el programa cumple requisitos de la financiación que espera usar;</w:t>
      </w:r>
    </w:p>
    <w:p>
      <w:pPr>
        <w:numPr>
          <w:ilvl w:val="0"/>
          <w:numId w:val="1017"/>
        </w:numPr>
        <w:pStyle w:val="Compact"/>
      </w:pPr>
      <w:r>
        <w:t xml:space="preserve">una práctica no pagada o el horario no es realista; o</w:t>
      </w:r>
    </w:p>
    <w:p>
      <w:pPr>
        <w:numPr>
          <w:ilvl w:val="0"/>
          <w:numId w:val="1017"/>
        </w:numPr>
        <w:pStyle w:val="Compact"/>
      </w:pPr>
      <w:r>
        <w:t xml:space="preserve">la financiación generaría deuda que no puede pagar cómodamente.</w:t>
      </w:r>
    </w:p>
    <w:bookmarkEnd w:id="51"/>
    <w:bookmarkStart w:id="66" w:name="fuentes-actuales"/>
    <w:p>
      <w:pPr>
        <w:pStyle w:val="Heading2"/>
      </w:pPr>
      <w:r>
        <w:t xml:space="preserve">Fuentes actuales</w:t>
      </w:r>
    </w:p>
    <w:p>
      <w:pPr>
        <w:pStyle w:val="FirstParagraph"/>
      </w:pPr>
      <w:r>
        <w:t xml:space="preserve">Fuentes oficiales/públicas:</w:t>
      </w:r>
    </w:p>
    <w:p>
      <w:pPr>
        <w:numPr>
          <w:ilvl w:val="0"/>
          <w:numId w:val="1018"/>
        </w:numPr>
        <w:pStyle w:val="Compact"/>
      </w:pPr>
      <w:r>
        <w:t xml:space="preserve">O*NET OnLine — Social and Human Service Assistants, 21-1093.00:</w:t>
      </w:r>
      <w:r>
        <w:t xml:space="preserve"> </w:t>
      </w:r>
      <w:hyperlink r:id="rId52">
        <w:hyperlink r:id="rId52">
          <w:r>
            <w:rPr>
              <w:rStyle w:val="Hyperlink"/>
            </w:rPr>
            <w:t xml:space="preserve">Source link</w:t>
          </w:r>
        </w:hyperlink>
      </w:hyperlink>
    </w:p>
    <w:p>
      <w:pPr>
        <w:numPr>
          <w:ilvl w:val="0"/>
          <w:numId w:val="1018"/>
        </w:numPr>
        <w:pStyle w:val="Compact"/>
      </w:pPr>
      <w:r>
        <w:t xml:space="preserve">O*NET OnLine — National wages, 21-1093.00:</w:t>
      </w:r>
      <w:r>
        <w:t xml:space="preserve"> </w:t>
      </w:r>
      <w:hyperlink r:id="rId53">
        <w:hyperlink r:id="rId53">
          <w:r>
            <w:rPr>
              <w:rStyle w:val="Hyperlink"/>
            </w:rPr>
            <w:t xml:space="preserve">Source link</w:t>
          </w:r>
        </w:hyperlink>
      </w:hyperlink>
    </w:p>
    <w:p>
      <w:pPr>
        <w:numPr>
          <w:ilvl w:val="0"/>
          <w:numId w:val="1018"/>
        </w:numPr>
        <w:pStyle w:val="Compact"/>
      </w:pPr>
      <w:r>
        <w:t xml:space="preserve">U.S. Bureau of Labor Statistics — Social and Human Service Assistants:</w:t>
      </w:r>
      <w:r>
        <w:t xml:space="preserve"> </w:t>
      </w:r>
      <w:hyperlink r:id="rId54">
        <w:hyperlink r:id="rId54">
          <w:r>
            <w:rPr>
              <w:rStyle w:val="Hyperlink"/>
            </w:rPr>
            <w:t xml:space="preserve">Source link</w:t>
          </w:r>
        </w:hyperlink>
      </w:hyperlink>
    </w:p>
    <w:p>
      <w:pPr>
        <w:numPr>
          <w:ilvl w:val="0"/>
          <w:numId w:val="1018"/>
        </w:numPr>
        <w:pStyle w:val="Compact"/>
      </w:pPr>
      <w:r>
        <w:t xml:space="preserve">CareerOneStop — WIOA-Eligible Training Program Finder:</w:t>
      </w:r>
      <w:r>
        <w:t xml:space="preserve"> </w:t>
      </w:r>
      <w:hyperlink r:id="rId55">
        <w:hyperlink r:id="rId55">
          <w:r>
            <w:rPr>
              <w:rStyle w:val="Hyperlink"/>
            </w:rPr>
            <w:t xml:space="preserve">Source link</w:t>
          </w:r>
        </w:hyperlink>
      </w:hyperlink>
    </w:p>
    <w:p>
      <w:pPr>
        <w:numPr>
          <w:ilvl w:val="0"/>
          <w:numId w:val="1018"/>
        </w:numPr>
        <w:pStyle w:val="Compact"/>
      </w:pPr>
      <w:r>
        <w:t xml:space="preserve">CareerOneStop — Find Training:</w:t>
      </w:r>
      <w:r>
        <w:t xml:space="preserve"> </w:t>
      </w:r>
      <w:hyperlink r:id="rId56">
        <w:hyperlink r:id="rId56">
          <w:r>
            <w:rPr>
              <w:rStyle w:val="Hyperlink"/>
            </w:rPr>
            <w:t xml:space="preserve">Source link</w:t>
          </w:r>
        </w:hyperlink>
      </w:hyperlink>
    </w:p>
    <w:p>
      <w:pPr>
        <w:numPr>
          <w:ilvl w:val="0"/>
          <w:numId w:val="1018"/>
        </w:numPr>
        <w:pStyle w:val="Compact"/>
      </w:pPr>
      <w:r>
        <w:t xml:space="preserve">Apprenticeship.gov:</w:t>
      </w:r>
      <w:r>
        <w:t xml:space="preserve"> </w:t>
      </w:r>
      <w:hyperlink r:id="rId57">
        <w:r>
          <w:rPr>
            <w:rStyle w:val="Hyperlink"/>
          </w:rPr>
          <w:t xml:space="preserve">https://www.apprenticeship.gov/</w:t>
        </w:r>
      </w:hyperlink>
    </w:p>
    <w:p>
      <w:pPr>
        <w:numPr>
          <w:ilvl w:val="0"/>
          <w:numId w:val="1018"/>
        </w:numPr>
        <w:pStyle w:val="Compact"/>
      </w:pPr>
      <w:r>
        <w:t xml:space="preserve">Government of Canada Job Bank — NOC 42201 national summary:</w:t>
      </w:r>
      <w:r>
        <w:t xml:space="preserve"> </w:t>
      </w:r>
      <w:hyperlink r:id="rId58">
        <w:hyperlink r:id="rId58">
          <w:r>
            <w:rPr>
              <w:rStyle w:val="Hyperlink"/>
            </w:rPr>
            <w:t xml:space="preserve">Source link</w:t>
          </w:r>
        </w:hyperlink>
      </w:hyperlink>
    </w:p>
    <w:p>
      <w:pPr>
        <w:numPr>
          <w:ilvl w:val="0"/>
          <w:numId w:val="1018"/>
        </w:numPr>
        <w:pStyle w:val="Compact"/>
      </w:pPr>
      <w:r>
        <w:t xml:space="preserve">Government of Canada Job Bank — NOC 42201 requirements:</w:t>
      </w:r>
      <w:r>
        <w:t xml:space="preserve"> </w:t>
      </w:r>
      <w:hyperlink r:id="rId59">
        <w:hyperlink r:id="rId59">
          <w:r>
            <w:rPr>
              <w:rStyle w:val="Hyperlink"/>
            </w:rPr>
            <w:t xml:space="preserve">Source link</w:t>
          </w:r>
        </w:hyperlink>
      </w:hyperlink>
    </w:p>
    <w:p>
      <w:pPr>
        <w:numPr>
          <w:ilvl w:val="0"/>
          <w:numId w:val="1018"/>
        </w:numPr>
        <w:pStyle w:val="Compact"/>
      </w:pPr>
      <w:r>
        <w:t xml:space="preserve">Government of Canada Job Bank — NOC 42201 wages:</w:t>
      </w:r>
      <w:r>
        <w:t xml:space="preserve"> </w:t>
      </w:r>
      <w:hyperlink r:id="rId60">
        <w:hyperlink r:id="rId60">
          <w:r>
            <w:rPr>
              <w:rStyle w:val="Hyperlink"/>
            </w:rPr>
            <w:t xml:space="preserve">Source link</w:t>
          </w:r>
        </w:hyperlink>
      </w:hyperlink>
    </w:p>
    <w:p>
      <w:pPr>
        <w:numPr>
          <w:ilvl w:val="0"/>
          <w:numId w:val="1018"/>
        </w:numPr>
        <w:pStyle w:val="Compact"/>
      </w:pPr>
      <w:r>
        <w:t xml:space="preserve">SENA Observatorio — CNO 4211 Asistentes en servicios social y comunitario:</w:t>
      </w:r>
      <w:r>
        <w:t xml:space="preserve"> </w:t>
      </w:r>
      <w:hyperlink r:id="rId61">
        <w:hyperlink r:id="rId61">
          <w:r>
            <w:rPr>
              <w:rStyle w:val="Hyperlink"/>
            </w:rPr>
            <w:t xml:space="preserve">Source link</w:t>
          </w:r>
        </w:hyperlink>
      </w:hyperlink>
    </w:p>
    <w:p>
      <w:pPr>
        <w:numPr>
          <w:ilvl w:val="0"/>
          <w:numId w:val="1018"/>
        </w:numPr>
        <w:pStyle w:val="Compact"/>
      </w:pPr>
      <w:r>
        <w:t xml:space="preserve">SENA APE — Gestor comunitario:</w:t>
      </w:r>
      <w:r>
        <w:t xml:space="preserve"> </w:t>
      </w:r>
      <w:hyperlink r:id="rId62">
        <w:hyperlink r:id="rId62">
          <w:r>
            <w:rPr>
              <w:rStyle w:val="Hyperlink"/>
            </w:rPr>
            <w:t xml:space="preserve">Source link</w:t>
          </w:r>
        </w:hyperlink>
      </w:hyperlink>
    </w:p>
    <w:p>
      <w:pPr>
        <w:numPr>
          <w:ilvl w:val="0"/>
          <w:numId w:val="1018"/>
        </w:numPr>
        <w:pStyle w:val="Compact"/>
      </w:pPr>
      <w:r>
        <w:t xml:space="preserve">SENA Betowa — Desarrollo de habilidades para el bienestar familiar y comunitario:</w:t>
      </w:r>
      <w:r>
        <w:t xml:space="preserve"> </w:t>
      </w:r>
      <w:hyperlink r:id="rId63">
        <w:hyperlink r:id="rId63">
          <w:r>
            <w:rPr>
              <w:rStyle w:val="Hyperlink"/>
            </w:rPr>
            <w:t xml:space="preserve">Source link</w:t>
          </w:r>
        </w:hyperlink>
      </w:hyperlink>
    </w:p>
    <w:p>
      <w:pPr>
        <w:numPr>
          <w:ilvl w:val="0"/>
          <w:numId w:val="1018"/>
        </w:numPr>
        <w:pStyle w:val="Compact"/>
      </w:pPr>
      <w:r>
        <w:t xml:space="preserve">OIT/Cinterfor:</w:t>
      </w:r>
      <w:r>
        <w:t xml:space="preserve"> </w:t>
      </w:r>
      <w:hyperlink r:id="rId64">
        <w:r>
          <w:rPr>
            <w:rStyle w:val="Hyperlink"/>
          </w:rPr>
          <w:t xml:space="preserve">https://www.oitcinterfor.org/</w:t>
        </w:r>
      </w:hyperlink>
    </w:p>
    <w:p>
      <w:pPr>
        <w:pStyle w:val="FirstParagraph"/>
      </w:pPr>
      <w:r>
        <w:t xml:space="preserve">Fuente suplementaria no gubernamental de compensación:</w:t>
      </w:r>
    </w:p>
    <w:p>
      <w:pPr>
        <w:numPr>
          <w:ilvl w:val="0"/>
          <w:numId w:val="1019"/>
        </w:numPr>
        <w:pStyle w:val="Compact"/>
      </w:pPr>
      <w:r>
        <w:t xml:space="preserve">Indeed — Navigator salary in the United States:</w:t>
      </w:r>
      <w:r>
        <w:t xml:space="preserve"> </w:t>
      </w:r>
      <w:hyperlink r:id="rId65">
        <w:hyperlink r:id="rId65">
          <w:r>
            <w:rPr>
              <w:rStyle w:val="Hyperlink"/>
            </w:rPr>
            <w:t xml:space="preserve">Source link</w:t>
          </w:r>
        </w:hyperlink>
      </w:hyperlink>
    </w:p>
    <w:bookmarkEnd w:id="66"/>
    <w:bookmarkStart w:id="67" w:name="nota-de-fuentes-y-revisión"/>
    <w:p>
      <w:pPr>
        <w:pStyle w:val="Heading2"/>
      </w:pPr>
      <w:r>
        <w:t xml:space="preserve">Nota de fuentes y revisión</w:t>
      </w:r>
    </w:p>
    <w:p>
      <w:pPr>
        <w:pStyle w:val="FirstParagraph"/>
      </w:pPr>
      <w:r>
        <w:t xml:space="preserve">Esta guía utiliza investigación de fuentes actuales registrada el 20 de agosto de 2026. Salarios, programas públicos, disponibilidad de capacitación, reglas de elegibilidad, requisitos de registro, datos de proveedores y expectativas locales pueden cambiar. Verifique nuevamente fuentes oficiales y vacantes actuales antes de actuar.</w:t>
      </w:r>
    </w:p>
    <w:p>
      <w:pPr>
        <w:pStyle w:val="BodyText"/>
      </w:pPr>
      <w:r>
        <w:t xml:space="preserve">Esta revisión controlada fue producida con asistencia de IA y revisión auditable de fuentes.</w:t>
      </w:r>
      <w:r>
        <w:t xml:space="preserve"> </w:t>
      </w:r>
      <w:r>
        <w:rPr>
          <w:bCs/>
          <w:b/>
        </w:rPr>
        <w:t xml:space="preserve">No</w:t>
      </w:r>
      <w:r>
        <w:t xml:space="preserve"> </w:t>
      </w:r>
      <w:r>
        <w:t xml:space="preserve">afirma certificación humana independiente, acreditación profesional, traducción certificada, revisión legal, revisión clínica, asesoría financiera ni resultados laborales garantizados.</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ape.sena.edu.co/spe-web/spe/demanda/solicitud-sintesis/4111884" TargetMode="External" /><Relationship Type="http://schemas.openxmlformats.org/officeDocument/2006/relationships/hyperlink" Id="rId63" Target="https://betowa.sena.edu.co/oferta/desarrollo-de-habilidades-para-el-bienestar-familiar-y-comunitario?location=57011001&amp;modality=V&amp;offertype=open&amp;programId=144936" TargetMode="External" /><Relationship Type="http://schemas.openxmlformats.org/officeDocument/2006/relationships/hyperlink" Id="rId61" Target="https://observatorio.sena.edu.co/Comportamiento/CnoDetalleFunciones?tags=4211" TargetMode="External" /><Relationship Type="http://schemas.openxmlformats.org/officeDocument/2006/relationships/hyperlink" Id="rId57" Target="https://www.apprenticeship.gov/" TargetMode="External" /><Relationship Type="http://schemas.openxmlformats.org/officeDocument/2006/relationships/hyperlink" Id="rId54" Target="https://www.bls.gov/ooh/community-and-social-service/social-and-human-service-assistants.htm" TargetMode="External" /><Relationship Type="http://schemas.openxmlformats.org/officeDocument/2006/relationships/hyperlink" Id="rId56" Target="https://www.careeronestop.org/FindTraining/find-training.aspx" TargetMode="External" /><Relationship Type="http://schemas.openxmlformats.org/officeDocument/2006/relationships/hyperlink" Id="rId55" Target="https://www.careeronestop.org/LocalHelp/EmploymentAndTraining/find-WIOA-training-programs.aspx" TargetMode="External" /><Relationship Type="http://schemas.openxmlformats.org/officeDocument/2006/relationships/hyperlink" Id="rId65" Target="https://www.indeed.com/career/navigator/salaries" TargetMode="External" /><Relationship Type="http://schemas.openxmlformats.org/officeDocument/2006/relationships/hyperlink" Id="rId59" Target="https://www.jobbank.gc.ca/marketreport/requirements/5112/ca" TargetMode="External" /><Relationship Type="http://schemas.openxmlformats.org/officeDocument/2006/relationships/hyperlink" Id="rId58" Target="https://www.jobbank.gc.ca/marketreport/summary-occupation/5112/ca" TargetMode="External" /><Relationship Type="http://schemas.openxmlformats.org/officeDocument/2006/relationships/hyperlink" Id="rId60" Target="https://www.jobbank.gc.ca/wagereport/occupation/5121" TargetMode="External" /><Relationship Type="http://schemas.openxmlformats.org/officeDocument/2006/relationships/hyperlink" Id="rId64" Target="https://www.oitcinterfor.org/" TargetMode="External" /><Relationship Type="http://schemas.openxmlformats.org/officeDocument/2006/relationships/hyperlink" Id="rId53" Target="https://www.onetonline.org/link/localwages/21-1093.00" TargetMode="External" /><Relationship Type="http://schemas.openxmlformats.org/officeDocument/2006/relationships/hyperlink" Id="rId52" Target="https://www.onetonline.org/link/summary/21-1093.00" TargetMode="External" /></Relationships>
</file>

<file path=word/_rels/footnotes.xml.rels><?xml version="1.0" encoding="UTF-8"?><Relationships xmlns="http://schemas.openxmlformats.org/package/2006/relationships"><Relationship Type="http://schemas.openxmlformats.org/officeDocument/2006/relationships/hyperlink" Id="rId62" Target="https://ape.sena.edu.co/spe-web/spe/demanda/solicitud-sintesis/4111884" TargetMode="External" /><Relationship Type="http://schemas.openxmlformats.org/officeDocument/2006/relationships/hyperlink" Id="rId63" Target="https://betowa.sena.edu.co/oferta/desarrollo-de-habilidades-para-el-bienestar-familiar-y-comunitario?location=57011001&amp;modality=V&amp;offertype=open&amp;programId=144936" TargetMode="External" /><Relationship Type="http://schemas.openxmlformats.org/officeDocument/2006/relationships/hyperlink" Id="rId61" Target="https://observatorio.sena.edu.co/Comportamiento/CnoDetalleFunciones?tags=4211" TargetMode="External" /><Relationship Type="http://schemas.openxmlformats.org/officeDocument/2006/relationships/hyperlink" Id="rId57" Target="https://www.apprenticeship.gov/" TargetMode="External" /><Relationship Type="http://schemas.openxmlformats.org/officeDocument/2006/relationships/hyperlink" Id="rId54" Target="https://www.bls.gov/ooh/community-and-social-service/social-and-human-service-assistants.htm" TargetMode="External" /><Relationship Type="http://schemas.openxmlformats.org/officeDocument/2006/relationships/hyperlink" Id="rId56" Target="https://www.careeronestop.org/FindTraining/find-training.aspx" TargetMode="External" /><Relationship Type="http://schemas.openxmlformats.org/officeDocument/2006/relationships/hyperlink" Id="rId55" Target="https://www.careeronestop.org/LocalHelp/EmploymentAndTraining/find-WIOA-training-programs.aspx" TargetMode="External" /><Relationship Type="http://schemas.openxmlformats.org/officeDocument/2006/relationships/hyperlink" Id="rId65" Target="https://www.indeed.com/career/navigator/salaries" TargetMode="External" /><Relationship Type="http://schemas.openxmlformats.org/officeDocument/2006/relationships/hyperlink" Id="rId59" Target="https://www.jobbank.gc.ca/marketreport/requirements/5112/ca" TargetMode="External" /><Relationship Type="http://schemas.openxmlformats.org/officeDocument/2006/relationships/hyperlink" Id="rId58" Target="https://www.jobbank.gc.ca/marketreport/summary-occupation/5112/ca" TargetMode="External" /><Relationship Type="http://schemas.openxmlformats.org/officeDocument/2006/relationships/hyperlink" Id="rId60" Target="https://www.jobbank.gc.ca/wagereport/occupation/5121" TargetMode="External" /><Relationship Type="http://schemas.openxmlformats.org/officeDocument/2006/relationships/hyperlink" Id="rId64" Target="https://www.oitcinterfor.org/" TargetMode="External" /><Relationship Type="http://schemas.openxmlformats.org/officeDocument/2006/relationships/hyperlink" Id="rId53" Target="https://www.onetonline.org/link/localwages/21-1093.00" TargetMode="External" /><Relationship Type="http://schemas.openxmlformats.org/officeDocument/2006/relationships/hyperlink" Id="rId52" Target="https://www.onetonline.org/link/summary/21-1093.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2026-08-20T13:11:13Z</dcterms:created>
  <dcterms:modified xsi:type="dcterms:W3CDTF">2026-08-20T13:11:13Z</dcterms:modified>
</cp:coreProperties>
</file>

<file path=docProps/custom.xml><?xml version="1.0" encoding="utf-8"?>
<Properties xmlns="http://schemas.openxmlformats.org/officeDocument/2006/custom-properties" xmlns:vt="http://schemas.openxmlformats.org/officeDocument/2006/docPropsVTypes"/>
</file>