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5" w:name="X00894858a361d6fd2aa84c98c848d8b130078d8"/>
    <w:p>
      <w:pPr>
        <w:pStyle w:val="Heading1"/>
      </w:pPr>
      <w:r>
        <w:t xml:space="preserve">Guia de Oportunidades para Toda a Vida 90 — Coordenador de Projetos de Tecnologia da Informação</w:t>
      </w:r>
    </w:p>
    <w:p>
      <w:pPr>
        <w:pStyle w:val="FirstParagraph"/>
      </w:pPr>
      <w:r>
        <w:rPr>
          <w:bCs/>
          <w:b/>
        </w:rPr>
        <w:t xml:space="preserve">Versão:</w:t>
      </w:r>
      <w:r>
        <w:t xml:space="preserve"> </w:t>
      </w:r>
      <w:r>
        <w:t xml:space="preserve">2.0 — mestre de trabalho controlado</w:t>
      </w:r>
      <w:r>
        <w:br/>
      </w:r>
      <w:r>
        <w:rPr>
          <w:bCs/>
          <w:b/>
        </w:rPr>
        <w:t xml:space="preserve">Idioma:</w:t>
      </w:r>
      <w:r>
        <w:t xml:space="preserve"> </w:t>
      </w:r>
      <w:r>
        <w:t xml:space="preserve">Português do Brasil (</w:t>
      </w:r>
      <w:r>
        <w:rPr>
          <w:rStyle w:val="VerbatimChar"/>
        </w:rPr>
        <w:t xml:space="preserve">pt-BR</w:t>
      </w:r>
      <w:r>
        <w:t xml:space="preserve">)</w:t>
      </w:r>
      <w:r>
        <w:br/>
      </w:r>
      <w:r>
        <w:rPr>
          <w:bCs/>
          <w:b/>
        </w:rPr>
        <w:t xml:space="preserve">Referência funcional principal dos EUA:</w:t>
      </w:r>
      <w:r>
        <w:t xml:space="preserve"> </w:t>
      </w:r>
      <w:r>
        <w:t xml:space="preserve">O*NET-SOC 15-1299.09 — Information Technology Project Managers</w:t>
      </w:r>
      <w:r>
        <w:br/>
      </w:r>
      <w:r>
        <w:rPr>
          <w:bCs/>
          <w:b/>
        </w:rPr>
        <w:t xml:space="preserve">Comparação do Canadá:</w:t>
      </w:r>
      <w:r>
        <w:t xml:space="preserve"> </w:t>
      </w:r>
      <w:r>
        <w:t xml:space="preserve">NOC 21222 — Information systems specialists</w:t>
      </w:r>
      <w:r>
        <w:br/>
      </w:r>
      <w:r>
        <w:rPr>
          <w:bCs/>
          <w:b/>
        </w:rPr>
        <w:t xml:space="preserve">Comparação principal da Colômbia:</w:t>
      </w:r>
      <w:r>
        <w:t xml:space="preserve"> </w:t>
      </w:r>
      <w:r>
        <w:t xml:space="preserve">CUOC 25190 — inclui Coordinador de proyecto informático</w:t>
      </w:r>
      <w:r>
        <w:br/>
      </w:r>
      <w:r>
        <w:rPr>
          <w:bCs/>
          <w:b/>
        </w:rPr>
        <w:t xml:space="preserve">Comparação adjacente da Colômbia:</w:t>
      </w:r>
      <w:r>
        <w:t xml:space="preserve"> </w:t>
      </w:r>
      <w:r>
        <w:t xml:space="preserve">CUOC 25110 — inclui Analista de proyecto TI</w:t>
      </w:r>
      <w:r>
        <w:br/>
      </w:r>
      <w:r>
        <w:rPr>
          <w:bCs/>
          <w:b/>
        </w:rPr>
        <w:t xml:space="preserve">Data de revisão:</w:t>
      </w:r>
      <w:r>
        <w:t xml:space="preserve"> </w:t>
      </w:r>
      <w:r>
        <w:t xml:space="preserve">2026-08-22</w:t>
      </w:r>
      <w:r>
        <w:br/>
      </w:r>
      <w:r>
        <w:rPr>
          <w:bCs/>
          <w:b/>
        </w:rPr>
        <w:t xml:space="preserve">Fonte inglesa congelada:</w:t>
      </w:r>
      <w:r>
        <w:t xml:space="preserve"> </w:t>
      </w:r>
      <w:r>
        <w:t xml:space="preserve">blob</w:t>
      </w:r>
      <w:r>
        <w:t xml:space="preserve"> </w:t>
      </w:r>
      <w:r>
        <w:rPr>
          <w:rStyle w:val="VerbatimChar"/>
        </w:rPr>
        <w:t xml:space="preserve">856d4fa00b0f62ca89791b486953fff7f343c888</w:t>
      </w:r>
    </w:p>
    <w:bookmarkStart w:id="20" w:name="o-que-é-esta-carreira"/>
    <w:p>
      <w:pPr>
        <w:pStyle w:val="Heading2"/>
      </w:pPr>
      <w:r>
        <w:t xml:space="preserve">O que é esta carreira</w:t>
      </w:r>
    </w:p>
    <w:p>
      <w:pPr>
        <w:pStyle w:val="FirstParagraph"/>
      </w:pPr>
      <w:r>
        <w:t xml:space="preserve">Um Coordenador de Projetos de Tecnologia da Informação ajuda o trabalho tecnológico a avançar do planejamento até a entrega. Normalmente apoia cronogramas, marcos, reuniões, ações, dependências, documentação, relatórios de status, riscos, problemas, requisitos, preparação para testes/release, fornecedores e comunicação com stakeholders.</w:t>
      </w:r>
    </w:p>
    <w:p>
      <w:pPr>
        <w:pStyle w:val="BodyText"/>
      </w:pPr>
      <w:r>
        <w:t xml:space="preserve">A palavra</w:t>
      </w:r>
      <w:r>
        <w:t xml:space="preserve"> </w:t>
      </w:r>
      <w:r>
        <w:rPr>
          <w:bCs/>
          <w:b/>
        </w:rPr>
        <w:t xml:space="preserve">coordenador</w:t>
      </w:r>
      <w:r>
        <w:t xml:space="preserve"> </w:t>
      </w:r>
      <w:r>
        <w:t xml:space="preserve">importa. Algumas organizações dão responsabilidades amplas; outras usam o título para uma função inicial de apoio à entrega. Administrar controles de projeto não significa automaticamente possuir autoridade sobre orçamento, contratação, arquitetura, compras, exceções de segurança ou release em produção.</w:t>
      </w:r>
    </w:p>
    <w:p>
      <w:pPr>
        <w:pStyle w:val="BodyText"/>
      </w:pPr>
      <w:r>
        <w:t xml:space="preserve">A melhor referência funcional dos EUA é</w:t>
      </w:r>
      <w:r>
        <w:t xml:space="preserve"> </w:t>
      </w:r>
      <w:r>
        <w:rPr>
          <w:bCs/>
          <w:b/>
        </w:rPr>
        <w:t xml:space="preserve">O*NET-SOC 15-1299.09 — Information Technology Project Managers</w:t>
      </w:r>
      <w:r>
        <w:t xml:space="preserve">, Bright Outlook e atualizada em 2026. O Job Bank do Canadá mapeia diretamente</w:t>
      </w:r>
      <w:r>
        <w:t xml:space="preserve"> </w:t>
      </w:r>
      <w:r>
        <w:rPr>
          <w:iCs/>
          <w:i/>
        </w:rPr>
        <w:t xml:space="preserve">project coordinator - information technology (IT)</w:t>
      </w:r>
      <w:r>
        <w:t xml:space="preserve"> </w:t>
      </w:r>
      <w:r>
        <w:t xml:space="preserve">para</w:t>
      </w:r>
      <w:r>
        <w:t xml:space="preserve"> </w:t>
      </w:r>
      <w:r>
        <w:rPr>
          <w:bCs/>
          <w:b/>
        </w:rPr>
        <w:t xml:space="preserve">NOC 21222 — Information systems specialists</w:t>
      </w:r>
      <w:r>
        <w:t xml:space="preserve">. Na Colômbia,</w:t>
      </w:r>
      <w:r>
        <w:t xml:space="preserve"> </w:t>
      </w:r>
      <w:r>
        <w:rPr>
          <w:bCs/>
          <w:b/>
        </w:rPr>
        <w:t xml:space="preserve">CUOC 25190</w:t>
      </w:r>
      <w:r>
        <w:t xml:space="preserve"> </w:t>
      </w:r>
      <w:r>
        <w:t xml:space="preserve">inclui explicitamente</w:t>
      </w:r>
      <w:r>
        <w:t xml:space="preserve"> </w:t>
      </w:r>
      <w:r>
        <w:rPr>
          <w:iCs/>
          <w:i/>
        </w:rPr>
        <w:t xml:space="preserve">Coordinador de proyecto informático</w:t>
      </w:r>
      <w:r>
        <w:t xml:space="preserve">;</w:t>
      </w:r>
      <w:r>
        <w:t xml:space="preserve"> </w:t>
      </w:r>
      <w:r>
        <w:rPr>
          <w:bCs/>
          <w:b/>
        </w:rPr>
        <w:t xml:space="preserve">CUOC 25110</w:t>
      </w:r>
      <w:r>
        <w:t xml:space="preserve"> </w:t>
      </w:r>
      <w:r>
        <w:t xml:space="preserve">inclui o título adjacente</w:t>
      </w:r>
      <w:r>
        <w:t xml:space="preserve"> </w:t>
      </w:r>
      <w:r>
        <w:rPr>
          <w:iCs/>
          <w:i/>
        </w:rPr>
        <w:t xml:space="preserve">Analista de proyecto TI</w:t>
      </w:r>
      <w:r>
        <w:t xml:space="preserve">.</w:t>
      </w:r>
    </w:p>
    <w:bookmarkEnd w:id="20"/>
    <w:bookmarkStart w:id="26" w:name="diferença-em-relação-a-funções-próximas"/>
    <w:p>
      <w:pPr>
        <w:pStyle w:val="Heading2"/>
      </w:pPr>
      <w:r>
        <w:t xml:space="preserve">Diferença em relação a funções próximas</w:t>
      </w:r>
    </w:p>
    <w:bookmarkStart w:id="21" w:name="coordenador-de-projeto-de-ti"/>
    <w:p>
      <w:pPr>
        <w:pStyle w:val="Heading3"/>
      </w:pPr>
      <w:r>
        <w:t xml:space="preserve">Coordenador de Projeto de TI</w:t>
      </w:r>
    </w:p>
    <w:p>
      <w:pPr>
        <w:pStyle w:val="FirstParagraph"/>
      </w:pPr>
      <w:r>
        <w:t xml:space="preserve">Apoia ou coordena planos, datas, ações, dependências, evidências, comunicações, reuniões e status dentro da autoridade atribuída.</w:t>
      </w:r>
    </w:p>
    <w:bookmarkEnd w:id="21"/>
    <w:bookmarkStart w:id="22" w:name="gerente-de-projeto-de-ti"/>
    <w:p>
      <w:pPr>
        <w:pStyle w:val="Heading3"/>
      </w:pPr>
      <w:r>
        <w:t xml:space="preserve">Gerente de Projeto de TI</w:t>
      </w:r>
    </w:p>
    <w:p>
      <w:pPr>
        <w:pStyle w:val="FirstParagraph"/>
      </w:pPr>
      <w:r>
        <w:t xml:space="preserve">Geralmente possui responsabilidade mais ampla por escopo, cronograma, orçamento, riscos, stakeholders, recursos e decisões de entrega.</w:t>
      </w:r>
    </w:p>
    <w:bookmarkEnd w:id="22"/>
    <w:bookmarkStart w:id="23" w:name="program-manager"/>
    <w:p>
      <w:pPr>
        <w:pStyle w:val="Heading3"/>
      </w:pPr>
      <w:r>
        <w:t xml:space="preserve">Program Manager</w:t>
      </w:r>
    </w:p>
    <w:p>
      <w:pPr>
        <w:pStyle w:val="FirstParagraph"/>
      </w:pPr>
      <w:r>
        <w:t xml:space="preserve">Coordena vários projetos/workstreams relacionados em direção a resultados maiores.</w:t>
      </w:r>
    </w:p>
    <w:bookmarkEnd w:id="23"/>
    <w:bookmarkStart w:id="24" w:name="scrum-master"/>
    <w:p>
      <w:pPr>
        <w:pStyle w:val="Heading3"/>
      </w:pPr>
      <w:r>
        <w:t xml:space="preserve">Scrum Master</w:t>
      </w:r>
    </w:p>
    <w:p>
      <w:pPr>
        <w:pStyle w:val="FirstParagraph"/>
      </w:pPr>
      <w:r>
        <w:t xml:space="preserve">Facilita o processo Scrum e impedimentos quando Scrum é realmente utilizado. Não possui automaticamente orçamento, prioridade de produto ou todas as decisões do projeto.</w:t>
      </w:r>
    </w:p>
    <w:bookmarkEnd w:id="24"/>
    <w:bookmarkStart w:id="25" w:name="product-manager--product-owner"/>
    <w:p>
      <w:pPr>
        <w:pStyle w:val="Heading3"/>
      </w:pPr>
      <w:r>
        <w:t xml:space="preserve">Product Manager / Product Owner</w:t>
      </w:r>
    </w:p>
    <w:p>
      <w:pPr>
        <w:pStyle w:val="FirstParagraph"/>
      </w:pPr>
      <w:r>
        <w:t xml:space="preserve">Foca valor do produto, prioridades, requisitos/backlog e resultados conforme o modelo organizacional.</w:t>
      </w:r>
    </w:p>
    <w:p>
      <w:pPr>
        <w:pStyle w:val="BodyText"/>
      </w:pPr>
      <w:r>
        <w:t xml:space="preserve">Títulos variam. Leia as responsabilidades e confirme direitos reais de decisão.</w:t>
      </w:r>
    </w:p>
    <w:bookmarkEnd w:id="25"/>
    <w:bookmarkEnd w:id="26"/>
    <w:bookmarkStart w:id="27" w:name="defina-o-projeto-antes-de-controlá-lo"/>
    <w:p>
      <w:pPr>
        <w:pStyle w:val="Heading2"/>
      </w:pPr>
      <w:r>
        <w:t xml:space="preserve">Defina o projeto antes de controlá-lo</w:t>
      </w:r>
    </w:p>
    <w:p>
      <w:pPr>
        <w:pStyle w:val="FirstParagraph"/>
      </w:pPr>
      <w:r>
        <w:t xml:space="preserve">Confirme ou documente:</w:t>
      </w:r>
    </w:p>
    <w:p>
      <w:pPr>
        <w:numPr>
          <w:ilvl w:val="0"/>
          <w:numId w:val="1001"/>
        </w:numPr>
        <w:pStyle w:val="Compact"/>
      </w:pPr>
      <w:r>
        <w:t xml:space="preserve">objetivo/resultado;</w:t>
      </w:r>
    </w:p>
    <w:p>
      <w:pPr>
        <w:numPr>
          <w:ilvl w:val="0"/>
          <w:numId w:val="1001"/>
        </w:numPr>
        <w:pStyle w:val="Compact"/>
      </w:pPr>
      <w:r>
        <w:t xml:space="preserve">sponsor ou responsável;</w:t>
      </w:r>
    </w:p>
    <w:p>
      <w:pPr>
        <w:numPr>
          <w:ilvl w:val="0"/>
          <w:numId w:val="1001"/>
        </w:numPr>
        <w:pStyle w:val="Compact"/>
      </w:pPr>
      <w:r>
        <w:t xml:space="preserve">escopo e exclusões;</w:t>
      </w:r>
    </w:p>
    <w:p>
      <w:pPr>
        <w:numPr>
          <w:ilvl w:val="0"/>
          <w:numId w:val="1001"/>
        </w:numPr>
        <w:pStyle w:val="Compact"/>
      </w:pPr>
      <w:r>
        <w:t xml:space="preserve">entregáveis;</w:t>
      </w:r>
    </w:p>
    <w:p>
      <w:pPr>
        <w:numPr>
          <w:ilvl w:val="0"/>
          <w:numId w:val="1001"/>
        </w:numPr>
        <w:pStyle w:val="Compact"/>
      </w:pPr>
      <w:r>
        <w:t xml:space="preserve">marcos e datas-alvo;</w:t>
      </w:r>
    </w:p>
    <w:p>
      <w:pPr>
        <w:numPr>
          <w:ilvl w:val="0"/>
          <w:numId w:val="1001"/>
        </w:numPr>
        <w:pStyle w:val="Compact"/>
      </w:pPr>
      <w:r>
        <w:t xml:space="preserve">dependências e restrições;</w:t>
      </w:r>
    </w:p>
    <w:p>
      <w:pPr>
        <w:numPr>
          <w:ilvl w:val="0"/>
          <w:numId w:val="1001"/>
        </w:numPr>
        <w:pStyle w:val="Compact"/>
      </w:pPr>
      <w:r>
        <w:t xml:space="preserve">premissas de orçamento/recursos quando visíveis ao papel;</w:t>
      </w:r>
    </w:p>
    <w:p>
      <w:pPr>
        <w:numPr>
          <w:ilvl w:val="0"/>
          <w:numId w:val="1001"/>
        </w:numPr>
        <w:pStyle w:val="Compact"/>
      </w:pPr>
      <w:r>
        <w:t xml:space="preserve">critérios de qualidade/aceitação;</w:t>
      </w:r>
    </w:p>
    <w:p>
      <w:pPr>
        <w:numPr>
          <w:ilvl w:val="0"/>
          <w:numId w:val="1001"/>
        </w:numPr>
        <w:pStyle w:val="Compact"/>
      </w:pPr>
      <w:r>
        <w:t xml:space="preserve">governança e direitos de decisão;</w:t>
      </w:r>
    </w:p>
    <w:p>
      <w:pPr>
        <w:numPr>
          <w:ilvl w:val="0"/>
          <w:numId w:val="1001"/>
        </w:numPr>
        <w:pStyle w:val="Compact"/>
      </w:pPr>
      <w:r>
        <w:t xml:space="preserve">requisitos de segurança, privacidade, acessibilidade ou compliance;</w:t>
      </w:r>
    </w:p>
    <w:p>
      <w:pPr>
        <w:numPr>
          <w:ilvl w:val="0"/>
          <w:numId w:val="1001"/>
        </w:numPr>
        <w:pStyle w:val="Compact"/>
      </w:pPr>
      <w:r>
        <w:t xml:space="preserve">cadência e audiência dos relatórios;</w:t>
      </w:r>
    </w:p>
    <w:p>
      <w:pPr>
        <w:numPr>
          <w:ilvl w:val="0"/>
          <w:numId w:val="1001"/>
        </w:numPr>
        <w:pStyle w:val="Compact"/>
      </w:pPr>
      <w:r>
        <w:t xml:space="preserve">definição de concluído.</w:t>
      </w:r>
    </w:p>
    <w:p>
      <w:pPr>
        <w:pStyle w:val="FirstParagraph"/>
      </w:pPr>
      <w:r>
        <w:t xml:space="preserve">Se houver ambiguidade, registre e escale. Não invente escopo ou aprovação.</w:t>
      </w:r>
    </w:p>
    <w:bookmarkEnd w:id="27"/>
    <w:bookmarkStart w:id="28" w:name="escopo"/>
    <w:p>
      <w:pPr>
        <w:pStyle w:val="Heading2"/>
      </w:pPr>
      <w:r>
        <w:t xml:space="preserve">Escopo</w:t>
      </w:r>
    </w:p>
    <w:p>
      <w:pPr>
        <w:pStyle w:val="FirstParagraph"/>
      </w:pPr>
      <w:r>
        <w:t xml:space="preserve">Controle objetivos aprovados, entregáveis, sistemas/equipes incluídos, exclusões, premissas, restrições, critérios de aceitação e histórico de mudanças.</w:t>
      </w:r>
    </w:p>
    <w:p>
      <w:pPr>
        <w:pStyle w:val="BodyText"/>
      </w:pPr>
      <w:r>
        <w:t xml:space="preserve">Não adicione trabalho, remova requisitos ou redefina conclusão silenciosamente para fazer o projeto parecer saudável.</w:t>
      </w:r>
    </w:p>
    <w:bookmarkEnd w:id="28"/>
    <w:bookmarkStart w:id="29" w:name="cronograma-marcos-e-dependências"/>
    <w:p>
      <w:pPr>
        <w:pStyle w:val="Heading2"/>
      </w:pPr>
      <w:r>
        <w:t xml:space="preserve">Cronograma, marcos e dependências</w:t>
      </w:r>
    </w:p>
    <w:p>
      <w:pPr>
        <w:pStyle w:val="FirstParagraph"/>
      </w:pPr>
      <w:r>
        <w:t xml:space="preserve">Um cronograma útil mostra item/entregável, responsável, datas planejadas quando aplicável, previsão atual, predecessor/dependência, marco, status, bloqueio e aprovação/handoff necessário.</w:t>
      </w:r>
    </w:p>
    <w:p>
      <w:pPr>
        <w:pStyle w:val="BodyText"/>
      </w:pPr>
      <w:r>
        <w:t xml:space="preserve">Data-alvo e previsão atual são diferentes. Se a evidência indicar atraso provável, informe a previsão e a causa em vez de alterar a baseline sem autorização.</w:t>
      </w:r>
    </w:p>
    <w:bookmarkEnd w:id="29"/>
    <w:bookmarkStart w:id="30" w:name="wbs-backlog-e-fluxo"/>
    <w:p>
      <w:pPr>
        <w:pStyle w:val="Heading2"/>
      </w:pPr>
      <w:r>
        <w:t xml:space="preserve">WBS, backlog e fluxo</w:t>
      </w:r>
    </w:p>
    <w:p>
      <w:pPr>
        <w:pStyle w:val="FirstParagraph"/>
      </w:pPr>
      <w:r>
        <w:t xml:space="preserve">Equipes podem usar WBS, épicos/features/stories/tasks, Kanban, sprint backlog, planos de marcos, stage gates, release trains ou mapas de dependência.</w:t>
      </w:r>
    </w:p>
    <w:p>
      <w:pPr>
        <w:pStyle w:val="BodyText"/>
      </w:pPr>
      <w:r>
        <w:t xml:space="preserve">Entenda o método usado sem tratar um framework como universal.</w:t>
      </w:r>
    </w:p>
    <w:bookmarkEnd w:id="30"/>
    <w:bookmarkStart w:id="31" w:name="X8fbf46d17377abd3a020de935b5d5643a6fb595"/>
    <w:p>
      <w:pPr>
        <w:pStyle w:val="Heading2"/>
      </w:pPr>
      <w:r>
        <w:t xml:space="preserve">RAID: riscos, premissas, problemas e dependências</w:t>
      </w:r>
    </w:p>
    <w:p>
      <w:pPr>
        <w:pStyle w:val="FirstParagraph"/>
      </w:pPr>
      <w:r>
        <w:t xml:space="preserve">Um registro prático pode incluir ID, tipo, descrição, impacto, probabilidade quando aplicável, responsável, resposta/ação, data-alvo/revisão, status e escalonamento.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Risco:</w:t>
      </w:r>
      <w:r>
        <w:t xml:space="preserve"> </w:t>
      </w:r>
      <w:r>
        <w:t xml:space="preserve">evento futuro possível que pode afetar objetivos.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Problema:</w:t>
      </w:r>
      <w:r>
        <w:t xml:space="preserve"> </w:t>
      </w:r>
      <w:r>
        <w:t xml:space="preserve">condição que já aconteceu ou está acontecendo.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Premissa:</w:t>
      </w:r>
      <w:r>
        <w:t xml:space="preserve"> </w:t>
      </w:r>
      <w:r>
        <w:t xml:space="preserve">condição usada para planejar e que pode precisar de validação.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Dependência:</w:t>
      </w:r>
      <w:r>
        <w:t xml:space="preserve"> </w:t>
      </w:r>
      <w:r>
        <w:t xml:space="preserve">algo necessário de outra pessoa/equipe/sistema ou que outros precisam deste projeto.</w:t>
      </w:r>
    </w:p>
    <w:p>
      <w:pPr>
        <w:pStyle w:val="FirstParagraph"/>
      </w:pPr>
      <w:r>
        <w:t xml:space="preserve">Não esconda riscos graves apenas para evitar escalonamento.</w:t>
      </w:r>
    </w:p>
    <w:bookmarkEnd w:id="31"/>
    <w:bookmarkStart w:id="32" w:name="ações-e-decisões"/>
    <w:p>
      <w:pPr>
        <w:pStyle w:val="Heading2"/>
      </w:pPr>
      <w:r>
        <w:t xml:space="preserve">Ações e decisões</w:t>
      </w:r>
    </w:p>
    <w:p>
      <w:pPr>
        <w:pStyle w:val="FirstParagraph"/>
      </w:pPr>
      <w:r>
        <w:t xml:space="preserve">Ações devem ter responsável, prazo e status. Decisões devem identificar a decisão, data e autoridade/fórum correspondente, além do impacto quando útil.</w:t>
      </w:r>
    </w:p>
    <w:p>
      <w:pPr>
        <w:pStyle w:val="BodyText"/>
      </w:pPr>
      <w:r>
        <w:t xml:space="preserve">Não registre proposta como decisão aprovada.</w:t>
      </w:r>
    </w:p>
    <w:bookmarkEnd w:id="32"/>
    <w:bookmarkStart w:id="33" w:name="reuniões-úteis"/>
    <w:p>
      <w:pPr>
        <w:pStyle w:val="Heading2"/>
      </w:pPr>
      <w:r>
        <w:t xml:space="preserve">Reuniões úteis</w:t>
      </w:r>
    </w:p>
    <w:p>
      <w:pPr>
        <w:pStyle w:val="FirstParagraph"/>
      </w:pPr>
      <w:r>
        <w:t xml:space="preserve">Use propósito claro, participantes necessários, agenda, pre-read quando útil, decisões, ações com responsável/data, perguntas abertas e escalonamentos.</w:t>
      </w:r>
    </w:p>
    <w:p>
      <w:pPr>
        <w:pStyle w:val="BodyText"/>
      </w:pPr>
      <w:r>
        <w:t xml:space="preserve">Número de reuniões não prova progresso.</w:t>
      </w:r>
    </w:p>
    <w:bookmarkEnd w:id="33"/>
    <w:bookmarkStart w:id="34" w:name="status-baseado-em-evidências"/>
    <w:p>
      <w:pPr>
        <w:pStyle w:val="Heading2"/>
      </w:pPr>
      <w:r>
        <w:t xml:space="preserve">Status baseado em evidências</w:t>
      </w:r>
    </w:p>
    <w:p>
      <w:pPr>
        <w:pStyle w:val="FirstParagraph"/>
      </w:pPr>
      <w:r>
        <w:t xml:space="preserve">Use entregáveis concluídos/aceitos, progresso de marcos, previsão de cronograma, custos quando atribuídos ao papel, riscos/problemas, dependências, resultados de testes, aprovações, compromissos de fornecedores, incidentes e decisões requeridas.</w:t>
      </w:r>
    </w:p>
    <w:p>
      <w:pPr>
        <w:pStyle w:val="BodyText"/>
      </w:pPr>
      <w:r>
        <w:t xml:space="preserve">Evite</w:t>
      </w:r>
      <w:r>
        <w:t xml:space="preserve"> </w:t>
      </w:r>
      <w:r>
        <w:rPr>
          <w:bCs/>
          <w:b/>
        </w:rPr>
        <w:t xml:space="preserve">greenwashing de status</w:t>
      </w:r>
      <w:r>
        <w:t xml:space="preserve">: não esconda risco material nem manipule métricas para fazer um projeto problemático parecer saudável.</w:t>
      </w:r>
    </w:p>
    <w:bookmarkEnd w:id="34"/>
    <w:bookmarkStart w:id="35" w:name="rag"/>
    <w:p>
      <w:pPr>
        <w:pStyle w:val="Heading2"/>
      </w:pPr>
      <w:r>
        <w:t xml:space="preserve">RAG</w:t>
      </w:r>
    </w:p>
    <w:p>
      <w:pPr>
        <w:pStyle w:val="FirstParagraph"/>
      </w:pPr>
      <w:r>
        <w:t xml:space="preserve">Se a organização usa vermelho/âmbar/verde, siga critérios verificáveis. “Verde” não significa ausência de riscos.</w:t>
      </w:r>
    </w:p>
    <w:bookmarkEnd w:id="35"/>
    <w:bookmarkStart w:id="36" w:name="controle-de-mudanças"/>
    <w:p>
      <w:pPr>
        <w:pStyle w:val="Heading2"/>
      </w:pPr>
      <w:r>
        <w:t xml:space="preserve">Controle de mudanças</w:t>
      </w:r>
    </w:p>
    <w:p>
      <w:pPr>
        <w:pStyle w:val="FirstParagraph"/>
      </w:pPr>
      <w:r>
        <w:t xml:space="preserve">Mudanças podem afetar escopo, requisitos, cronograma, custo, recursos, arquitetura, segurança/privacidade, testes, contratos, deployment ou aceitação.</w:t>
      </w:r>
    </w:p>
    <w:p>
      <w:pPr>
        <w:pStyle w:val="BodyText"/>
      </w:pPr>
      <w:r>
        <w:t xml:space="preserve">Registre solicitação, justificativa, impacto, opções, baselines afetadas, decisão/aprovação, implementação e acompanhamento.</w:t>
      </w:r>
    </w:p>
    <w:p>
      <w:pPr>
        <w:pStyle w:val="BodyText"/>
      </w:pPr>
      <w:r>
        <w:t xml:space="preserve">O coordenador pode preparar/encaminhar a mudança sem possuir autoridade final de aprovação.</w:t>
      </w:r>
    </w:p>
    <w:bookmarkEnd w:id="36"/>
    <w:bookmarkStart w:id="37" w:name="requisitos-rastreabilidade-e-aceitação"/>
    <w:p>
      <w:pPr>
        <w:pStyle w:val="Heading2"/>
      </w:pPr>
      <w:r>
        <w:t xml:space="preserve">Requisitos, rastreabilidade e aceitação</w:t>
      </w:r>
    </w:p>
    <w:p>
      <w:pPr>
        <w:pStyle w:val="FirstParagraph"/>
      </w:pPr>
      <w:r>
        <w:t xml:space="preserve">Quando apropriado conecte:</w:t>
      </w:r>
    </w:p>
    <w:p>
      <w:pPr>
        <w:pStyle w:val="BodyText"/>
      </w:pPr>
      <w:r>
        <w:rPr>
          <w:bCs/>
          <w:b/>
        </w:rPr>
        <w:t xml:space="preserve">requisito → responsável → design/work item → teste/evidência → aceitação</w:t>
      </w:r>
    </w:p>
    <w:p>
      <w:pPr>
        <w:pStyle w:val="BodyText"/>
      </w:pPr>
      <w:r>
        <w:t xml:space="preserve">Não marque requisito como concluído apenas porque desenvolvimento parou. Não declare aceitação sem aprovação do stakeholder/processo autorizado.</w:t>
      </w:r>
    </w:p>
    <w:bookmarkEnd w:id="37"/>
    <w:bookmarkStart w:id="38" w:name="qualidade-e-testes"/>
    <w:p>
      <w:pPr>
        <w:pStyle w:val="Heading2"/>
      </w:pPr>
      <w:r>
        <w:t xml:space="preserve">Qualidade e testes</w:t>
      </w:r>
    </w:p>
    <w:p>
      <w:pPr>
        <w:pStyle w:val="FirstParagraph"/>
      </w:pPr>
      <w:r>
        <w:t xml:space="preserve">Pode coordenar plano de testes, ambientes, dados de teste, defeitos, retestes, performance, acessibilidade, segurança, UAT e critérios de saída.</w:t>
      </w:r>
    </w:p>
    <w:p>
      <w:pPr>
        <w:pStyle w:val="BodyText"/>
      </w:pPr>
      <w:r>
        <w:t xml:space="preserve">Testes aprovados são evidência, não autorização automática de release.</w:t>
      </w:r>
    </w:p>
    <w:bookmarkEnd w:id="38"/>
    <w:bookmarkStart w:id="39" w:name="release-e-autoridade-de-produção"/>
    <w:p>
      <w:pPr>
        <w:pStyle w:val="Heading2"/>
      </w:pPr>
      <w:r>
        <w:t xml:space="preserve">Release e autoridade de produção</w:t>
      </w:r>
    </w:p>
    <w:p>
      <w:pPr>
        <w:pStyle w:val="FirstParagraph"/>
      </w:pPr>
      <w:r>
        <w:t xml:space="preserve">Readiness pode incluir versão aprovada, testes, defeitos conhecidos, revisões de segurança/privacidade, plano de deployment, rollback/forward-fix, monitoramento, suporte, comunicações e decisão go/no-go.</w:t>
      </w:r>
    </w:p>
    <w:p>
      <w:pPr>
        <w:pStyle w:val="BodyText"/>
      </w:pPr>
      <w:r>
        <w:t xml:space="preserve">Reunir evidências não concede autoridade para implantar, dispensar controles, aceitar risco cibernético ou aprovar produção.</w:t>
      </w:r>
    </w:p>
    <w:bookmarkEnd w:id="39"/>
    <w:bookmarkStart w:id="40" w:name="fornecedores-e-compras"/>
    <w:p>
      <w:pPr>
        <w:pStyle w:val="Heading2"/>
      </w:pPr>
      <w:r>
        <w:t xml:space="preserve">Fornecedores e compras</w:t>
      </w:r>
    </w:p>
    <w:p>
      <w:pPr>
        <w:pStyle w:val="FirstParagraph"/>
      </w:pPr>
      <w:r>
        <w:t xml:space="preserve">Pode apoiar requisitos, SOW, comparação de cotações, datas, entregáveis, acessos, evidência de marcos, riscos e desempenho.</w:t>
      </w:r>
    </w:p>
    <w:p>
      <w:pPr>
        <w:pStyle w:val="BodyText"/>
      </w:pPr>
      <w:r>
        <w:t xml:space="preserve">Não faça compromissos contratuais nem autorize compras fora da autoridade atribuída.</w:t>
      </w:r>
    </w:p>
    <w:bookmarkEnd w:id="40"/>
    <w:bookmarkStart w:id="41" w:name="recursos"/>
    <w:p>
      <w:pPr>
        <w:pStyle w:val="Heading2"/>
      </w:pPr>
      <w:r>
        <w:t xml:space="preserve">Recursos</w:t>
      </w:r>
    </w:p>
    <w:p>
      <w:pPr>
        <w:pStyle w:val="FirstParagraph"/>
      </w:pPr>
      <w:r>
        <w:t xml:space="preserve">Controle habilidades, pessoas, ambientes e acessos necessários, capacidade, prioridades conflitantes, especialistas indisponíveis, atraso de onboarding e dependências compartilhadas.</w:t>
      </w:r>
    </w:p>
    <w:p>
      <w:pPr>
        <w:pStyle w:val="BodyText"/>
      </w:pPr>
      <w:r>
        <w:t xml:space="preserve">Não invente compromissos de recursos.</w:t>
      </w:r>
    </w:p>
    <w:bookmarkEnd w:id="41"/>
    <w:bookmarkStart w:id="42" w:name="agile-preditivo-e-híbrido"/>
    <w:p>
      <w:pPr>
        <w:pStyle w:val="Heading2"/>
      </w:pPr>
      <w:r>
        <w:t xml:space="preserve">Agile, preditivo e híbrido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Preditivo:</w:t>
      </w:r>
      <w:r>
        <w:t xml:space="preserve"> </w:t>
      </w:r>
      <w:r>
        <w:t xml:space="preserve">WBS, baselines, marcos, change control e stage gates.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Agile/iterativo:</w:t>
      </w:r>
      <w:r>
        <w:t xml:space="preserve"> </w:t>
      </w:r>
      <w:r>
        <w:t xml:space="preserve">backlog, sprints, Kanban, releases incrementais e feedback.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Híbrido:</w:t>
      </w:r>
      <w:r>
        <w:t xml:space="preserve"> </w:t>
      </w:r>
      <w:r>
        <w:t xml:space="preserve">combinação conforme risco e governança.</w:t>
      </w:r>
    </w:p>
    <w:p>
      <w:pPr>
        <w:pStyle w:val="FirstParagraph"/>
      </w:pPr>
      <w:r>
        <w:t xml:space="preserve">Agile não significa ausência de planejamento, documentação, controles ou accountability.</w:t>
      </w:r>
    </w:p>
    <w:bookmarkEnd w:id="42"/>
    <w:bookmarkStart w:id="43" w:name="alfabetização-técnica"/>
    <w:p>
      <w:pPr>
        <w:pStyle w:val="Heading2"/>
      </w:pPr>
      <w:r>
        <w:t xml:space="preserve">Alfabetização técnica</w:t>
      </w:r>
    </w:p>
    <w:p>
      <w:pPr>
        <w:pStyle w:val="FirstParagraph"/>
      </w:pPr>
      <w:r>
        <w:t xml:space="preserve">O coordenador não precisa ser o engenheiro mais profundo, mas deve entender aplicações/APIs, infraestrutura/redes, cloud, bancos de dados/migração, identidade, cibersegurança, ambientes, testes, CI/CD, monitoramento, mudança/release e integrações.</w:t>
      </w:r>
    </w:p>
    <w:bookmarkEnd w:id="43"/>
    <w:bookmarkStart w:id="44" w:name="sinais-tecnológicos-atuais"/>
    <w:p>
      <w:pPr>
        <w:pStyle w:val="Heading2"/>
      </w:pPr>
      <w:r>
        <w:t xml:space="preserve">Sinais tecnológicos atuais</w:t>
      </w:r>
    </w:p>
    <w:p>
      <w:pPr>
        <w:pStyle w:val="FirstParagraph"/>
      </w:pPr>
      <w:r>
        <w:t xml:space="preserve">Dados O*NET/Lightcast 2025 mostram:</w:t>
      </w:r>
    </w:p>
    <w:p>
      <w:pPr>
        <w:numPr>
          <w:ilvl w:val="0"/>
          <w:numId w:val="1004"/>
        </w:numPr>
        <w:pStyle w:val="Compact"/>
      </w:pPr>
      <w:r>
        <w:t xml:space="preserve">JIRA</w:t>
      </w:r>
      <w:r>
        <w:t xml:space="preserve"> </w:t>
      </w:r>
      <w:r>
        <w:rPr>
          <w:bCs/>
          <w:b/>
        </w:rPr>
        <w:t xml:space="preserve">16%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SAP</w:t>
      </w:r>
      <w:r>
        <w:t xml:space="preserve"> </w:t>
      </w:r>
      <w:r>
        <w:rPr>
          <w:bCs/>
          <w:b/>
        </w:rPr>
        <w:t xml:space="preserve">11%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Microsoft Office</w:t>
      </w:r>
      <w:r>
        <w:t xml:space="preserve"> </w:t>
      </w:r>
      <w:r>
        <w:rPr>
          <w:bCs/>
          <w:b/>
        </w:rPr>
        <w:t xml:space="preserve">7%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Excel</w:t>
      </w:r>
      <w:r>
        <w:t xml:space="preserve"> </w:t>
      </w:r>
      <w:r>
        <w:rPr>
          <w:bCs/>
          <w:b/>
        </w:rPr>
        <w:t xml:space="preserve">7%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Confluence</w:t>
      </w:r>
      <w:r>
        <w:t xml:space="preserve"> </w:t>
      </w:r>
      <w:r>
        <w:rPr>
          <w:bCs/>
          <w:b/>
        </w:rPr>
        <w:t xml:space="preserve">7%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Azure</w:t>
      </w:r>
      <w:r>
        <w:t xml:space="preserve"> </w:t>
      </w:r>
      <w:r>
        <w:rPr>
          <w:bCs/>
          <w:b/>
        </w:rPr>
        <w:t xml:space="preserve">6%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PowerPoint</w:t>
      </w:r>
      <w:r>
        <w:t xml:space="preserve"> </w:t>
      </w:r>
      <w:r>
        <w:rPr>
          <w:bCs/>
          <w:b/>
        </w:rPr>
        <w:t xml:space="preserve">6%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AWS</w:t>
      </w:r>
      <w:r>
        <w:t xml:space="preserve"> </w:t>
      </w:r>
      <w:r>
        <w:rPr>
          <w:bCs/>
          <w:b/>
        </w:rPr>
        <w:t xml:space="preserve">5%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SQL</w:t>
      </w:r>
      <w:r>
        <w:t xml:space="preserve"> </w:t>
      </w:r>
      <w:r>
        <w:rPr>
          <w:bCs/>
          <w:b/>
        </w:rPr>
        <w:t xml:space="preserve">5%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ServiceNow</w:t>
      </w:r>
      <w:r>
        <w:t xml:space="preserve"> </w:t>
      </w:r>
      <w:r>
        <w:rPr>
          <w:bCs/>
          <w:b/>
        </w:rPr>
        <w:t xml:space="preserve">5%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Microsoft Project</w:t>
      </w:r>
      <w:r>
        <w:t xml:space="preserve"> </w:t>
      </w:r>
      <w:r>
        <w:rPr>
          <w:bCs/>
          <w:b/>
        </w:rPr>
        <w:t xml:space="preserve">4%</w:t>
      </w:r>
      <w:r>
        <w:t xml:space="preserve">.</w:t>
      </w:r>
    </w:p>
    <w:p>
      <w:pPr>
        <w:pStyle w:val="FirstParagraph"/>
      </w:pPr>
      <w:r>
        <w:t xml:space="preserve">São sinais de vagas, não requisitos universais.</w:t>
      </w:r>
    </w:p>
    <w:bookmarkEnd w:id="44"/>
    <w:bookmarkStart w:id="45" w:name="cibersegurança"/>
    <w:p>
      <w:pPr>
        <w:pStyle w:val="Heading2"/>
      </w:pPr>
      <w:r>
        <w:t xml:space="preserve">Cibersegurança</w:t>
      </w:r>
    </w:p>
    <w:p>
      <w:pPr>
        <w:pStyle w:val="FirstParagraph"/>
      </w:pPr>
      <w:r>
        <w:t xml:space="preserve">Identifique owner/revisor de segurança, acompanhe revisões, acessos, achados, remediações/exceções e proteja evidências.</w:t>
      </w:r>
    </w:p>
    <w:p>
      <w:pPr>
        <w:pStyle w:val="BodyText"/>
      </w:pPr>
      <w:r>
        <w:t xml:space="preserve">Não faça testes intrusivos nem aprove exceções de segurança sem autorização explícita.</w:t>
      </w:r>
    </w:p>
    <w:bookmarkEnd w:id="45"/>
    <w:bookmarkStart w:id="46" w:name="privacidade-e-informação"/>
    <w:p>
      <w:pPr>
        <w:pStyle w:val="Heading2"/>
      </w:pPr>
      <w:r>
        <w:t xml:space="preserve">Privacidade e informação</w:t>
      </w:r>
    </w:p>
    <w:p>
      <w:pPr>
        <w:pStyle w:val="FirstParagraph"/>
      </w:pPr>
      <w:r>
        <w:t xml:space="preserve">Siga classificação, mínimo necessário, repositórios aprovados, controle de acesso, retenção/exclusão e regras para gravações, screenshots, logs, dados pessoais e contratos.</w:t>
      </w:r>
    </w:p>
    <w:p>
      <w:pPr>
        <w:pStyle w:val="BodyText"/>
      </w:pPr>
      <w:r>
        <w:t xml:space="preserve">Não coloque conteúdo protegido em ferramentas públicas de colaboração ou IA.</w:t>
      </w:r>
    </w:p>
    <w:bookmarkEnd w:id="46"/>
    <w:bookmarkStart w:id="47" w:name="acessibilidade"/>
    <w:p>
      <w:pPr>
        <w:pStyle w:val="Heading2"/>
      </w:pPr>
      <w:r>
        <w:t xml:space="preserve">Acessibilidade</w:t>
      </w:r>
    </w:p>
    <w:p>
      <w:pPr>
        <w:pStyle w:val="FirstParagraph"/>
      </w:pPr>
      <w:r>
        <w:t xml:space="preserve">Inclua requisitos cedo no design, desenvolvimento, testes e aceitação quando aplicável. Evidências podem envolver teclado, semântica, labels, foco, contraste, erros, reflow e tecnologias assistivas.</w:t>
      </w:r>
    </w:p>
    <w:p>
      <w:pPr>
        <w:pStyle w:val="BodyText"/>
      </w:pPr>
      <w:r>
        <w:t xml:space="preserve">Scanner automático não comprova conformidade legal.</w:t>
      </w:r>
    </w:p>
    <w:bookmarkEnd w:id="47"/>
    <w:bookmarkStart w:id="48" w:name="ia-responsável"/>
    <w:p>
      <w:pPr>
        <w:pStyle w:val="Heading2"/>
      </w:pPr>
      <w:r>
        <w:t xml:space="preserve">IA responsável</w:t>
      </w:r>
    </w:p>
    <w:p>
      <w:pPr>
        <w:pStyle w:val="FirstParagraph"/>
      </w:pPr>
      <w:r>
        <w:t xml:space="preserve">IA aprovada pode ajudar a rascunhar agendas, resumos, listas de ações, ideias de risco, texto de status, cenários sintéticos e templates.</w:t>
      </w:r>
    </w:p>
    <w:p>
      <w:pPr>
        <w:pStyle w:val="BodyText"/>
      </w:pPr>
      <w:r>
        <w:t xml:space="preserve">Controles:</w:t>
      </w:r>
    </w:p>
    <w:p>
      <w:pPr>
        <w:numPr>
          <w:ilvl w:val="0"/>
          <w:numId w:val="1005"/>
        </w:numPr>
        <w:pStyle w:val="Compact"/>
      </w:pPr>
      <w:r>
        <w:t xml:space="preserve">não enviar planos confidenciais, código-fonte, dados de clientes, credenciais, contratos, incidentes privados ou informação não publicada a ferramentas não aprovadas;</w:t>
      </w:r>
    </w:p>
    <w:p>
      <w:pPr>
        <w:numPr>
          <w:ilvl w:val="0"/>
          <w:numId w:val="1005"/>
        </w:numPr>
        <w:pStyle w:val="Compact"/>
      </w:pPr>
      <w:r>
        <w:t xml:space="preserve">validar datas, nomes, responsáveis, decisões, requisitos e riscos contra registros autoritativos;</w:t>
      </w:r>
    </w:p>
    <w:p>
      <w:pPr>
        <w:numPr>
          <w:ilvl w:val="0"/>
          <w:numId w:val="1005"/>
        </w:numPr>
        <w:pStyle w:val="Compact"/>
      </w:pPr>
      <w:r>
        <w:t xml:space="preserve">não permitir que IA invente aprovações, compromissos, decisões ou saúde do projeto;</w:t>
      </w:r>
    </w:p>
    <w:p>
      <w:pPr>
        <w:numPr>
          <w:ilvl w:val="0"/>
          <w:numId w:val="1005"/>
        </w:numPr>
        <w:pStyle w:val="Compact"/>
      </w:pPr>
      <w:r>
        <w:t xml:space="preserve">IA não aprova mudanças, orçamento, releases ou exceções;</w:t>
      </w:r>
    </w:p>
    <w:p>
      <w:pPr>
        <w:numPr>
          <w:ilvl w:val="0"/>
          <w:numId w:val="1005"/>
        </w:numPr>
        <w:pStyle w:val="Compact"/>
      </w:pPr>
      <w:r>
        <w:t xml:space="preserve">accountability humana permanece.</w:t>
      </w:r>
    </w:p>
    <w:bookmarkEnd w:id="48"/>
    <w:bookmarkStart w:id="49" w:name="limites-éticos"/>
    <w:p>
      <w:pPr>
        <w:pStyle w:val="Heading2"/>
      </w:pPr>
      <w:r>
        <w:t xml:space="preserve">Limites éticos</w:t>
      </w:r>
    </w:p>
    <w:p>
      <w:pPr>
        <w:pStyle w:val="FirstParagraph"/>
      </w:pPr>
      <w:r>
        <w:t xml:space="preserve">Não fabrique progresso, esconda riscos críticos, altere baselines silenciosamente, registre propostas como decisões, declare aceitação sem autoridade, comprometa recursos fora de autoridade, divulgue informação protegida, contorne controles ou manipule métricas.</w:t>
      </w:r>
    </w:p>
    <w:bookmarkEnd w:id="49"/>
    <w:bookmarkStart w:id="53" w:name="estados-unidos--referência-ocupacional"/>
    <w:p>
      <w:pPr>
        <w:pStyle w:val="Heading2"/>
      </w:pPr>
      <w:r>
        <w:t xml:space="preserve">Estados Unidos — referência ocupacional</w:t>
      </w:r>
    </w:p>
    <w:p>
      <w:pPr>
        <w:pStyle w:val="FirstParagraph"/>
      </w:pPr>
      <w:r>
        <w:t xml:space="preserve">O*NET-SOC</w:t>
      </w:r>
      <w:r>
        <w:t xml:space="preserve"> </w:t>
      </w:r>
      <w:r>
        <w:rPr>
          <w:bCs/>
          <w:b/>
        </w:rPr>
        <w:t xml:space="preserve">15-1299.09 — Information Technology Project Managers</w:t>
      </w:r>
      <w:r>
        <w:t xml:space="preserve"> </w:t>
      </w:r>
      <w:r>
        <w:t xml:space="preserve">é Bright Outlook e atualizado em 2026.</w:t>
      </w:r>
    </w:p>
    <w:bookmarkStart w:id="50" w:name="limite-estatístico-obrigatório"/>
    <w:p>
      <w:pPr>
        <w:pStyle w:val="Heading3"/>
      </w:pPr>
      <w:r>
        <w:t xml:space="preserve">Limite estatístico obrigatório</w:t>
      </w:r>
    </w:p>
    <w:p>
      <w:pPr>
        <w:pStyle w:val="FirstParagraph"/>
      </w:pPr>
      <w:r>
        <w:t xml:space="preserve">O*NET informa que salários e emprego apresentados são coletados de</w:t>
      </w:r>
      <w:r>
        <w:t xml:space="preserve"> </w:t>
      </w:r>
      <w:r>
        <w:rPr>
          <w:bCs/>
          <w:b/>
        </w:rPr>
        <w:t xml:space="preserve">Computer Occupations, All Other</w:t>
      </w:r>
      <w:r>
        <w:t xml:space="preserve">. São referências oficiais BLS, mas</w:t>
      </w:r>
      <w:r>
        <w:t xml:space="preserve"> </w:t>
      </w:r>
      <w:r>
        <w:rPr>
          <w:bCs/>
          <w:b/>
        </w:rPr>
        <w:t xml:space="preserve">não uma população pura de Coordenador de Projeto de TI</w:t>
      </w:r>
      <w:r>
        <w:t xml:space="preserve">.</w:t>
      </w:r>
    </w:p>
    <w:bookmarkEnd w:id="50"/>
    <w:bookmarkStart w:id="51" w:name="salários-oficiais-2025"/>
    <w:p>
      <w:pPr>
        <w:pStyle w:val="Heading3"/>
      </w:pPr>
      <w:r>
        <w:t xml:space="preserve">Salários oficiais 2025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Percentil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Por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$55,940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$26.89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$79,370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$38.16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$116,580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$56.05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$157,500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$188,470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$90.61</w:t>
            </w:r>
          </w:p>
        </w:tc>
      </w:tr>
    </w:tbl>
    <w:bookmarkEnd w:id="51"/>
    <w:bookmarkStart w:id="52" w:name="perspectiva-oficial-20242034"/>
    <w:p>
      <w:pPr>
        <w:pStyle w:val="Heading3"/>
      </w:pPr>
      <w:r>
        <w:t xml:space="preserve">Perspectiva oficial 2024–2034</w:t>
      </w:r>
    </w:p>
    <w:p>
      <w:pPr>
        <w:numPr>
          <w:ilvl w:val="0"/>
          <w:numId w:val="1006"/>
        </w:numPr>
        <w:pStyle w:val="Compact"/>
      </w:pPr>
      <w:r>
        <w:t xml:space="preserve">emprego 2024:</w:t>
      </w:r>
      <w:r>
        <w:t xml:space="preserve"> </w:t>
      </w:r>
      <w:r>
        <w:rPr>
          <w:bCs/>
          <w:b/>
        </w:rPr>
        <w:t xml:space="preserve">472,000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projetado 2034:</w:t>
      </w:r>
      <w:r>
        <w:t xml:space="preserve"> </w:t>
      </w:r>
      <w:r>
        <w:rPr>
          <w:bCs/>
          <w:b/>
        </w:rPr>
        <w:t xml:space="preserve">510,500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crescimento:</w:t>
      </w:r>
      <w:r>
        <w:t xml:space="preserve"> </w:t>
      </w:r>
      <w:r>
        <w:rPr>
          <w:bCs/>
          <w:b/>
        </w:rPr>
        <w:t xml:space="preserve">8%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aberturas anuais:</w:t>
      </w:r>
      <w:r>
        <w:t xml:space="preserve"> </w:t>
      </w:r>
      <w:r>
        <w:rPr>
          <w:bCs/>
          <w:b/>
        </w:rPr>
        <w:t xml:space="preserve">31,300</w:t>
      </w:r>
      <w:r>
        <w:t xml:space="preserve">.</w:t>
      </w:r>
    </w:p>
    <w:p>
      <w:pPr>
        <w:pStyle w:val="FirstParagraph"/>
      </w:pPr>
      <w:r>
        <w:t xml:space="preserve">Também são estatísticas crosswalk de</w:t>
      </w:r>
      <w:r>
        <w:t xml:space="preserve"> </w:t>
      </w:r>
      <w:r>
        <w:rPr>
          <w:bCs/>
          <w:b/>
        </w:rPr>
        <w:t xml:space="preserve">Computer Occupations, All Other</w:t>
      </w:r>
      <w:r>
        <w:t xml:space="preserve">.</w:t>
      </w:r>
    </w:p>
    <w:bookmarkEnd w:id="52"/>
    <w:bookmarkEnd w:id="53"/>
    <w:bookmarkStart w:id="54" w:name="contexto-atual-não-governamental-dos-eua"/>
    <w:p>
      <w:pPr>
        <w:pStyle w:val="Heading2"/>
      </w:pPr>
      <w:r>
        <w:t xml:space="preserve">Contexto atual não governamental dos EUA</w:t>
      </w:r>
    </w:p>
    <w:p>
      <w:pPr>
        <w:pStyle w:val="FirstParagraph"/>
      </w:pPr>
      <w:r>
        <w:t xml:space="preserve">Indeed para</w:t>
      </w:r>
      <w:r>
        <w:t xml:space="preserve"> </w:t>
      </w:r>
      <w:r>
        <w:rPr>
          <w:bCs/>
          <w:b/>
        </w:rPr>
        <w:t xml:space="preserve">IT Project Coordinator</w:t>
      </w:r>
      <w:r>
        <w:t xml:space="preserve"> </w:t>
      </w:r>
      <w:r>
        <w:t xml:space="preserve">mostra aproximadamente:</w:t>
      </w:r>
    </w:p>
    <w:p>
      <w:pPr>
        <w:numPr>
          <w:ilvl w:val="0"/>
          <w:numId w:val="1007"/>
        </w:numPr>
        <w:pStyle w:val="Compact"/>
      </w:pPr>
      <w:r>
        <w:t xml:space="preserve">média</w:t>
      </w:r>
      <w:r>
        <w:t xml:space="preserve"> </w:t>
      </w:r>
      <w:r>
        <w:rPr>
          <w:bCs/>
          <w:b/>
        </w:rPr>
        <w:t xml:space="preserve">$68,763/ano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baixa</w:t>
      </w:r>
      <w:r>
        <w:t xml:space="preserve"> </w:t>
      </w:r>
      <w:r>
        <w:rPr>
          <w:bCs/>
          <w:b/>
        </w:rPr>
        <w:t xml:space="preserve">$45,903/ano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alta</w:t>
      </w:r>
      <w:r>
        <w:t xml:space="preserve"> </w:t>
      </w:r>
      <w:r>
        <w:rPr>
          <w:bCs/>
          <w:b/>
        </w:rPr>
        <w:t xml:space="preserve">$103,010/ano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162</w:t>
      </w:r>
      <w:r>
        <w:t xml:space="preserve"> </w:t>
      </w:r>
      <w:r>
        <w:t xml:space="preserve">observações;</w:t>
      </w:r>
    </w:p>
    <w:p>
      <w:pPr>
        <w:numPr>
          <w:ilvl w:val="0"/>
          <w:numId w:val="1007"/>
        </w:numPr>
        <w:pStyle w:val="Compact"/>
      </w:pPr>
      <w:r>
        <w:t xml:space="preserve">vagas dos</w:t>
      </w:r>
      <w:r>
        <w:t xml:space="preserve"> </w:t>
      </w:r>
      <w:r>
        <w:rPr>
          <w:bCs/>
          <w:b/>
        </w:rPr>
        <w:t xml:space="preserve">36 meses</w:t>
      </w:r>
      <w:r>
        <w:t xml:space="preserve"> </w:t>
      </w:r>
      <w:r>
        <w:t xml:space="preserve">anteriores;</w:t>
      </w:r>
    </w:p>
    <w:p>
      <w:pPr>
        <w:numPr>
          <w:ilvl w:val="0"/>
          <w:numId w:val="1007"/>
        </w:numPr>
        <w:pStyle w:val="Compact"/>
      </w:pPr>
      <w:r>
        <w:t xml:space="preserve">página principal atualizada em</w:t>
      </w:r>
      <w:r>
        <w:t xml:space="preserve"> </w:t>
      </w:r>
      <w:r>
        <w:rPr>
          <w:bCs/>
          <w:b/>
        </w:rPr>
        <w:t xml:space="preserve">8 de agosto de 2026</w:t>
      </w:r>
      <w:r>
        <w:t xml:space="preserve">.</w:t>
      </w:r>
    </w:p>
    <w:p>
      <w:pPr>
        <w:pStyle w:val="FirstParagraph"/>
      </w:pPr>
      <w:r>
        <w:t xml:space="preserve">A FAQ pode exibir outra amostra/faixa após refresh. Use o conjunto coerente da página principal apenas como estimativa de mercado não governamental e mutável.</w:t>
      </w:r>
    </w:p>
    <w:bookmarkEnd w:id="54"/>
    <w:bookmarkStart w:id="55" w:name="formação-e-aprendizagem--eua"/>
    <w:p>
      <w:pPr>
        <w:pStyle w:val="Heading2"/>
      </w:pPr>
      <w:r>
        <w:t xml:space="preserve">Formação e aprendizagem — EUA</w:t>
      </w:r>
    </w:p>
    <w:p>
      <w:pPr>
        <w:pStyle w:val="FirstParagraph"/>
      </w:pPr>
      <w:r>
        <w:t xml:space="preserve">O*NET lista títulos de Registered Apprenticeship</w:t>
      </w:r>
      <w:r>
        <w:t xml:space="preserve"> </w:t>
      </w:r>
      <w:r>
        <w:rPr>
          <w:bCs/>
          <w:b/>
        </w:rPr>
        <w:t xml:space="preserve">IT Project Manager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IT Project Manager (Nof)</w:t>
      </w:r>
      <w:r>
        <w:t xml:space="preserve">. Isso não garante vaga local.</w:t>
      </w:r>
    </w:p>
    <w:p>
      <w:pPr>
        <w:pStyle w:val="BodyText"/>
      </w:pPr>
      <w:r>
        <w:t xml:space="preserve">CareerOneStop/American Job Centers podem ajudar a investigar WIOA; Apprenticeship.gov permite buscar oportunidades ativas. Elegibilidade, financiamento e disponibilidade variam.</w:t>
      </w:r>
    </w:p>
    <w:bookmarkEnd w:id="55"/>
    <w:bookmarkStart w:id="60" w:name="canadá"/>
    <w:p>
      <w:pPr>
        <w:pStyle w:val="Heading2"/>
      </w:pPr>
      <w:r>
        <w:t xml:space="preserve">Canadá</w:t>
      </w:r>
    </w:p>
    <w:p>
      <w:pPr>
        <w:pStyle w:val="FirstParagraph"/>
      </w:pPr>
      <w:r>
        <w:t xml:space="preserve">Job Bank mapeia diretamente</w:t>
      </w:r>
      <w:r>
        <w:t xml:space="preserve"> </w:t>
      </w:r>
      <w:r>
        <w:rPr>
          <w:bCs/>
          <w:b/>
        </w:rPr>
        <w:t xml:space="preserve">project coordinator - information technology (IT)</w:t>
      </w:r>
      <w:r>
        <w:t xml:space="preserve"> </w:t>
      </w:r>
      <w:r>
        <w:t xml:space="preserve">para</w:t>
      </w:r>
      <w:r>
        <w:t xml:space="preserve"> </w:t>
      </w:r>
      <w:r>
        <w:rPr>
          <w:bCs/>
          <w:b/>
        </w:rPr>
        <w:t xml:space="preserve">NOC 21222 — Information systems specialists</w:t>
      </w:r>
      <w:r>
        <w:t xml:space="preserve">.</w:t>
      </w:r>
    </w:p>
    <w:bookmarkStart w:id="56" w:name="salários-nacionais"/>
    <w:p>
      <w:pPr>
        <w:pStyle w:val="Heading3"/>
      </w:pPr>
      <w:r>
        <w:t xml:space="preserve">Salários nacionais</w:t>
      </w:r>
    </w:p>
    <w:p>
      <w:pPr>
        <w:numPr>
          <w:ilvl w:val="0"/>
          <w:numId w:val="1008"/>
        </w:numPr>
        <w:pStyle w:val="Compact"/>
      </w:pPr>
      <w:r>
        <w:t xml:space="preserve">baixa</w:t>
      </w:r>
      <w:r>
        <w:t xml:space="preserve"> </w:t>
      </w:r>
      <w:r>
        <w:rPr>
          <w:bCs/>
          <w:b/>
        </w:rPr>
        <w:t xml:space="preserve">C$28.85/hora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mediana</w:t>
      </w:r>
      <w:r>
        <w:t xml:space="preserve"> </w:t>
      </w:r>
      <w:r>
        <w:rPr>
          <w:bCs/>
          <w:b/>
        </w:rPr>
        <w:t xml:space="preserve">C$46.15/hora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alta</w:t>
      </w:r>
      <w:r>
        <w:t xml:space="preserve"> </w:t>
      </w:r>
      <w:r>
        <w:rPr>
          <w:bCs/>
          <w:b/>
        </w:rPr>
        <w:t xml:space="preserve">C$68.68/hora</w:t>
      </w:r>
      <w:r>
        <w:t xml:space="preserve">.</w:t>
      </w:r>
    </w:p>
    <w:bookmarkEnd w:id="56"/>
    <w:bookmarkStart w:id="57" w:name="perspectiva"/>
    <w:p>
      <w:pPr>
        <w:pStyle w:val="Heading3"/>
      </w:pPr>
      <w:r>
        <w:t xml:space="preserve">Perspectiva</w:t>
      </w:r>
    </w:p>
    <w:p>
      <w:pPr>
        <w:pStyle w:val="FirstParagraph"/>
      </w:pPr>
      <w:r>
        <w:t xml:space="preserve">Demanda e oferta nacionais 2024–2033 são esperadas amplamente em equilíbrio. A perspectiva de três anos varia por província/território.</w:t>
      </w:r>
    </w:p>
    <w:bookmarkEnd w:id="57"/>
    <w:bookmarkStart w:id="58" w:name="requisitos-típicos"/>
    <w:p>
      <w:pPr>
        <w:pStyle w:val="Heading3"/>
      </w:pPr>
      <w:r>
        <w:t xml:space="preserve">Requisitos típicos</w:t>
      </w:r>
    </w:p>
    <w:p>
      <w:pPr>
        <w:pStyle w:val="FirstParagraph"/>
      </w:pPr>
      <w:r>
        <w:t xml:space="preserve">Job Bank informa normalmente bachelor’s em computer science, computer systems engineering, software engineering, business administration ou área relacionada,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college program em computer science; experiência em programação costuma ser exigida, e alguns empregadores podem pedir certificação de TI relacionada.</w:t>
      </w:r>
    </w:p>
    <w:p>
      <w:pPr>
        <w:pStyle w:val="BodyText"/>
      </w:pPr>
      <w:r>
        <w:t xml:space="preserve">São requisitos do grupo ocupacional, não regra absoluta para toda vaga.</w:t>
      </w:r>
    </w:p>
    <w:bookmarkEnd w:id="58"/>
    <w:bookmarkStart w:id="59" w:name="regulação"/>
    <w:p>
      <w:pPr>
        <w:pStyle w:val="Heading3"/>
      </w:pPr>
      <w:r>
        <w:t xml:space="preserve">Regulação</w:t>
      </w:r>
    </w:p>
    <w:p>
      <w:pPr>
        <w:pStyle w:val="FirstParagraph"/>
      </w:pPr>
      <w:r>
        <w:t xml:space="preserve">Algumas designações profissionais associadas ao NOC 21222 são reguladas em certas províncias, como Information Systems Professionals (certified) em Alberta e Information Technology Professional em Saskatchewan. Isso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torna toda vaga de coordenador de TI regulada. Verifique título, funções e província.</w:t>
      </w:r>
    </w:p>
    <w:bookmarkEnd w:id="59"/>
    <w:bookmarkEnd w:id="60"/>
    <w:bookmarkStart w:id="63" w:name="colômbia"/>
    <w:p>
      <w:pPr>
        <w:pStyle w:val="Heading2"/>
      </w:pPr>
      <w:r>
        <w:t xml:space="preserve">Colômbia</w:t>
      </w:r>
    </w:p>
    <w:bookmarkStart w:id="61" w:name="cuoc-25190--principal"/>
    <w:p>
      <w:pPr>
        <w:pStyle w:val="Heading3"/>
      </w:pPr>
      <w:r>
        <w:t xml:space="preserve">CUOC 25190 — principal</w:t>
      </w:r>
    </w:p>
    <w:p>
      <w:pPr>
        <w:pStyle w:val="FirstParagraph"/>
      </w:pPr>
      <w:r>
        <w:rPr>
          <w:bCs/>
          <w:b/>
        </w:rPr>
        <w:t xml:space="preserve">CUOC 25190</w:t>
      </w:r>
      <w:r>
        <w:t xml:space="preserve"> </w:t>
      </w:r>
      <w:r>
        <w:t xml:space="preserve">inclui explicitamente</w:t>
      </w:r>
      <w:r>
        <w:t xml:space="preserve"> </w:t>
      </w:r>
      <w:r>
        <w:rPr>
          <w:bCs/>
          <w:b/>
        </w:rPr>
        <w:t xml:space="preserve">Coordinador de proyecto informático</w:t>
      </w:r>
      <w:r>
        <w:t xml:space="preserve">, com funções relacionadas a requisitos, proposta técnica, coordenação de implementação TIC, risco de solução e qualidade.</w:t>
      </w:r>
    </w:p>
    <w:p>
      <w:pPr>
        <w:pStyle w:val="BodyText"/>
      </w:pPr>
      <w:r>
        <w:t xml:space="preserve">OCUPACOL alerta que seus indicadores históricos de mercado não têm representatividade estatística; por isso o guia não apresenta a faixa salarial exibida como salário nacional representativo.</w:t>
      </w:r>
    </w:p>
    <w:bookmarkEnd w:id="61"/>
    <w:bookmarkStart w:id="62" w:name="cuoc-25110--adjacente"/>
    <w:p>
      <w:pPr>
        <w:pStyle w:val="Heading3"/>
      </w:pPr>
      <w:r>
        <w:t xml:space="preserve">CUOC 25110 — adjacente</w:t>
      </w:r>
    </w:p>
    <w:p>
      <w:pPr>
        <w:pStyle w:val="FirstParagraph"/>
      </w:pPr>
      <w:r>
        <w:t xml:space="preserve">Inclui</w:t>
      </w:r>
      <w:r>
        <w:t xml:space="preserve"> </w:t>
      </w:r>
      <w:r>
        <w:rPr>
          <w:bCs/>
          <w:b/>
        </w:rPr>
        <w:t xml:space="preserve">Analista de proyecto TI (Tecnologías de la Información)</w:t>
      </w:r>
      <w:r>
        <w:t xml:space="preserve"> </w:t>
      </w:r>
      <w:r>
        <w:t xml:space="preserve">e pode ser relevante para funções fortemente focadas em requisitos/análise.</w:t>
      </w:r>
    </w:p>
    <w:bookmarkEnd w:id="62"/>
    <w:bookmarkEnd w:id="63"/>
    <w:bookmarkStart w:id="66" w:name="sena--habilidades-de-projetos"/>
    <w:p>
      <w:pPr>
        <w:pStyle w:val="Heading2"/>
      </w:pPr>
      <w:r>
        <w:t xml:space="preserve">SENA — habilidades de projetos</w:t>
      </w:r>
    </w:p>
    <w:bookmarkStart w:id="64" w:name="formulación-de-proyectos-en-mi-profesión"/>
    <w:p>
      <w:pPr>
        <w:pStyle w:val="Heading3"/>
      </w:pPr>
      <w:r>
        <w:t xml:space="preserve">Formulación de Proyectos en mi Profesión</w:t>
      </w:r>
    </w:p>
    <w:p>
      <w:pPr>
        <w:numPr>
          <w:ilvl w:val="0"/>
          <w:numId w:val="1009"/>
        </w:numPr>
        <w:pStyle w:val="Compact"/>
      </w:pPr>
      <w:r>
        <w:t xml:space="preserve">formação complementar;</w:t>
      </w:r>
    </w:p>
    <w:p>
      <w:pPr>
        <w:numPr>
          <w:ilvl w:val="0"/>
          <w:numId w:val="1009"/>
        </w:numPr>
        <w:pStyle w:val="Compact"/>
      </w:pPr>
      <w:r>
        <w:t xml:space="preserve">material de 2026 mostra</w:t>
      </w:r>
      <w:r>
        <w:t xml:space="preserve"> </w:t>
      </w:r>
      <w:r>
        <w:rPr>
          <w:bCs/>
          <w:b/>
        </w:rPr>
        <w:t xml:space="preserve">40 horas</w:t>
      </w:r>
      <w:r>
        <w:t xml:space="preserve"> </w:t>
      </w:r>
      <w:r>
        <w:t xml:space="preserve">em ofertas virtuais relevantes;</w:t>
      </w:r>
    </w:p>
    <w:p>
      <w:pPr>
        <w:numPr>
          <w:ilvl w:val="0"/>
          <w:numId w:val="1009"/>
        </w:numPr>
        <w:pStyle w:val="Compact"/>
      </w:pPr>
      <w:r>
        <w:t xml:space="preserve">problemas/objetivos, fases, requisitos e conceitos de financiamento/lançamento.</w:t>
      </w:r>
    </w:p>
    <w:bookmarkEnd w:id="64"/>
    <w:bookmarkStart w:id="65" w:name="formulación-y-evaluación-de-proyectos"/>
    <w:p>
      <w:pPr>
        <w:pStyle w:val="Heading3"/>
      </w:pPr>
      <w:r>
        <w:t xml:space="preserve">Formulación y Evaluación de Proyectos</w:t>
      </w:r>
    </w:p>
    <w:p>
      <w:pPr>
        <w:numPr>
          <w:ilvl w:val="0"/>
          <w:numId w:val="1010"/>
        </w:numPr>
        <w:pStyle w:val="Compact"/>
      </w:pPr>
      <w:r>
        <w:t xml:space="preserve">complementar;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48 horas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t xml:space="preserve">Curso especial;</w:t>
      </w:r>
    </w:p>
    <w:p>
      <w:pPr>
        <w:numPr>
          <w:ilvl w:val="0"/>
          <w:numId w:val="1010"/>
        </w:numPr>
        <w:pStyle w:val="Compact"/>
      </w:pPr>
      <w:r>
        <w:t xml:space="preserve">formulação com métodos/técnicas de pesquisa.</w:t>
      </w:r>
    </w:p>
    <w:p>
      <w:pPr>
        <w:pStyle w:val="FirstParagraph"/>
      </w:pPr>
      <w:r>
        <w:t xml:space="preserve">São caminhos complementares, não equivalentes a graduação ou certificação profissional em project management.</w:t>
      </w:r>
    </w:p>
    <w:bookmarkEnd w:id="65"/>
    <w:bookmarkEnd w:id="66"/>
    <w:bookmarkStart w:id="67" w:name="américa-latina-e-caribe"/>
    <w:p>
      <w:pPr>
        <w:pStyle w:val="Heading2"/>
      </w:pPr>
      <w:r>
        <w:t xml:space="preserve">América Latina e Caribe</w:t>
      </w:r>
    </w:p>
    <w:p>
      <w:pPr>
        <w:pStyle w:val="FirstParagraph"/>
      </w:pPr>
      <w:r>
        <w:t xml:space="preserve">OIT/Cinterfor ajuda a localizar instituições nacionais de formação profissional. Verifique programa, custo, modalidade, reconhecimento e financiamento.</w:t>
      </w:r>
    </w:p>
    <w:bookmarkEnd w:id="67"/>
    <w:bookmarkStart w:id="68" w:name="portfólio-seguro"/>
    <w:p>
      <w:pPr>
        <w:pStyle w:val="Heading2"/>
      </w:pPr>
      <w:r>
        <w:t xml:space="preserve">Portfólio seguro</w:t>
      </w:r>
    </w:p>
    <w:p>
      <w:pPr>
        <w:pStyle w:val="FirstParagraph"/>
      </w:pPr>
      <w:r>
        <w:t xml:space="preserve">Use cenários públicos ou sintéticos. Crie charter, stakeholder map, plano de marcos, RAID, action/decision log, change request, status report, rastreabilidade, checklist de release e lessons learned.</w:t>
      </w:r>
    </w:p>
    <w:p>
      <w:pPr>
        <w:pStyle w:val="BodyText"/>
      </w:pPr>
      <w:r>
        <w:t xml:space="preserve">Não publique roadmaps, contratos, credenciais, dados de clientes, arquitetura interna, incidentes ou evidência confidencial de empregador.</w:t>
      </w:r>
    </w:p>
    <w:bookmarkEnd w:id="68"/>
    <w:bookmarkStart w:id="73" w:name="plano-inicial-de-quatro-semanas"/>
    <w:p>
      <w:pPr>
        <w:pStyle w:val="Heading2"/>
      </w:pPr>
      <w:r>
        <w:t xml:space="preserve">Plano inicial de quatro semanas</w:t>
      </w:r>
    </w:p>
    <w:bookmarkStart w:id="69" w:name="semana-1"/>
    <w:p>
      <w:pPr>
        <w:pStyle w:val="Heading3"/>
      </w:pPr>
      <w:r>
        <w:t xml:space="preserve">Semana 1</w:t>
      </w:r>
    </w:p>
    <w:p>
      <w:pPr>
        <w:pStyle w:val="FirstParagraph"/>
      </w:pPr>
      <w:r>
        <w:t xml:space="preserve">Charter sintético com objetivo, escopo, entregáveis, premissas, restrições e stakeholders.</w:t>
      </w:r>
    </w:p>
    <w:bookmarkEnd w:id="69"/>
    <w:bookmarkStart w:id="70" w:name="semana-2"/>
    <w:p>
      <w:pPr>
        <w:pStyle w:val="Heading3"/>
      </w:pPr>
      <w:r>
        <w:t xml:space="preserve">Semana 2</w:t>
      </w:r>
    </w:p>
    <w:p>
      <w:pPr>
        <w:pStyle w:val="FirstParagraph"/>
      </w:pPr>
      <w:r>
        <w:t xml:space="preserve">Plano de marcos/dependências e RAID com responsáveis/datas.</w:t>
      </w:r>
    </w:p>
    <w:bookmarkEnd w:id="70"/>
    <w:bookmarkStart w:id="71" w:name="semana-3"/>
    <w:p>
      <w:pPr>
        <w:pStyle w:val="Heading3"/>
      </w:pPr>
      <w:r>
        <w:t xml:space="preserve">Semana 3</w:t>
      </w:r>
    </w:p>
    <w:p>
      <w:pPr>
        <w:pStyle w:val="FirstParagraph"/>
      </w:pPr>
      <w:r>
        <w:t xml:space="preserve">Atas, action/decision log, change request e status baseado em evidências.</w:t>
      </w:r>
    </w:p>
    <w:bookmarkEnd w:id="71"/>
    <w:bookmarkStart w:id="72" w:name="semana-4"/>
    <w:p>
      <w:pPr>
        <w:pStyle w:val="Heading3"/>
      </w:pPr>
      <w:r>
        <w:t xml:space="preserve">Semana 4</w:t>
      </w:r>
    </w:p>
    <w:p>
      <w:pPr>
        <w:pStyle w:val="FirstParagraph"/>
      </w:pPr>
      <w:r>
        <w:t xml:space="preserve">Rastreabilidade requisitos/aceitação, checkpoints de segurança/privacidade/acessibilidade, release readiness e README.</w:t>
      </w:r>
    </w:p>
    <w:bookmarkEnd w:id="72"/>
    <w:bookmarkEnd w:id="73"/>
    <w:bookmarkStart w:id="74" w:name="títulos-para-busca"/>
    <w:p>
      <w:pPr>
        <w:pStyle w:val="Heading2"/>
      </w:pPr>
      <w:r>
        <w:t xml:space="preserve">Títulos para busca</w:t>
      </w:r>
    </w:p>
    <w:p>
      <w:pPr>
        <w:numPr>
          <w:ilvl w:val="0"/>
          <w:numId w:val="1011"/>
        </w:numPr>
        <w:pStyle w:val="Compact"/>
      </w:pPr>
      <w:r>
        <w:t xml:space="preserve">IT Project Coordinator;</w:t>
      </w:r>
    </w:p>
    <w:p>
      <w:pPr>
        <w:numPr>
          <w:ilvl w:val="0"/>
          <w:numId w:val="1011"/>
        </w:numPr>
        <w:pStyle w:val="Compact"/>
      </w:pPr>
      <w:r>
        <w:t xml:space="preserve">Technology Project Coordinator;</w:t>
      </w:r>
    </w:p>
    <w:p>
      <w:pPr>
        <w:numPr>
          <w:ilvl w:val="0"/>
          <w:numId w:val="1011"/>
        </w:numPr>
        <w:pStyle w:val="Compact"/>
      </w:pPr>
      <w:r>
        <w:t xml:space="preserve">Technical Project Coordinator;</w:t>
      </w:r>
    </w:p>
    <w:p>
      <w:pPr>
        <w:numPr>
          <w:ilvl w:val="0"/>
          <w:numId w:val="1011"/>
        </w:numPr>
        <w:pStyle w:val="Compact"/>
      </w:pPr>
      <w:r>
        <w:t xml:space="preserve">Project Coordinator — Information Technology;</w:t>
      </w:r>
    </w:p>
    <w:p>
      <w:pPr>
        <w:numPr>
          <w:ilvl w:val="0"/>
          <w:numId w:val="1011"/>
        </w:numPr>
        <w:pStyle w:val="Compact"/>
      </w:pPr>
      <w:r>
        <w:t xml:space="preserve">PMO Coordinator;</w:t>
      </w:r>
    </w:p>
    <w:p>
      <w:pPr>
        <w:numPr>
          <w:ilvl w:val="0"/>
          <w:numId w:val="1011"/>
        </w:numPr>
        <w:pStyle w:val="Compact"/>
      </w:pPr>
      <w:r>
        <w:t xml:space="preserve">IT PMO Analyst;</w:t>
      </w:r>
    </w:p>
    <w:p>
      <w:pPr>
        <w:numPr>
          <w:ilvl w:val="0"/>
          <w:numId w:val="1011"/>
        </w:numPr>
        <w:pStyle w:val="Compact"/>
      </w:pPr>
      <w:r>
        <w:t xml:space="preserve">Project Analyst — IT;</w:t>
      </w:r>
    </w:p>
    <w:p>
      <w:pPr>
        <w:numPr>
          <w:ilvl w:val="0"/>
          <w:numId w:val="1011"/>
        </w:numPr>
        <w:pStyle w:val="Compact"/>
      </w:pPr>
      <w:r>
        <w:t xml:space="preserve">Implementation Coordinator;</w:t>
      </w:r>
    </w:p>
    <w:p>
      <w:pPr>
        <w:numPr>
          <w:ilvl w:val="0"/>
          <w:numId w:val="1011"/>
        </w:numPr>
        <w:pStyle w:val="Compact"/>
      </w:pPr>
      <w:r>
        <w:t xml:space="preserve">Technology Program Coordinator;</w:t>
      </w:r>
    </w:p>
    <w:p>
      <w:pPr>
        <w:numPr>
          <w:ilvl w:val="0"/>
          <w:numId w:val="1011"/>
        </w:numPr>
        <w:pStyle w:val="Compact"/>
      </w:pPr>
      <w:r>
        <w:t xml:space="preserve">Junior IT Project Manager;</w:t>
      </w:r>
    </w:p>
    <w:p>
      <w:pPr>
        <w:numPr>
          <w:ilvl w:val="0"/>
          <w:numId w:val="1011"/>
        </w:numPr>
        <w:pStyle w:val="Compact"/>
      </w:pPr>
      <w:r>
        <w:t xml:space="preserve">Delivery Coordinator;</w:t>
      </w:r>
    </w:p>
    <w:p>
      <w:pPr>
        <w:numPr>
          <w:ilvl w:val="0"/>
          <w:numId w:val="1011"/>
        </w:numPr>
        <w:pStyle w:val="Compact"/>
      </w:pPr>
      <w:r>
        <w:t xml:space="preserve">Release Coordinator.</w:t>
      </w:r>
    </w:p>
    <w:bookmarkEnd w:id="74"/>
    <w:bookmarkStart w:id="75" w:name="perguntas-antes-de-aceitar-a-vaga"/>
    <w:p>
      <w:pPr>
        <w:pStyle w:val="Heading2"/>
      </w:pPr>
      <w:r>
        <w:t xml:space="preserve">Perguntas antes de aceitar a vaga</w:t>
      </w:r>
    </w:p>
    <w:p>
      <w:pPr>
        <w:pStyle w:val="FirstParagraph"/>
      </w:pPr>
      <w:r>
        <w:t xml:space="preserve">Pergunte quais decisões o coordenador pode tomar, quem possui escopo/orçamento/cronograma, método de entrega, sistema autoritativo, owner de requisitos/aceitação, escalonamento, autoridade de mudança/release, revisões de segurança/privacidade/acessibilidade, fornecedores, quantidade de workstreams, suporte fora do horário e diferença interna entre coordenador e project manager.</w:t>
      </w:r>
    </w:p>
    <w:bookmarkEnd w:id="75"/>
    <w:bookmarkStart w:id="101" w:name="fontes-e-links-de-verificação"/>
    <w:p>
      <w:pPr>
        <w:pStyle w:val="Heading2"/>
      </w:pPr>
      <w:r>
        <w:t xml:space="preserve">Fontes e links de verificação</w:t>
      </w:r>
    </w:p>
    <w:bookmarkStart w:id="82" w:name="estados-unidos"/>
    <w:p>
      <w:pPr>
        <w:pStyle w:val="Heading3"/>
      </w:pPr>
      <w:r>
        <w:t xml:space="preserve">Estados Unidos</w:t>
      </w:r>
    </w:p>
    <w:p>
      <w:pPr>
        <w:numPr>
          <w:ilvl w:val="0"/>
          <w:numId w:val="1012"/>
        </w:numPr>
        <w:pStyle w:val="Compact"/>
      </w:pPr>
      <w:r>
        <w:t xml:space="preserve">O*NET:</w:t>
      </w:r>
      <w:r>
        <w:t xml:space="preserve"> </w:t>
      </w:r>
      <w:hyperlink r:id="rId76">
        <w:hyperlink r:id="rId7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2"/>
        </w:numPr>
        <w:pStyle w:val="Compact"/>
      </w:pPr>
      <w:r>
        <w:t xml:space="preserve">O*NET tendências:</w:t>
      </w:r>
      <w:r>
        <w:t xml:space="preserve"> </w:t>
      </w:r>
      <w:hyperlink r:id="rId77">
        <w:hyperlink r:id="rId7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2"/>
        </w:numPr>
        <w:pStyle w:val="Compact"/>
      </w:pPr>
      <w:r>
        <w:t xml:space="preserve">O*NET tecnologia:</w:t>
      </w:r>
      <w:r>
        <w:t xml:space="preserve"> </w:t>
      </w:r>
      <w:hyperlink r:id="rId78">
        <w:hyperlink r:id="rId7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2"/>
        </w:numPr>
        <w:pStyle w:val="Compact"/>
      </w:pPr>
      <w:r>
        <w:t xml:space="preserve">CareerOneStop WIOA:</w:t>
      </w:r>
      <w:r>
        <w:t xml:space="preserve"> </w:t>
      </w:r>
      <w:hyperlink r:id="rId79">
        <w:hyperlink r:id="rId7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2"/>
        </w:numPr>
        <w:pStyle w:val="Compact"/>
      </w:pPr>
      <w:r>
        <w:t xml:space="preserve">Apprenticeship.gov:</w:t>
      </w:r>
      <w:r>
        <w:t xml:space="preserve"> </w:t>
      </w:r>
      <w:hyperlink r:id="rId80">
        <w:r>
          <w:rPr>
            <w:rStyle w:val="Hyperlink"/>
          </w:rPr>
          <w:t xml:space="preserve">https://www.apprenticeship.gov/</w:t>
        </w:r>
      </w:hyperlink>
    </w:p>
    <w:p>
      <w:pPr>
        <w:numPr>
          <w:ilvl w:val="0"/>
          <w:numId w:val="1012"/>
        </w:numPr>
        <w:pStyle w:val="Compact"/>
      </w:pPr>
      <w:r>
        <w:t xml:space="preserve">Indeed IT Project Coordinator:</w:t>
      </w:r>
      <w:r>
        <w:t xml:space="preserve"> </w:t>
      </w:r>
      <w:hyperlink r:id="rId81">
        <w:hyperlink r:id="rId81">
          <w:r>
            <w:rPr>
              <w:rStyle w:val="Hyperlink"/>
            </w:rPr>
            <w:t xml:space="preserve">Source link</w:t>
          </w:r>
        </w:hyperlink>
      </w:hyperlink>
    </w:p>
    <w:bookmarkEnd w:id="82"/>
    <w:bookmarkStart w:id="88" w:name="canadá-1"/>
    <w:p>
      <w:pPr>
        <w:pStyle w:val="Heading3"/>
      </w:pPr>
      <w:r>
        <w:t xml:space="preserve">Canadá</w:t>
      </w:r>
    </w:p>
    <w:p>
      <w:pPr>
        <w:numPr>
          <w:ilvl w:val="0"/>
          <w:numId w:val="1013"/>
        </w:numPr>
        <w:pStyle w:val="Compact"/>
      </w:pPr>
      <w:r>
        <w:t xml:space="preserve">Job Bank resumo:</w:t>
      </w:r>
      <w:r>
        <w:t xml:space="preserve"> </w:t>
      </w:r>
      <w:hyperlink r:id="rId83">
        <w:hyperlink r:id="rId8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3"/>
        </w:numPr>
        <w:pStyle w:val="Compact"/>
      </w:pPr>
      <w:r>
        <w:t xml:space="preserve">Job Bank salários:</w:t>
      </w:r>
      <w:r>
        <w:t xml:space="preserve"> </w:t>
      </w:r>
      <w:hyperlink r:id="rId84">
        <w:hyperlink r:id="rId84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3"/>
        </w:numPr>
        <w:pStyle w:val="Compact"/>
      </w:pPr>
      <w:r>
        <w:t xml:space="preserve">Job Bank requisitos:</w:t>
      </w:r>
      <w:r>
        <w:t xml:space="preserve"> </w:t>
      </w:r>
      <w:hyperlink r:id="rId85">
        <w:hyperlink r:id="rId8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3"/>
        </w:numPr>
        <w:pStyle w:val="Compact"/>
      </w:pPr>
      <w:r>
        <w:t xml:space="preserve">Job Bank perspectiva:</w:t>
      </w:r>
      <w:r>
        <w:t xml:space="preserve"> </w:t>
      </w:r>
      <w:hyperlink r:id="rId86">
        <w:hyperlink r:id="rId8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3"/>
        </w:numPr>
        <w:pStyle w:val="Compact"/>
      </w:pPr>
      <w:r>
        <w:t xml:space="preserve">Canada training:</w:t>
      </w:r>
      <w:r>
        <w:t xml:space="preserve"> </w:t>
      </w:r>
      <w:hyperlink r:id="rId87">
        <w:hyperlink r:id="rId87">
          <w:r>
            <w:rPr>
              <w:rStyle w:val="Hyperlink"/>
            </w:rPr>
            <w:t xml:space="preserve">Source link</w:t>
          </w:r>
        </w:hyperlink>
      </w:hyperlink>
    </w:p>
    <w:bookmarkEnd w:id="88"/>
    <w:bookmarkStart w:id="93" w:name="colômbia-1"/>
    <w:p>
      <w:pPr>
        <w:pStyle w:val="Heading3"/>
      </w:pPr>
      <w:r>
        <w:t xml:space="preserve">Colômbia</w:t>
      </w:r>
    </w:p>
    <w:p>
      <w:pPr>
        <w:numPr>
          <w:ilvl w:val="0"/>
          <w:numId w:val="1014"/>
        </w:numPr>
        <w:pStyle w:val="Compact"/>
      </w:pPr>
      <w:r>
        <w:t xml:space="preserve">OCUPACOL 25190:</w:t>
      </w:r>
      <w:r>
        <w:t xml:space="preserve"> </w:t>
      </w:r>
      <w:hyperlink r:id="rId89">
        <w:hyperlink r:id="rId8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4"/>
        </w:numPr>
        <w:pStyle w:val="Compact"/>
      </w:pPr>
      <w:r>
        <w:t xml:space="preserve">OCUPACOL 25110:</w:t>
      </w:r>
      <w:r>
        <w:t xml:space="preserve"> </w:t>
      </w:r>
      <w:hyperlink r:id="rId90">
        <w:hyperlink r:id="rId9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4"/>
        </w:numPr>
        <w:pStyle w:val="Compact"/>
      </w:pPr>
      <w:r>
        <w:t xml:space="preserve">SENA Formulación de Proyectos en mi Profesión:</w:t>
      </w:r>
      <w:r>
        <w:t xml:space="preserve"> </w:t>
      </w:r>
      <w:hyperlink r:id="rId91">
        <w:hyperlink r:id="rId9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4"/>
        </w:numPr>
        <w:pStyle w:val="Compact"/>
      </w:pPr>
      <w:r>
        <w:t xml:space="preserve">SENA Formulación y Evaluación:</w:t>
      </w:r>
      <w:r>
        <w:t xml:space="preserve"> </w:t>
      </w:r>
      <w:hyperlink r:id="rId92">
        <w:hyperlink r:id="rId92">
          <w:r>
            <w:rPr>
              <w:rStyle w:val="Hyperlink"/>
            </w:rPr>
            <w:t xml:space="preserve">Source link</w:t>
          </w:r>
        </w:hyperlink>
      </w:hyperlink>
    </w:p>
    <w:bookmarkEnd w:id="93"/>
    <w:bookmarkStart w:id="100" w:name="regional-segurança-ia-e-acessibilidade"/>
    <w:p>
      <w:pPr>
        <w:pStyle w:val="Heading3"/>
      </w:pPr>
      <w:r>
        <w:t xml:space="preserve">Regional, segurança, IA e acessibilidade</w:t>
      </w:r>
    </w:p>
    <w:p>
      <w:pPr>
        <w:numPr>
          <w:ilvl w:val="0"/>
          <w:numId w:val="1015"/>
        </w:numPr>
        <w:pStyle w:val="Compact"/>
      </w:pPr>
      <w:r>
        <w:t xml:space="preserve">OIT/Cinterfor:</w:t>
      </w:r>
      <w:r>
        <w:t xml:space="preserve"> </w:t>
      </w:r>
      <w:hyperlink r:id="rId94">
        <w:r>
          <w:rPr>
            <w:rStyle w:val="Hyperlink"/>
          </w:rPr>
          <w:t xml:space="preserve">https://www.oitcinterfor.org/statsfp/paises</w:t>
        </w:r>
      </w:hyperlink>
    </w:p>
    <w:p>
      <w:pPr>
        <w:numPr>
          <w:ilvl w:val="0"/>
          <w:numId w:val="1015"/>
        </w:numPr>
        <w:pStyle w:val="Compact"/>
      </w:pPr>
      <w:r>
        <w:t xml:space="preserve">NIST CSF:</w:t>
      </w:r>
      <w:r>
        <w:t xml:space="preserve"> </w:t>
      </w:r>
      <w:hyperlink r:id="rId95">
        <w:r>
          <w:rPr>
            <w:rStyle w:val="Hyperlink"/>
          </w:rPr>
          <w:t xml:space="preserve">https://www.nist.gov/cyberframework</w:t>
        </w:r>
      </w:hyperlink>
    </w:p>
    <w:p>
      <w:pPr>
        <w:numPr>
          <w:ilvl w:val="0"/>
          <w:numId w:val="1015"/>
        </w:numPr>
        <w:pStyle w:val="Compact"/>
      </w:pPr>
      <w:r>
        <w:t xml:space="preserve">NIST Privacy Framework:</w:t>
      </w:r>
      <w:r>
        <w:t xml:space="preserve"> </w:t>
      </w:r>
      <w:hyperlink r:id="rId96">
        <w:r>
          <w:rPr>
            <w:rStyle w:val="Hyperlink"/>
          </w:rPr>
          <w:t xml:space="preserve">https://www.nist.gov/privacy-framework</w:t>
        </w:r>
      </w:hyperlink>
    </w:p>
    <w:p>
      <w:pPr>
        <w:numPr>
          <w:ilvl w:val="0"/>
          <w:numId w:val="1015"/>
        </w:numPr>
        <w:pStyle w:val="Compact"/>
      </w:pPr>
      <w:r>
        <w:t xml:space="preserve">NIST AI RMF:</w:t>
      </w:r>
      <w:r>
        <w:t xml:space="preserve"> </w:t>
      </w:r>
      <w:hyperlink r:id="rId97">
        <w:hyperlink r:id="rId9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r>
        <w:t xml:space="preserve">Section 508:</w:t>
      </w:r>
      <w:r>
        <w:t xml:space="preserve"> </w:t>
      </w:r>
      <w:hyperlink r:id="rId98">
        <w:r>
          <w:rPr>
            <w:rStyle w:val="Hyperlink"/>
          </w:rPr>
          <w:t xml:space="preserve">https://www.section508.gov/create/</w:t>
        </w:r>
      </w:hyperlink>
    </w:p>
    <w:p>
      <w:pPr>
        <w:numPr>
          <w:ilvl w:val="0"/>
          <w:numId w:val="1015"/>
        </w:numPr>
        <w:pStyle w:val="Compact"/>
      </w:pPr>
      <w:r>
        <w:t xml:space="preserve">WCAG 2.2:</w:t>
      </w:r>
      <w:r>
        <w:t xml:space="preserve"> </w:t>
      </w:r>
      <w:hyperlink r:id="rId99">
        <w:r>
          <w:rPr>
            <w:rStyle w:val="Hyperlink"/>
          </w:rPr>
          <w:t xml:space="preserve">https://www.w3.org/TR/WCAG22/</w:t>
        </w:r>
      </w:hyperlink>
    </w:p>
    <w:bookmarkEnd w:id="100"/>
    <w:bookmarkEnd w:id="101"/>
    <w:bookmarkStart w:id="102" w:name="aviso-importante"/>
    <w:p>
      <w:pPr>
        <w:pStyle w:val="Heading2"/>
      </w:pPr>
      <w:r>
        <w:t xml:space="preserve">Aviso importante</w:t>
      </w:r>
    </w:p>
    <w:p>
      <w:pPr>
        <w:pStyle w:val="FirstParagraph"/>
      </w:pPr>
      <w:r>
        <w:t xml:space="preserve">Este guia oferece informação geral de carreira e educação. Não garante emprego, renda, admissão, financiamento, apprenticeship, certificação, promoção nem resultado do projeto. Mapeamentos ocupacionais podem não ser equivalências exatas.</w:t>
      </w:r>
    </w:p>
    <w:p>
      <w:pPr>
        <w:pStyle w:val="BodyText"/>
      </w:pPr>
      <w:r>
        <w:t xml:space="preserve">Os dados oficiais de salários/emprego dos EUA mostrados estão</w:t>
      </w:r>
      <w:r>
        <w:t xml:space="preserve"> </w:t>
      </w:r>
      <w:r>
        <w:rPr>
          <w:bCs/>
          <w:b/>
        </w:rPr>
        <w:t xml:space="preserve">crosswalked a partir de Computer Occupations, All Other</w:t>
      </w:r>
      <w:r>
        <w:t xml:space="preserve">, e não constituem população estatística pura de Coordenador de Projeto de TI.</w:t>
      </w:r>
    </w:p>
    <w:p>
      <w:pPr>
        <w:pStyle w:val="BodyText"/>
      </w:pPr>
      <w:r>
        <w:t xml:space="preserve">Não se declara certificação humana independente, revisão jurídica/de segurança/privacidade/acessibilidade, certificação profissional de project management, acreditação ou tradução certificada.</w:t>
      </w:r>
    </w:p>
    <w:bookmarkEnd w:id="102"/>
    <w:bookmarkStart w:id="103" w:name="autor-e-assistência-de-ia"/>
    <w:p>
      <w:pPr>
        <w:pStyle w:val="Heading2"/>
      </w:pPr>
      <w:r>
        <w:t xml:space="preserve">Autor e assistência de IA</w:t>
      </w:r>
    </w:p>
    <w:p>
      <w:pPr>
        <w:pStyle w:val="FirstParagraph"/>
      </w:pPr>
      <w:r>
        <w:t xml:space="preserve">Criado e dirigido por</w:t>
      </w:r>
      <w:r>
        <w:t xml:space="preserve"> </w:t>
      </w:r>
      <w:r>
        <w:rPr>
          <w:bCs/>
          <w:b/>
        </w:rPr>
        <w:t xml:space="preserve">Alberto “Al” Leiva</w:t>
      </w:r>
      <w:r>
        <w:t xml:space="preserve">. O ChatGPT apoiou pesquisa, organização, edição, tradução e preparação documental sob direção do autor. O autor mantém responsabilidade editorial e de publicação.</w:t>
      </w:r>
    </w:p>
    <w:bookmarkEnd w:id="103"/>
    <w:bookmarkStart w:id="104" w:name="licença"/>
    <w:p>
      <w:pPr>
        <w:pStyle w:val="Heading2"/>
      </w:pPr>
      <w:r>
        <w:t xml:space="preserve">Licença</w:t>
      </w:r>
    </w:p>
    <w:p>
      <w:pPr>
        <w:pStyle w:val="FirstParagraph"/>
      </w:pPr>
      <w:r>
        <w:t xml:space="preserve">Salvo indicação em contrário, este material é licenciado sob</w:t>
      </w:r>
      <w:r>
        <w:t xml:space="preserve"> </w:t>
      </w:r>
      <w:r>
        <w:rPr>
          <w:bCs/>
          <w:b/>
        </w:rPr>
        <w:t xml:space="preserve">CC BY-NC-SA 4.0</w:t>
      </w:r>
      <w:r>
        <w:t xml:space="preserve">.</w:t>
      </w:r>
    </w:p>
    <w:bookmarkEnd w:id="104"/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1" Target="https://betowa.sena.edu.co/oferta/formulacion-de-proyectos-en-mi-profesion?offertype=company&amp;programId=6653&amp;modality=V" TargetMode="External" /><Relationship Type="http://schemas.openxmlformats.org/officeDocument/2006/relationships/hyperlink" Id="rId92" Target="https://betowa.sena.edu.co/oferta/formulacion-y-evaluacion-de-proyectos?programId=144816" TargetMode="External" /><Relationship Type="http://schemas.openxmlformats.org/officeDocument/2006/relationships/hyperlink" Id="rId90" Target="https://ocupacol.mintrabajo.gov.co/Profile/OccupationalProfile/25110" TargetMode="External" /><Relationship Type="http://schemas.openxmlformats.org/officeDocument/2006/relationships/hyperlink" Id="rId89" Target="https://ocupacol.mintrabajo.gov.co/Profile/OccupationalProfile/25190" TargetMode="External" /><Relationship Type="http://schemas.openxmlformats.org/officeDocument/2006/relationships/hyperlink" Id="rId80" Target="https://www.apprenticeship.gov/" TargetMode="External" /><Relationship Type="http://schemas.openxmlformats.org/officeDocument/2006/relationships/hyperlink" Id="rId87" Target="https://www.canada.ca/en/services/jobs/training.html" TargetMode="External" /><Relationship Type="http://schemas.openxmlformats.org/officeDocument/2006/relationships/hyperlink" Id="rId79" Target="https://www.careeronestop.org/LocalHelp/EmploymentAndTraining/find-WIOA-training-programs.aspx" TargetMode="External" /><Relationship Type="http://schemas.openxmlformats.org/officeDocument/2006/relationships/hyperlink" Id="rId81" Target="https://www.indeed.com/career/it-project-coordinator/salaries" TargetMode="External" /><Relationship Type="http://schemas.openxmlformats.org/officeDocument/2006/relationships/hyperlink" Id="rId86" Target="https://www.jobbank.gc.ca/marketreport/outlook-occupation/297771/ca" TargetMode="External" /><Relationship Type="http://schemas.openxmlformats.org/officeDocument/2006/relationships/hyperlink" Id="rId85" Target="https://www.jobbank.gc.ca/marketreport/requirements/297771/ca" TargetMode="External" /><Relationship Type="http://schemas.openxmlformats.org/officeDocument/2006/relationships/hyperlink" Id="rId83" Target="https://www.jobbank.gc.ca/marketreport/summary-occupation/297771/ca" TargetMode="External" /><Relationship Type="http://schemas.openxmlformats.org/officeDocument/2006/relationships/hyperlink" Id="rId84" Target="https://www.jobbank.gc.ca/marketreport/wages-occupation/297771/ca" TargetMode="External" /><Relationship Type="http://schemas.openxmlformats.org/officeDocument/2006/relationships/hyperlink" Id="rId95" Target="https://www.nist.gov/cyberframework" TargetMode="External" /><Relationship Type="http://schemas.openxmlformats.org/officeDocument/2006/relationships/hyperlink" Id="rId97" Target="https://www.nist.gov/itl/ai-risk-management-framework" TargetMode="External" /><Relationship Type="http://schemas.openxmlformats.org/officeDocument/2006/relationships/hyperlink" Id="rId96" Target="https://www.nist.gov/privacy-framework" TargetMode="External" /><Relationship Type="http://schemas.openxmlformats.org/officeDocument/2006/relationships/hyperlink" Id="rId94" Target="https://www.oitcinterfor.org/statsfp/paises" TargetMode="External" /><Relationship Type="http://schemas.openxmlformats.org/officeDocument/2006/relationships/hyperlink" Id="rId78" Target="https://www.onetonline.org/link/demand/15-1299.09" TargetMode="External" /><Relationship Type="http://schemas.openxmlformats.org/officeDocument/2006/relationships/hyperlink" Id="rId76" Target="https://www.onetonline.org/link/details/15-1299.09" TargetMode="External" /><Relationship Type="http://schemas.openxmlformats.org/officeDocument/2006/relationships/hyperlink" Id="rId77" Target="https://www.onetonline.org/link/localtrends/15-1299.09" TargetMode="External" /><Relationship Type="http://schemas.openxmlformats.org/officeDocument/2006/relationships/hyperlink" Id="rId98" Target="https://www.section508.gov/create/" TargetMode="External" /><Relationship Type="http://schemas.openxmlformats.org/officeDocument/2006/relationships/hyperlink" Id="rId99" Target="https://www.w3.org/TR/WCAG2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betowa.sena.edu.co/oferta/formulacion-de-proyectos-en-mi-profesion?offertype=company&amp;programId=6653&amp;modality=V" TargetMode="External" /><Relationship Type="http://schemas.openxmlformats.org/officeDocument/2006/relationships/hyperlink" Id="rId92" Target="https://betowa.sena.edu.co/oferta/formulacion-y-evaluacion-de-proyectos?programId=144816" TargetMode="External" /><Relationship Type="http://schemas.openxmlformats.org/officeDocument/2006/relationships/hyperlink" Id="rId90" Target="https://ocupacol.mintrabajo.gov.co/Profile/OccupationalProfile/25110" TargetMode="External" /><Relationship Type="http://schemas.openxmlformats.org/officeDocument/2006/relationships/hyperlink" Id="rId89" Target="https://ocupacol.mintrabajo.gov.co/Profile/OccupationalProfile/25190" TargetMode="External" /><Relationship Type="http://schemas.openxmlformats.org/officeDocument/2006/relationships/hyperlink" Id="rId80" Target="https://www.apprenticeship.gov/" TargetMode="External" /><Relationship Type="http://schemas.openxmlformats.org/officeDocument/2006/relationships/hyperlink" Id="rId87" Target="https://www.canada.ca/en/services/jobs/training.html" TargetMode="External" /><Relationship Type="http://schemas.openxmlformats.org/officeDocument/2006/relationships/hyperlink" Id="rId79" Target="https://www.careeronestop.org/LocalHelp/EmploymentAndTraining/find-WIOA-training-programs.aspx" TargetMode="External" /><Relationship Type="http://schemas.openxmlformats.org/officeDocument/2006/relationships/hyperlink" Id="rId81" Target="https://www.indeed.com/career/it-project-coordinator/salaries" TargetMode="External" /><Relationship Type="http://schemas.openxmlformats.org/officeDocument/2006/relationships/hyperlink" Id="rId86" Target="https://www.jobbank.gc.ca/marketreport/outlook-occupation/297771/ca" TargetMode="External" /><Relationship Type="http://schemas.openxmlformats.org/officeDocument/2006/relationships/hyperlink" Id="rId85" Target="https://www.jobbank.gc.ca/marketreport/requirements/297771/ca" TargetMode="External" /><Relationship Type="http://schemas.openxmlformats.org/officeDocument/2006/relationships/hyperlink" Id="rId83" Target="https://www.jobbank.gc.ca/marketreport/summary-occupation/297771/ca" TargetMode="External" /><Relationship Type="http://schemas.openxmlformats.org/officeDocument/2006/relationships/hyperlink" Id="rId84" Target="https://www.jobbank.gc.ca/marketreport/wages-occupation/297771/ca" TargetMode="External" /><Relationship Type="http://schemas.openxmlformats.org/officeDocument/2006/relationships/hyperlink" Id="rId95" Target="https://www.nist.gov/cyberframework" TargetMode="External" /><Relationship Type="http://schemas.openxmlformats.org/officeDocument/2006/relationships/hyperlink" Id="rId97" Target="https://www.nist.gov/itl/ai-risk-management-framework" TargetMode="External" /><Relationship Type="http://schemas.openxmlformats.org/officeDocument/2006/relationships/hyperlink" Id="rId96" Target="https://www.nist.gov/privacy-framework" TargetMode="External" /><Relationship Type="http://schemas.openxmlformats.org/officeDocument/2006/relationships/hyperlink" Id="rId94" Target="https://www.oitcinterfor.org/statsfp/paises" TargetMode="External" /><Relationship Type="http://schemas.openxmlformats.org/officeDocument/2006/relationships/hyperlink" Id="rId78" Target="https://www.onetonline.org/link/demand/15-1299.09" TargetMode="External" /><Relationship Type="http://schemas.openxmlformats.org/officeDocument/2006/relationships/hyperlink" Id="rId76" Target="https://www.onetonline.org/link/details/15-1299.09" TargetMode="External" /><Relationship Type="http://schemas.openxmlformats.org/officeDocument/2006/relationships/hyperlink" Id="rId77" Target="https://www.onetonline.org/link/localtrends/15-1299.09" TargetMode="External" /><Relationship Type="http://schemas.openxmlformats.org/officeDocument/2006/relationships/hyperlink" Id="rId98" Target="https://www.section508.gov/create/" TargetMode="External" /><Relationship Type="http://schemas.openxmlformats.org/officeDocument/2006/relationships/hyperlink" Id="rId99" Target="https://www.w3.org/TR/WCAG2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2026-08-22T07:53:07Z</dcterms:created>
  <dcterms:modified xsi:type="dcterms:W3CDTF">2026-08-22T07:53:07Z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