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CÓMO CREAR UN PROGRAMA DE CONTINUIDAD DEL NEGOCIO Y RECUPERACIÓN ANTE DESASTRES</w:t>
      </w:r>
    </w:p>
    <w:p>
      <w:pPr>
        <w:jc w:val="center"/>
      </w:pPr>
      <w:r>
        <w:rPr>
          <w:i/>
          <w:sz w:val="28"/>
        </w:rPr>
        <w:t>Guía práctica de análisis de impacto, estrategias de recuperación, gestión de crisis, resiliencia cibernética, pruebas y mejora continua</w:t>
      </w:r>
    </w:p>
    <w:p/>
    <w:p>
      <w:pPr>
        <w:jc w:val="center"/>
      </w:pPr>
      <w:r>
        <w:rPr>
          <w:b/>
          <w:sz w:val="26"/>
        </w:rPr>
        <w:t>Alberto (Al) Leiva</w:t>
      </w:r>
    </w:p>
    <w:p>
      <w:pPr>
        <w:jc w:val="center"/>
      </w:pPr>
      <w:r>
        <w:t>Versión 1.0 - Julio de 2026</w:t>
      </w:r>
    </w:p>
    <w:p>
      <w:pPr>
        <w:jc w:val="center"/>
      </w:pPr>
      <w:r>
        <w:rPr>
          <w:i/>
        </w:rPr>
        <w:t>CC BY-NC-SA 4.0</w:t>
      </w:r>
    </w:p>
    <w:p>
      <w:r>
        <w:br w:type="page"/>
      </w:r>
    </w:p>
    <w:p>
      <w:pPr>
        <w:pStyle w:val="Heading1"/>
      </w:pPr>
      <w:r>
        <w:t>Propósito y aviso de uso responsable</w:t>
      </w:r>
    </w:p>
    <w:p>
      <w:r>
        <w:t>Este manual ayuda a las organizaciones a prepararse para interrupciones mientras protegen a las personas, los servicios críticos, los datos, las instalaciones, la tecnología, los proveedores y la confianza pública. Las decisiones de continuidad y recuperación deben basarse en impactos documentados, seguridad humana, obligaciones legales y capacidades reales.</w:t>
      </w:r>
    </w:p>
    <w:p>
      <w:pPr>
        <w:pStyle w:val="Heading1"/>
      </w:pPr>
      <w:r>
        <w:t>Tabla de contenido</w:t>
      </w:r>
    </w:p>
    <w:p>
      <w:pPr>
        <w:pStyle w:val="ListBullet"/>
      </w:pPr>
      <w:r>
        <w:t>1. Continuidad, recuperación y resiliencia cibernética</w:t>
      </w:r>
    </w:p>
    <w:p>
      <w:pPr>
        <w:pStyle w:val="ListBullet"/>
      </w:pPr>
      <w:r>
        <w:t>2. Gobierno, política y responsabilidades</w:t>
      </w:r>
    </w:p>
    <w:p>
      <w:pPr>
        <w:pStyle w:val="ListBullet"/>
      </w:pPr>
      <w:r>
        <w:t>3. Alcance e inventario de servicios críticos</w:t>
      </w:r>
    </w:p>
    <w:p>
      <w:pPr>
        <w:pStyle w:val="ListBullet"/>
      </w:pPr>
      <w:r>
        <w:t>4. Análisis de impacto al negocio</w:t>
      </w:r>
    </w:p>
    <w:p>
      <w:pPr>
        <w:pStyle w:val="ListBullet"/>
      </w:pPr>
      <w:r>
        <w:t>5. Evaluación de riesgos y escenarios</w:t>
      </w:r>
    </w:p>
    <w:p>
      <w:pPr>
        <w:pStyle w:val="ListBullet"/>
      </w:pPr>
      <w:r>
        <w:t>6. Objetivos MTPD, RTO, RPO y WRT</w:t>
      </w:r>
    </w:p>
    <w:p>
      <w:pPr>
        <w:pStyle w:val="ListBullet"/>
      </w:pPr>
      <w:r>
        <w:t>7. Estrategias de continuidad y recuperación</w:t>
      </w:r>
    </w:p>
    <w:p>
      <w:pPr>
        <w:pStyle w:val="ListBullet"/>
      </w:pPr>
      <w:r>
        <w:t>8. Recuperación tecnológica</w:t>
      </w:r>
    </w:p>
    <w:p>
      <w:pPr>
        <w:pStyle w:val="ListBullet"/>
      </w:pPr>
      <w:r>
        <w:t>9. Copias de seguridad y restauración</w:t>
      </w:r>
    </w:p>
    <w:p>
      <w:pPr>
        <w:pStyle w:val="ListBullet"/>
      </w:pPr>
      <w:r>
        <w:t>10. Resiliencia de nube y SaaS</w:t>
      </w:r>
    </w:p>
    <w:p>
      <w:pPr>
        <w:pStyle w:val="ListBullet"/>
      </w:pPr>
      <w:r>
        <w:t>11. Recuperación de incidentes y ransomware</w:t>
      </w:r>
    </w:p>
    <w:p>
      <w:pPr>
        <w:pStyle w:val="ListBullet"/>
      </w:pPr>
      <w:r>
        <w:t>12. Gestión de crisis y comunicaciones</w:t>
      </w:r>
    </w:p>
    <w:p>
      <w:pPr>
        <w:pStyle w:val="ListBullet"/>
      </w:pPr>
      <w:r>
        <w:t>13. Personal, instalaciones y trabajo alternativo</w:t>
      </w:r>
    </w:p>
    <w:p>
      <w:pPr>
        <w:pStyle w:val="ListBullet"/>
      </w:pPr>
      <w:r>
        <w:t>14. Continuidad de proveedores</w:t>
      </w:r>
    </w:p>
    <w:p>
      <w:pPr>
        <w:pStyle w:val="ListBullet"/>
      </w:pPr>
      <w:r>
        <w:t>15. Desarrollo y documentación de planes</w:t>
      </w:r>
    </w:p>
    <w:p>
      <w:pPr>
        <w:pStyle w:val="ListBullet"/>
      </w:pPr>
      <w:r>
        <w:t>16. Pruebas, ejercicios y validación</w:t>
      </w:r>
    </w:p>
    <w:p>
      <w:pPr>
        <w:pStyle w:val="ListBullet"/>
      </w:pPr>
      <w:r>
        <w:t>17. Métricas, evidencia y revisión directiva</w:t>
      </w:r>
    </w:p>
    <w:p>
      <w:pPr>
        <w:pStyle w:val="ListBullet"/>
      </w:pPr>
      <w:r>
        <w:t>18. Mantenimiento y mejora continua</w:t>
      </w:r>
    </w:p>
    <w:p>
      <w:pPr>
        <w:pStyle w:val="ListBullet"/>
      </w:pPr>
      <w:r>
        <w:t>19. Hoja de ruta de 30, 60 y 90 días</w:t>
      </w:r>
    </w:p>
    <w:p>
      <w:pPr>
        <w:pStyle w:val="ListBullet"/>
      </w:pPr>
      <w:r>
        <w:t>20. Listas, plantillas, glosario y referencias</w:t>
      </w:r>
    </w:p>
    <w:p>
      <w:r>
        <w:br w:type="page"/>
      </w:r>
    </w:p>
    <w:p>
      <w:pPr>
        <w:pStyle w:val="Heading1"/>
      </w:pPr>
      <w:r>
        <w:t>1. Continuidad, recuperación y resiliencia cibernética</w:t>
      </w:r>
    </w:p>
    <w:p>
      <w:pPr>
        <w:pStyle w:val="ListBullet"/>
      </w:pPr>
      <w:r>
        <w:t>La continuidad mantiene productos y servicios prioritarios en un nivel aceptable durante una interrupción.</w:t>
      </w:r>
    </w:p>
    <w:p>
      <w:pPr>
        <w:pStyle w:val="ListBullet"/>
      </w:pPr>
      <w:r>
        <w:t>La recuperación ante desastres restaura tecnología, datos, aplicaciones, infraestructura y servicios de apoyo.</w:t>
      </w:r>
    </w:p>
    <w:p>
      <w:pPr>
        <w:pStyle w:val="ListBullet"/>
      </w:pPr>
      <w:r>
        <w:t>La gestión de crisis coordina decisiones, seguridad, comunicaciones, obligaciones legales y partes interesadas.</w:t>
      </w:r>
    </w:p>
    <w:p>
      <w:pPr>
        <w:pStyle w:val="ListBullet"/>
      </w:pPr>
      <w:r>
        <w:t>La resiliencia cibernética ayuda a anticipar, resistir, recuperar y adaptarse a condiciones adversas.</w:t>
      </w:r>
    </w:p>
    <w:p>
      <w:pPr>
        <w:pStyle w:val="ListBullet"/>
      </w:pPr>
      <w:r>
        <w:t>Estas disciplinas deben funcionar de manera integrada.</w:t>
      </w:r>
    </w:p>
    <w:p>
      <w:pPr>
        <w:pStyle w:val="Heading1"/>
      </w:pPr>
      <w:r>
        <w:t>2. Gobierno, política y responsabilidades</w:t>
      </w:r>
    </w:p>
    <w:p>
      <w:pPr>
        <w:pStyle w:val="ListBullet"/>
      </w:pPr>
      <w:r>
        <w:t>Asigne patrocinador ejecutivo y propietario del programa.</w:t>
      </w:r>
    </w:p>
    <w:p>
      <w:pPr>
        <w:pStyle w:val="ListBullet"/>
      </w:pPr>
      <w:r>
        <w:t>Defina funciones para negocio, TI, ciberseguridad, instalaciones, recursos humanos, asuntos legales, privacidad, comunicaciones, compras, finanzas y proveedores.</w:t>
      </w:r>
    </w:p>
    <w:p>
      <w:pPr>
        <w:pStyle w:val="ListBullet"/>
      </w:pPr>
      <w:r>
        <w:t>Apruebe una política con alcance, objetivos, requisitos, frecuencia de pruebas, informes, excepciones y revisión.</w:t>
      </w:r>
    </w:p>
    <w:p>
      <w:pPr>
        <w:pStyle w:val="ListBullet"/>
      </w:pPr>
      <w:r>
        <w:t>Defina quién puede declarar crisis, activar planes, aprobar gastos, comunicar y volver a la normalidad.</w:t>
      </w:r>
    </w:p>
    <w:p>
      <w:pPr>
        <w:pStyle w:val="ListBullet"/>
      </w:pPr>
      <w:r>
        <w:t>Registre aceptación de riesgo y brechas.</w:t>
      </w:r>
    </w:p>
    <w:p>
      <w:pPr>
        <w:pStyle w:val="Heading1"/>
      </w:pPr>
      <w:r>
        <w:t>3. Alcance e inventario de servicios críticos</w:t>
      </w:r>
    </w:p>
    <w:p>
      <w:pPr>
        <w:pStyle w:val="ListBullet"/>
      </w:pPr>
      <w:r>
        <w:t>Inventarie productos, servicios, procesos, aplicaciones, datos, instalaciones, personas, equipos, servicios públicos, proveedores y compromisos regulatorios.</w:t>
      </w:r>
    </w:p>
    <w:p>
      <w:pPr>
        <w:pStyle w:val="ListBullet"/>
      </w:pPr>
      <w:r>
        <w:t>Mapee dependencias y puntos únicos de falla.</w:t>
      </w:r>
    </w:p>
    <w:p>
      <w:pPr>
        <w:pStyle w:val="ListBullet"/>
      </w:pPr>
      <w:r>
        <w:t>Identifique niveles mínimos de servicio y degradación aceptable.</w:t>
      </w:r>
    </w:p>
    <w:p>
      <w:pPr>
        <w:pStyle w:val="ListBullet"/>
      </w:pPr>
      <w:r>
        <w:t>Separe servicios verdaderamente críticos de actividades que pueden esperar.</w:t>
      </w:r>
    </w:p>
    <w:p>
      <w:pPr>
        <w:pStyle w:val="ListBullet"/>
      </w:pPr>
      <w:r>
        <w:t>Asigne propietario y fecha de revisión.</w:t>
      </w:r>
    </w:p>
    <w:p>
      <w:pPr>
        <w:pStyle w:val="Heading1"/>
      </w:pPr>
      <w:r>
        <w:t>4. Análisis de impacto al negocio</w:t>
      </w:r>
    </w:p>
    <w:p>
      <w:pPr>
        <w:pStyle w:val="ListBullet"/>
      </w:pPr>
      <w:r>
        <w:t>Entreviste propietarios y valide con finanzas, tecnología, operaciones y dirección.</w:t>
      </w:r>
    </w:p>
    <w:p>
      <w:pPr>
        <w:pStyle w:val="ListBullet"/>
      </w:pPr>
      <w:r>
        <w:t>Evalúe impactos en el tiempo: seguridad, clientes, legales, financieros, operacionales, reputación, ambiente y sociedad.</w:t>
      </w:r>
    </w:p>
    <w:p>
      <w:pPr>
        <w:pStyle w:val="ListBullet"/>
      </w:pPr>
      <w:r>
        <w:t>Documente períodos críticos, fechas límite, alternativas manuales, dependencias, registros, personal y secuencia.</w:t>
      </w:r>
    </w:p>
    <w:p>
      <w:pPr>
        <w:pStyle w:val="ListBullet"/>
      </w:pPr>
      <w:r>
        <w:t>Use datos cuantitativos cuando existan y explique incertidumbre.</w:t>
      </w:r>
    </w:p>
    <w:p>
      <w:pPr>
        <w:pStyle w:val="ListBullet"/>
      </w:pPr>
      <w:r>
        <w:t>Actualice después de cambios importantes.</w:t>
      </w:r>
    </w:p>
    <w:p>
      <w:pPr>
        <w:pStyle w:val="Heading1"/>
      </w:pPr>
      <w:r>
        <w:t>5. Evaluación de riesgos y escenarios</w:t>
      </w:r>
    </w:p>
    <w:p>
      <w:pPr>
        <w:pStyle w:val="ListBullet"/>
      </w:pPr>
      <w:r>
        <w:t>Evalúe desastres naturales, fallas de servicios, pérdida de instalaciones, ausencia de personal, ciberataques, ransomware, corrupción de datos, proveedores, nube, telecomunicaciones, disturbios y salud pública.</w:t>
      </w:r>
    </w:p>
    <w:p>
      <w:pPr>
        <w:pStyle w:val="ListBullet"/>
      </w:pPr>
      <w:r>
        <w:t>Considere fallas simultáneas y en cascada.</w:t>
      </w:r>
    </w:p>
    <w:p>
      <w:pPr>
        <w:pStyle w:val="ListBullet"/>
      </w:pPr>
      <w:r>
        <w:t>Evalúe probabilidad, impacto, aviso, duración, concentración y complejidad.</w:t>
      </w:r>
    </w:p>
    <w:p>
      <w:pPr>
        <w:pStyle w:val="ListBullet"/>
      </w:pPr>
      <w:r>
        <w:t>Use escenarios para probar estrategias.</w:t>
      </w:r>
    </w:p>
    <w:p>
      <w:pPr>
        <w:pStyle w:val="ListBullet"/>
      </w:pPr>
      <w:r>
        <w:t>No suponga que el seguro reemplaza la capacidad de recuperación.</w:t>
      </w:r>
    </w:p>
    <w:p>
      <w:pPr>
        <w:pStyle w:val="Heading1"/>
      </w:pPr>
      <w:r>
        <w:t>6. Objetivos MTPD, RTO, RPO y WRT</w:t>
      </w:r>
    </w:p>
    <w:p>
      <w:pPr>
        <w:pStyle w:val="ListBullet"/>
      </w:pPr>
      <w:r>
        <w:t>El período máximo tolerable de interrupción es el límite antes de consecuencias inaceptables.</w:t>
      </w:r>
    </w:p>
    <w:p>
      <w:pPr>
        <w:pStyle w:val="ListBullet"/>
      </w:pPr>
      <w:r>
        <w:t>El RTO es el tiempo objetivo para restaurar.</w:t>
      </w:r>
    </w:p>
    <w:p>
      <w:pPr>
        <w:pStyle w:val="ListBullet"/>
      </w:pPr>
      <w:r>
        <w:t>El RPO es la pérdida máxima aceptable de datos medida en tiempo.</w:t>
      </w:r>
    </w:p>
    <w:p>
      <w:pPr>
        <w:pStyle w:val="ListBullet"/>
      </w:pPr>
      <w:r>
        <w:t>El WRT cubre validación, conciliación, atraso y preparación después de restaurar tecnología.</w:t>
      </w:r>
    </w:p>
    <w:p>
      <w:pPr>
        <w:pStyle w:val="ListBullet"/>
      </w:pPr>
      <w:r>
        <w:t>Los objetivos deben ser aprobados y respaldados por capacidades probadas.</w:t>
      </w:r>
    </w:p>
    <w:p>
      <w:pPr>
        <w:pStyle w:val="Heading1"/>
      </w:pPr>
      <w:r>
        <w:t>7. Estrategias de continuidad y recuperación</w:t>
      </w:r>
    </w:p>
    <w:p>
      <w:pPr>
        <w:pStyle w:val="ListBullet"/>
      </w:pPr>
      <w:r>
        <w:t>Seleccione estrategias para personas, instalaciones, tecnología, datos, proveedores, comunicaciones, finanzas y liderazgo.</w:t>
      </w:r>
    </w:p>
    <w:p>
      <w:pPr>
        <w:pStyle w:val="ListBullet"/>
      </w:pPr>
      <w:r>
        <w:t>Las opciones incluyen trabajo remoto, sitios alternos, redundancia, procedimientos manuales, inventarios, capacitación cruzada, proveedores alternos y diversidad geográfica.</w:t>
      </w:r>
    </w:p>
    <w:p>
      <w:pPr>
        <w:pStyle w:val="ListBullet"/>
      </w:pPr>
      <w:r>
        <w:t>Compare costo, velocidad, capacidad, seguridad, complejidad y riesgo residual.</w:t>
      </w:r>
    </w:p>
    <w:p>
      <w:pPr>
        <w:pStyle w:val="ListBullet"/>
      </w:pPr>
      <w:r>
        <w:t>Documente prerrequisitos y condiciones de activación.</w:t>
      </w:r>
    </w:p>
    <w:p>
      <w:pPr>
        <w:pStyle w:val="ListBullet"/>
      </w:pPr>
      <w:r>
        <w:t>Una estrategia no es creíble hasta que esté financiada, implementada y probada.</w:t>
      </w:r>
    </w:p>
    <w:p>
      <w:pPr>
        <w:pStyle w:val="Heading1"/>
      </w:pPr>
      <w:r>
        <w:t>8. Recuperación tecnológica</w:t>
      </w:r>
    </w:p>
    <w:p>
      <w:pPr>
        <w:pStyle w:val="ListBullet"/>
      </w:pPr>
      <w:r>
        <w:t>Mapee aplicaciones con infraestructura, identidad, redes, bases, certificados, DNS, almacenamiento, integraciones y proveedores.</w:t>
      </w:r>
    </w:p>
    <w:p>
      <w:pPr>
        <w:pStyle w:val="ListBullet"/>
      </w:pPr>
      <w:r>
        <w:t>Documente orden de recuperación y dependencias.</w:t>
      </w:r>
    </w:p>
    <w:p>
      <w:pPr>
        <w:pStyle w:val="ListBullet"/>
      </w:pPr>
      <w:r>
        <w:t>Mantenga diagramas, procedimientos, configuraciones, licencias, credenciales, automatización y contactos.</w:t>
      </w:r>
    </w:p>
    <w:p>
      <w:pPr>
        <w:pStyle w:val="ListBullet"/>
      </w:pPr>
      <w:r>
        <w:t>Separe administración de producción y recuperación.</w:t>
      </w:r>
    </w:p>
    <w:p>
      <w:pPr>
        <w:pStyle w:val="ListBullet"/>
      </w:pPr>
      <w:r>
        <w:t>Pruebe failover, reconstrucción, restauración y retorno.</w:t>
      </w:r>
    </w:p>
    <w:p>
      <w:pPr>
        <w:pStyle w:val="ListBullet"/>
      </w:pPr>
      <w:r>
        <w:t>Defina criterios de recuperación completa.</w:t>
      </w:r>
    </w:p>
    <w:p>
      <w:pPr>
        <w:pStyle w:val="Heading1"/>
      </w:pPr>
      <w:r>
        <w:t>9. Copias de seguridad y restauración</w:t>
      </w:r>
    </w:p>
    <w:p>
      <w:pPr>
        <w:pStyle w:val="ListBullet"/>
      </w:pPr>
      <w:r>
        <w:t>Clasifique datos y alinee frecuencia con RPO.</w:t>
      </w:r>
    </w:p>
    <w:p>
      <w:pPr>
        <w:pStyle w:val="ListBullet"/>
      </w:pPr>
      <w:r>
        <w:t>Use varias copias protegidas y copias sin conexión o inmutables.</w:t>
      </w:r>
    </w:p>
    <w:p>
      <w:pPr>
        <w:pStyle w:val="ListBullet"/>
      </w:pPr>
      <w:r>
        <w:t>Separe credenciales e infraestructura de backup de las rutas de compromiso.</w:t>
      </w:r>
    </w:p>
    <w:p>
      <w:pPr>
        <w:pStyle w:val="ListBullet"/>
      </w:pPr>
      <w:r>
        <w:t>Cifre, monitoree fallas y pruebe restauración.</w:t>
      </w:r>
    </w:p>
    <w:p>
      <w:pPr>
        <w:pStyle w:val="ListBullet"/>
      </w:pPr>
      <w:r>
        <w:t>Proteja datos y configuraciones SaaS.</w:t>
      </w:r>
    </w:p>
    <w:p>
      <w:pPr>
        <w:pStyle w:val="ListBullet"/>
      </w:pPr>
      <w:r>
        <w:t>Documente retención y eliminación segura.</w:t>
      </w:r>
    </w:p>
    <w:p>
      <w:pPr>
        <w:pStyle w:val="Heading1"/>
      </w:pPr>
      <w:r>
        <w:t>10. Resiliencia de nube y SaaS</w:t>
      </w:r>
    </w:p>
    <w:p>
      <w:pPr>
        <w:pStyle w:val="ListBullet"/>
      </w:pPr>
      <w:r>
        <w:t>Comprenda responsabilidad compartida de disponibilidad, copias, identidad, configuración y recuperación.</w:t>
      </w:r>
    </w:p>
    <w:p>
      <w:pPr>
        <w:pStyle w:val="ListBullet"/>
      </w:pPr>
      <w:r>
        <w:t>Diseñe para fallas regionales, zonales, de cuenta y de identidad cuando corresponda.</w:t>
      </w:r>
    </w:p>
    <w:p>
      <w:pPr>
        <w:pStyle w:val="ListBullet"/>
      </w:pPr>
      <w:r>
        <w:t>Mantenga infraestructura como código y copias independientes.</w:t>
      </w:r>
    </w:p>
    <w:p>
      <w:pPr>
        <w:pStyle w:val="ListBullet"/>
      </w:pPr>
      <w:r>
        <w:t>Revise niveles de servicio, exclusiones, comunicación, exportación y salida.</w:t>
      </w:r>
    </w:p>
    <w:p>
      <w:pPr>
        <w:pStyle w:val="ListBullet"/>
      </w:pPr>
      <w:r>
        <w:t>Pruebe recuperación sin consola normal, proveedor de identidad o conexión.</w:t>
      </w:r>
    </w:p>
    <w:p>
      <w:pPr>
        <w:pStyle w:val="ListBullet"/>
      </w:pPr>
      <w:r>
        <w:t>Gestione concentración de proveedores.</w:t>
      </w:r>
    </w:p>
    <w:p>
      <w:pPr>
        <w:pStyle w:val="Heading1"/>
      </w:pPr>
      <w:r>
        <w:t>11. Recuperación de incidentes y ransomware</w:t>
      </w:r>
    </w:p>
    <w:p>
      <w:pPr>
        <w:pStyle w:val="ListBullet"/>
      </w:pPr>
      <w:r>
        <w:t>Integre continuidad, recuperación, respuesta, asuntos legales, privacidad, comunicaciones y dirección.</w:t>
      </w:r>
    </w:p>
    <w:p>
      <w:pPr>
        <w:pStyle w:val="ListBullet"/>
      </w:pPr>
      <w:r>
        <w:t>Suponga que identidad, virtualización, copias, monitoreo y comunicaciones pueden estar afectados.</w:t>
      </w:r>
    </w:p>
    <w:p>
      <w:pPr>
        <w:pStyle w:val="ListBullet"/>
      </w:pPr>
      <w:r>
        <w:t>Conserve evidencia mientras prioriza seguridad y restauración.</w:t>
      </w:r>
    </w:p>
    <w:p>
      <w:pPr>
        <w:pStyle w:val="ListBullet"/>
      </w:pPr>
      <w:r>
        <w:t>Restaure desde fuentes verificadas y valide antes de reconectar.</w:t>
      </w:r>
    </w:p>
    <w:p>
      <w:pPr>
        <w:pStyle w:val="ListBullet"/>
      </w:pPr>
      <w:r>
        <w:t>Prepare entornos aislados y credenciales limpias.</w:t>
      </w:r>
    </w:p>
    <w:p>
      <w:pPr>
        <w:pStyle w:val="ListBullet"/>
      </w:pPr>
      <w:r>
        <w:t>Ejercite decisiones sobre interrupción prolongada, extorsión, robo de datos y divulgación.</w:t>
      </w:r>
    </w:p>
    <w:p>
      <w:pPr>
        <w:pStyle w:val="Heading1"/>
      </w:pPr>
      <w:r>
        <w:t>12. Gestión de crisis y comunicaciones</w:t>
      </w:r>
    </w:p>
    <w:p>
      <w:pPr>
        <w:pStyle w:val="ListBullet"/>
      </w:pPr>
      <w:r>
        <w:t>Mantenga equipo de crisis, suplentes, contactos, registros de decisiones y escalamiento.</w:t>
      </w:r>
    </w:p>
    <w:p>
      <w:pPr>
        <w:pStyle w:val="ListBullet"/>
      </w:pPr>
      <w:r>
        <w:t>Prepare plantillas internas, para clientes, proveedores, reguladores, medios y público.</w:t>
      </w:r>
    </w:p>
    <w:p>
      <w:pPr>
        <w:pStyle w:val="ListBullet"/>
      </w:pPr>
      <w:r>
        <w:t>Use hechos verificados y explique lo conocido, desconocido y las acciones.</w:t>
      </w:r>
    </w:p>
    <w:p>
      <w:pPr>
        <w:pStyle w:val="ListBullet"/>
      </w:pPr>
      <w:r>
        <w:t>Ofrezca comunicaciones accesibles y multilingües.</w:t>
      </w:r>
    </w:p>
    <w:p>
      <w:pPr>
        <w:pStyle w:val="ListBullet"/>
      </w:pPr>
      <w:r>
        <w:t>Mantenga métodos fuera de banda.</w:t>
      </w:r>
    </w:p>
    <w:p>
      <w:pPr>
        <w:pStyle w:val="ListBullet"/>
      </w:pPr>
      <w:r>
        <w:t>Coordine con asuntos legales, privacidad, seguridad, operaciones y dirección.</w:t>
      </w:r>
    </w:p>
    <w:p>
      <w:pPr>
        <w:pStyle w:val="Heading1"/>
      </w:pPr>
      <w:r>
        <w:t>13. Personal, instalaciones y trabajo alternativo</w:t>
      </w:r>
    </w:p>
    <w:p>
      <w:pPr>
        <w:pStyle w:val="ListBullet"/>
      </w:pPr>
      <w:r>
        <w:t>Proteja la vida y la seguridad antes de restaurar servicios.</w:t>
      </w:r>
    </w:p>
    <w:p>
      <w:pPr>
        <w:pStyle w:val="ListBullet"/>
      </w:pPr>
      <w:r>
        <w:t>Planifique pérdida de oficinas, plantas, centros de datos, transporte, energía, agua y telecomunicaciones.</w:t>
      </w:r>
    </w:p>
    <w:p>
      <w:pPr>
        <w:pStyle w:val="ListBullet"/>
      </w:pPr>
      <w:r>
        <w:t>Identifique personal mínimo, sucesión, capacitación cruzada, viajes, trabajo remoto y adaptaciones.</w:t>
      </w:r>
    </w:p>
    <w:p>
      <w:pPr>
        <w:pStyle w:val="ListBullet"/>
      </w:pPr>
      <w:r>
        <w:t>Ofrezca procedimientos accesibles.</w:t>
      </w:r>
    </w:p>
    <w:p>
      <w:pPr>
        <w:pStyle w:val="ListBullet"/>
      </w:pPr>
      <w:r>
        <w:t>Proteja credenciales, equipos y suministros.</w:t>
      </w:r>
    </w:p>
    <w:p>
      <w:pPr>
        <w:pStyle w:val="ListBullet"/>
      </w:pPr>
      <w:r>
        <w:t>Considere fatiga, salud mental, familia y turnos sostenibles.</w:t>
      </w:r>
    </w:p>
    <w:p>
      <w:pPr>
        <w:pStyle w:val="Heading1"/>
      </w:pPr>
      <w:r>
        <w:t>14. Continuidad de proveedores</w:t>
      </w:r>
    </w:p>
    <w:p>
      <w:pPr>
        <w:pStyle w:val="ListBullet"/>
      </w:pPr>
      <w:r>
        <w:t>Identifique proveedores críticos, subcontratistas, logística, nube, telecomunicaciones, servicios públicos y soporte.</w:t>
      </w:r>
    </w:p>
    <w:p>
      <w:pPr>
        <w:pStyle w:val="ListBullet"/>
      </w:pPr>
      <w:r>
        <w:t>Revise planes, evidencia de pruebas, concentración y estabilidad.</w:t>
      </w:r>
    </w:p>
    <w:p>
      <w:pPr>
        <w:pStyle w:val="ListBullet"/>
      </w:pPr>
      <w:r>
        <w:t>Incluya notificación, recuperación, cooperación, devolución de datos, salida y pruebas en contratos.</w:t>
      </w:r>
    </w:p>
    <w:p>
      <w:pPr>
        <w:pStyle w:val="ListBullet"/>
      </w:pPr>
      <w:r>
        <w:t>Mantenga alternativas cuando sea práctico.</w:t>
      </w:r>
    </w:p>
    <w:p>
      <w:pPr>
        <w:pStyle w:val="ListBullet"/>
      </w:pPr>
      <w:r>
        <w:t>Ejercite interrupciones internas y externas simultáneas.</w:t>
      </w:r>
    </w:p>
    <w:p>
      <w:pPr>
        <w:pStyle w:val="Heading1"/>
      </w:pPr>
      <w:r>
        <w:t>15. Desarrollo y documentación de planes</w:t>
      </w:r>
    </w:p>
    <w:p>
      <w:pPr>
        <w:pStyle w:val="ListBullet"/>
      </w:pPr>
      <w:r>
        <w:t>Cree planes concisos de crisis, continuidad, recuperación TI, recuperación cibernética, comunicaciones, instalaciones y proveedores.</w:t>
      </w:r>
    </w:p>
    <w:p>
      <w:pPr>
        <w:pStyle w:val="ListBullet"/>
      </w:pPr>
      <w:r>
        <w:t>Incluya propósito, alcance, supuestos, activación, roles, contactos, acciones, dependencias, alternativas, pasos, validación y retorno.</w:t>
      </w:r>
    </w:p>
    <w:p>
      <w:pPr>
        <w:pStyle w:val="ListBullet"/>
      </w:pPr>
      <w:r>
        <w:t>Use listas y árboles de decisión.</w:t>
      </w:r>
    </w:p>
    <w:p>
      <w:pPr>
        <w:pStyle w:val="ListBullet"/>
      </w:pPr>
      <w:r>
        <w:t>Guarde copias protegidas en línea y fuera de línea.</w:t>
      </w:r>
    </w:p>
    <w:p>
      <w:pPr>
        <w:pStyle w:val="ListBullet"/>
      </w:pPr>
      <w:r>
        <w:t>Controle versiones y retire planes obsoletos.</w:t>
      </w:r>
    </w:p>
    <w:p>
      <w:pPr>
        <w:pStyle w:val="Heading1"/>
      </w:pPr>
      <w:r>
        <w:t>16. Pruebas, ejercicios y validación</w:t>
      </w:r>
    </w:p>
    <w:p>
      <w:pPr>
        <w:pStyle w:val="ListBullet"/>
      </w:pPr>
      <w:r>
        <w:t>Use revisiones, pruebas de llamadas, mesas de trabajo, restauración técnica, simulaciones, failover y ejercicios operacionales.</w:t>
      </w:r>
    </w:p>
    <w:p>
      <w:pPr>
        <w:pStyle w:val="ListBullet"/>
      </w:pPr>
      <w:r>
        <w:t>Pruebe personas, decisiones, tecnología, proveedores, comunicaciones, instalaciones y evidencia.</w:t>
      </w:r>
    </w:p>
    <w:p>
      <w:pPr>
        <w:pStyle w:val="ListBullet"/>
      </w:pPr>
      <w:r>
        <w:t>Defina objetivos, alcance, límites de seguridad, criterios, observadores y reversión.</w:t>
      </w:r>
    </w:p>
    <w:p>
      <w:pPr>
        <w:pStyle w:val="ListBullet"/>
      </w:pPr>
      <w:r>
        <w:t>Registre brechas, responsables, fechas y nueva prueba.</w:t>
      </w:r>
    </w:p>
    <w:p>
      <w:pPr>
        <w:pStyle w:val="ListBullet"/>
      </w:pPr>
      <w:r>
        <w:t>No afirme capacidad solo porque existe un plan.</w:t>
      </w:r>
    </w:p>
    <w:p>
      <w:pPr>
        <w:pStyle w:val="Heading1"/>
      </w:pPr>
      <w:r>
        <w:t>17. Métricas, evidencia y revisión directiva</w:t>
      </w:r>
    </w:p>
    <w:p>
      <w:pPr>
        <w:pStyle w:val="ListBullet"/>
      </w:pPr>
      <w:r>
        <w:t>Mida cobertura BIA, objetivos aprobados, vigencia de planes, ejercicios, restauración, brechas, fallas de copias, proveedores y capacitación.</w:t>
      </w:r>
    </w:p>
    <w:p>
      <w:pPr>
        <w:pStyle w:val="ListBullet"/>
      </w:pPr>
      <w:r>
        <w:t>Compare desempeño demostrado con RTO y RPO.</w:t>
      </w:r>
    </w:p>
    <w:p>
      <w:pPr>
        <w:pStyle w:val="ListBullet"/>
      </w:pPr>
      <w:r>
        <w:t>Informe supuestos y concentración.</w:t>
      </w:r>
    </w:p>
    <w:p>
      <w:pPr>
        <w:pStyle w:val="ListBullet"/>
      </w:pPr>
      <w:r>
        <w:t>Conserve políticas, BIA, planes, aprobaciones, ejercicios, restauración, lecciones, acciones y decisiones.</w:t>
      </w:r>
    </w:p>
    <w:p>
      <w:pPr>
        <w:pStyle w:val="ListBullet"/>
      </w:pPr>
      <w:r>
        <w:t>Use revisión directiva para aprobar prioridades, recursos y riesgo.</w:t>
      </w:r>
    </w:p>
    <w:p>
      <w:pPr>
        <w:pStyle w:val="Heading1"/>
      </w:pPr>
      <w:r>
        <w:t>18. Mantenimiento y mejora continua</w:t>
      </w:r>
    </w:p>
    <w:p>
      <w:pPr>
        <w:pStyle w:val="ListBullet"/>
      </w:pPr>
      <w:r>
        <w:t>Revise después de ejercicios, incidentes, reorganizaciones, adquisiciones, migraciones, cambios de proveedores y regulación.</w:t>
      </w:r>
    </w:p>
    <w:p>
      <w:pPr>
        <w:pStyle w:val="ListBullet"/>
      </w:pPr>
      <w:r>
        <w:t>Valide contactos y procedimientos.</w:t>
      </w:r>
    </w:p>
    <w:p>
      <w:pPr>
        <w:pStyle w:val="ListBullet"/>
      </w:pPr>
      <w:r>
        <w:t>Cierre acciones con evidencia.</w:t>
      </w:r>
    </w:p>
    <w:p>
      <w:pPr>
        <w:pStyle w:val="ListBullet"/>
      </w:pPr>
      <w:r>
        <w:t>Use lecciones sin culpar a personas.</w:t>
      </w:r>
    </w:p>
    <w:p>
      <w:pPr>
        <w:pStyle w:val="ListBullet"/>
      </w:pPr>
      <w:r>
        <w:t>Retire sistemas, dependencias, credenciales y documentos obsoletos.</w:t>
      </w:r>
    </w:p>
    <w:p>
      <w:pPr>
        <w:pStyle w:val="ListBullet"/>
      </w:pPr>
      <w:r>
        <w:t>Considere interrupciones relacionadas con el clima cuando sean relevantes.</w:t>
      </w:r>
    </w:p>
    <w:p>
      <w:pPr>
        <w:pStyle w:val="Heading1"/>
      </w:pPr>
      <w:r>
        <w:t>19. Hoja de ruta de 30, 60 y 90 días</w:t>
      </w:r>
    </w:p>
    <w:p>
      <w:pPr>
        <w:pStyle w:val="ListBullet"/>
      </w:pPr>
      <w:r>
        <w:t>Días 1 a 30: establecer gobierno, identificar servicios críticos, realizar BIA rápidos, validar contactos, revisar copias e identificar puntos únicos.</w:t>
      </w:r>
    </w:p>
    <w:p>
      <w:pPr>
        <w:pStyle w:val="ListBullet"/>
      </w:pPr>
      <w:r>
        <w:t>Días 31 a 60: aprobar objetivos, documentar estrategias, actualizar planes, establecer comunicaciones fuera de banda y revisar proveedores.</w:t>
      </w:r>
    </w:p>
    <w:p>
      <w:pPr>
        <w:pStyle w:val="ListBullet"/>
      </w:pPr>
      <w:r>
        <w:t>Días 61 a 90: realizar ejercicios, cerrar brechas, establecer métricas, automatizar recordatorios y completar revisión directiva.</w:t>
      </w:r>
    </w:p>
    <w:p>
      <w:pPr>
        <w:pStyle w:val="Heading1"/>
      </w:pPr>
      <w:r>
        <w:t>20. Listas, plantillas, glosario y referencias</w:t>
      </w:r>
    </w:p>
    <w:p>
      <w:pPr>
        <w:pStyle w:val="Heading2"/>
      </w:pPr>
      <w:r>
        <w:t>Lista de preparación</w:t>
      </w:r>
    </w:p>
    <w:p>
      <w:r>
        <w:rPr>
          <w:b/>
        </w:rPr>
        <w:t xml:space="preserve">☐ </w:t>
      </w:r>
      <w:r>
        <w:t>Patrocinador y propietario asignados</w:t>
      </w:r>
    </w:p>
    <w:p>
      <w:r>
        <w:rPr>
          <w:b/>
        </w:rPr>
        <w:t xml:space="preserve">☐ </w:t>
      </w:r>
      <w:r>
        <w:t>Servicios críticos y dependencias inventariados</w:t>
      </w:r>
    </w:p>
    <w:p>
      <w:r>
        <w:rPr>
          <w:b/>
        </w:rPr>
        <w:t xml:space="preserve">☐ </w:t>
      </w:r>
      <w:r>
        <w:t>Análisis de impacto aprobado</w:t>
      </w:r>
    </w:p>
    <w:p>
      <w:r>
        <w:rPr>
          <w:b/>
        </w:rPr>
        <w:t xml:space="preserve">☐ </w:t>
      </w:r>
      <w:r>
        <w:t>MTPD, RTO, RPO y WRT definidos</w:t>
      </w:r>
    </w:p>
    <w:p>
      <w:r>
        <w:rPr>
          <w:b/>
        </w:rPr>
        <w:t xml:space="preserve">☐ </w:t>
      </w:r>
      <w:r>
        <w:t>Estrategias financiadas e implementadas</w:t>
      </w:r>
    </w:p>
    <w:p>
      <w:r>
        <w:rPr>
          <w:b/>
        </w:rPr>
        <w:t xml:space="preserve">☐ </w:t>
      </w:r>
      <w:r>
        <w:t>Autoridad de crisis y comunicaciones documentadas</w:t>
      </w:r>
    </w:p>
    <w:p>
      <w:r>
        <w:rPr>
          <w:b/>
        </w:rPr>
        <w:t xml:space="preserve">☐ </w:t>
      </w:r>
      <w:r>
        <w:t>Secuencia de recuperación validada</w:t>
      </w:r>
    </w:p>
    <w:p>
      <w:r>
        <w:rPr>
          <w:b/>
        </w:rPr>
        <w:t xml:space="preserve">☐ </w:t>
      </w:r>
      <w:r>
        <w:t>Copias fuera de línea o inmutables protegidas</w:t>
      </w:r>
    </w:p>
    <w:p>
      <w:r>
        <w:rPr>
          <w:b/>
        </w:rPr>
        <w:t xml:space="preserve">☐ </w:t>
      </w:r>
      <w:r>
        <w:t>Dependencias de nube y proveedores evaluadas</w:t>
      </w:r>
    </w:p>
    <w:p>
      <w:r>
        <w:rPr>
          <w:b/>
        </w:rPr>
        <w:t xml:space="preserve">☐ </w:t>
      </w:r>
      <w:r>
        <w:t>Entorno de recuperación de ransomware preparado</w:t>
      </w:r>
    </w:p>
    <w:p>
      <w:r>
        <w:rPr>
          <w:b/>
        </w:rPr>
        <w:t xml:space="preserve">☐ </w:t>
      </w:r>
      <w:r>
        <w:t>Procedimientos accesibles y sitios alternos documentados</w:t>
      </w:r>
    </w:p>
    <w:p>
      <w:r>
        <w:rPr>
          <w:b/>
        </w:rPr>
        <w:t xml:space="preserve">☐ </w:t>
      </w:r>
      <w:r>
        <w:t>Planes almacenados en línea y fuera de línea</w:t>
      </w:r>
    </w:p>
    <w:p>
      <w:r>
        <w:rPr>
          <w:b/>
        </w:rPr>
        <w:t xml:space="preserve">☐ </w:t>
      </w:r>
      <w:r>
        <w:t>Ejercicios de mesa y restauración completados</w:t>
      </w:r>
    </w:p>
    <w:p>
      <w:r>
        <w:rPr>
          <w:b/>
        </w:rPr>
        <w:t xml:space="preserve">☐ </w:t>
      </w:r>
      <w:r>
        <w:t>Acciones correctivas cerradas</w:t>
      </w:r>
    </w:p>
    <w:p>
      <w:r>
        <w:rPr>
          <w:b/>
        </w:rPr>
        <w:t xml:space="preserve">☐ </w:t>
      </w:r>
      <w:r>
        <w:t>Revisión directiva y aceptación de riesgo registradas</w:t>
      </w:r>
    </w:p>
    <w:p>
      <w:pPr>
        <w:pStyle w:val="Heading2"/>
      </w:pPr>
      <w:r>
        <w:t>Campos de análisis de impacto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4968"/>
            <w:vAlign w:val="top"/>
          </w:tcPr>
          <w:p>
            <w:r>
              <w:t>Servicio</w:t>
            </w:r>
          </w:p>
        </w:tc>
        <w:tc>
          <w:tcPr>
            <w:tcW w:type="dxa" w:w="4968"/>
            <w:vAlign w:val="top"/>
          </w:tcPr>
          <w:p>
            <w:r>
              <w:t>Procesamiento de pagos</w:t>
            </w:r>
          </w:p>
        </w:tc>
      </w:tr>
      <w:tr>
        <w:tc>
          <w:tcPr>
            <w:tcW w:type="dxa" w:w="4968"/>
            <w:vAlign w:val="top"/>
          </w:tcPr>
          <w:p>
            <w:r>
              <w:t>Propietario</w:t>
            </w:r>
          </w:p>
        </w:tc>
        <w:tc>
          <w:tcPr>
            <w:tcW w:type="dxa" w:w="4968"/>
            <w:vAlign w:val="top"/>
          </w:tcPr>
          <w:p>
            <w:r>
              <w:t>Operaciones financieras</w:t>
            </w:r>
          </w:p>
        </w:tc>
      </w:tr>
      <w:tr>
        <w:tc>
          <w:tcPr>
            <w:tcW w:type="dxa" w:w="4968"/>
            <w:vAlign w:val="top"/>
          </w:tcPr>
          <w:p>
            <w:r>
              <w:t>Nivel mínimo</w:t>
            </w:r>
          </w:p>
        </w:tc>
        <w:tc>
          <w:tcPr>
            <w:tcW w:type="dxa" w:w="4968"/>
            <w:vAlign w:val="top"/>
          </w:tcPr>
          <w:p>
            <w:r>
              <w:t>Solo pagos prioritarios</w:t>
            </w:r>
          </w:p>
        </w:tc>
      </w:tr>
      <w:tr>
        <w:tc>
          <w:tcPr>
            <w:tcW w:type="dxa" w:w="4968"/>
            <w:vAlign w:val="top"/>
          </w:tcPr>
          <w:p>
            <w:r>
              <w:t>MTPD</w:t>
            </w:r>
          </w:p>
        </w:tc>
        <w:tc>
          <w:tcPr>
            <w:tcW w:type="dxa" w:w="4968"/>
            <w:vAlign w:val="top"/>
          </w:tcPr>
          <w:p>
            <w:r>
              <w:t>24 horas</w:t>
            </w:r>
          </w:p>
        </w:tc>
      </w:tr>
      <w:tr>
        <w:tc>
          <w:tcPr>
            <w:tcW w:type="dxa" w:w="4968"/>
            <w:vAlign w:val="top"/>
          </w:tcPr>
          <w:p>
            <w:r>
              <w:t>RTO</w:t>
            </w:r>
          </w:p>
        </w:tc>
        <w:tc>
          <w:tcPr>
            <w:tcW w:type="dxa" w:w="4968"/>
            <w:vAlign w:val="top"/>
          </w:tcPr>
          <w:p>
            <w:r>
              <w:t>4 horas</w:t>
            </w:r>
          </w:p>
        </w:tc>
      </w:tr>
      <w:tr>
        <w:tc>
          <w:tcPr>
            <w:tcW w:type="dxa" w:w="4968"/>
            <w:vAlign w:val="top"/>
          </w:tcPr>
          <w:p>
            <w:r>
              <w:t>RPO</w:t>
            </w:r>
          </w:p>
        </w:tc>
        <w:tc>
          <w:tcPr>
            <w:tcW w:type="dxa" w:w="4968"/>
            <w:vAlign w:val="top"/>
          </w:tcPr>
          <w:p>
            <w:r>
              <w:t>15 minutos</w:t>
            </w:r>
          </w:p>
        </w:tc>
      </w:tr>
      <w:tr>
        <w:tc>
          <w:tcPr>
            <w:tcW w:type="dxa" w:w="4968"/>
            <w:vAlign w:val="top"/>
          </w:tcPr>
          <w:p>
            <w:r>
              <w:t>WRT</w:t>
            </w:r>
          </w:p>
        </w:tc>
        <w:tc>
          <w:tcPr>
            <w:tcW w:type="dxa" w:w="4968"/>
            <w:vAlign w:val="top"/>
          </w:tcPr>
          <w:p>
            <w:r>
              <w:t>2 horas</w:t>
            </w:r>
          </w:p>
        </w:tc>
      </w:tr>
      <w:tr>
        <w:tc>
          <w:tcPr>
            <w:tcW w:type="dxa" w:w="4968"/>
            <w:vAlign w:val="top"/>
          </w:tcPr>
          <w:p>
            <w:r>
              <w:t>Período crítico</w:t>
            </w:r>
          </w:p>
        </w:tc>
        <w:tc>
          <w:tcPr>
            <w:tcW w:type="dxa" w:w="4968"/>
            <w:vAlign w:val="top"/>
          </w:tcPr>
          <w:p>
            <w:r>
              <w:t>Cierre de mes</w:t>
            </w:r>
          </w:p>
        </w:tc>
      </w:tr>
      <w:tr>
        <w:tc>
          <w:tcPr>
            <w:tcW w:type="dxa" w:w="4968"/>
            <w:vAlign w:val="top"/>
          </w:tcPr>
          <w:p>
            <w:r>
              <w:t>Dependencias</w:t>
            </w:r>
          </w:p>
        </w:tc>
        <w:tc>
          <w:tcPr>
            <w:tcW w:type="dxa" w:w="4968"/>
            <w:vAlign w:val="top"/>
          </w:tcPr>
          <w:p>
            <w:r>
              <w:t>Identidad, red, gateway, base de datos y banco</w:t>
            </w:r>
          </w:p>
        </w:tc>
      </w:tr>
      <w:tr>
        <w:tc>
          <w:tcPr>
            <w:tcW w:type="dxa" w:w="4968"/>
            <w:vAlign w:val="top"/>
          </w:tcPr>
          <w:p>
            <w:r>
              <w:t>Alternativa manual</w:t>
            </w:r>
          </w:p>
        </w:tc>
        <w:tc>
          <w:tcPr>
            <w:tcW w:type="dxa" w:w="4968"/>
            <w:vAlign w:val="top"/>
          </w:tcPr>
          <w:p>
            <w:r>
              <w:t>Flujo limitado de aprobación de emergencia</w:t>
            </w:r>
          </w:p>
        </w:tc>
      </w:tr>
      <w:tr>
        <w:tc>
          <w:tcPr>
            <w:tcW w:type="dxa" w:w="4968"/>
            <w:vAlign w:val="top"/>
          </w:tcPr>
          <w:p>
            <w:r>
              <w:t>Impacto legal</w:t>
            </w:r>
          </w:p>
        </w:tc>
        <w:tc>
          <w:tcPr>
            <w:tcW w:type="dxa" w:w="4968"/>
            <w:vAlign w:val="top"/>
          </w:tcPr>
          <w:p>
            <w:r>
              <w:t>Informes contractuales y regulatorios</w:t>
            </w:r>
          </w:p>
        </w:tc>
      </w:tr>
      <w:tr>
        <w:tc>
          <w:tcPr>
            <w:tcW w:type="dxa" w:w="4968"/>
            <w:vAlign w:val="top"/>
          </w:tcPr>
          <w:p>
            <w:r>
              <w:t>Prioridad</w:t>
            </w:r>
          </w:p>
        </w:tc>
        <w:tc>
          <w:tcPr>
            <w:tcW w:type="dxa" w:w="4968"/>
            <w:vAlign w:val="top"/>
          </w:tcPr>
          <w:p>
            <w:r>
              <w:t>Nivel 1</w:t>
            </w:r>
          </w:p>
        </w:tc>
      </w:tr>
    </w:tbl>
    <w:p/>
    <w:p>
      <w:pPr>
        <w:pStyle w:val="Heading2"/>
      </w:pPr>
      <w:r>
        <w:t>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Definición</w:t>
            </w:r>
          </w:p>
        </w:tc>
      </w:tr>
      <w:tr>
        <w:tc>
          <w:tcPr>
            <w:tcW w:type="dxa" w:w="4968"/>
            <w:vAlign w:val="top"/>
          </w:tcPr>
          <w:p>
            <w:r>
              <w:t>BCMS</w:t>
            </w:r>
          </w:p>
        </w:tc>
        <w:tc>
          <w:tcPr>
            <w:tcW w:type="dxa" w:w="4968"/>
            <w:vAlign w:val="top"/>
          </w:tcPr>
          <w:p>
            <w:r>
              <w:t>Sistema de gestión de continuidad del negocio.</w:t>
            </w:r>
          </w:p>
        </w:tc>
      </w:tr>
      <w:tr>
        <w:tc>
          <w:tcPr>
            <w:tcW w:type="dxa" w:w="4968"/>
            <w:vAlign w:val="top"/>
          </w:tcPr>
          <w:p>
            <w:r>
              <w:t>BIA</w:t>
            </w:r>
          </w:p>
        </w:tc>
        <w:tc>
          <w:tcPr>
            <w:tcW w:type="dxa" w:w="4968"/>
            <w:vAlign w:val="top"/>
          </w:tcPr>
          <w:p>
            <w:r>
              <w:t>Análisis de impacto al negocio.</w:t>
            </w:r>
          </w:p>
        </w:tc>
      </w:tr>
      <w:tr>
        <w:tc>
          <w:tcPr>
            <w:tcW w:type="dxa" w:w="4968"/>
            <w:vAlign w:val="top"/>
          </w:tcPr>
          <w:p>
            <w:r>
              <w:t>MTPD</w:t>
            </w:r>
          </w:p>
        </w:tc>
        <w:tc>
          <w:tcPr>
            <w:tcW w:type="dxa" w:w="4968"/>
            <w:vAlign w:val="top"/>
          </w:tcPr>
          <w:p>
            <w:r>
              <w:t>Período máximo tolerable de interrupción.</w:t>
            </w:r>
          </w:p>
        </w:tc>
      </w:tr>
      <w:tr>
        <w:tc>
          <w:tcPr>
            <w:tcW w:type="dxa" w:w="4968"/>
            <w:vAlign w:val="top"/>
          </w:tcPr>
          <w:p>
            <w:r>
              <w:t>RTO</w:t>
            </w:r>
          </w:p>
        </w:tc>
        <w:tc>
          <w:tcPr>
            <w:tcW w:type="dxa" w:w="4968"/>
            <w:vAlign w:val="top"/>
          </w:tcPr>
          <w:p>
            <w:r>
              <w:t>Tiempo objetivo de restauración.</w:t>
            </w:r>
          </w:p>
        </w:tc>
      </w:tr>
      <w:tr>
        <w:tc>
          <w:tcPr>
            <w:tcW w:type="dxa" w:w="4968"/>
            <w:vAlign w:val="top"/>
          </w:tcPr>
          <w:p>
            <w:r>
              <w:t>RPO</w:t>
            </w:r>
          </w:p>
        </w:tc>
        <w:tc>
          <w:tcPr>
            <w:tcW w:type="dxa" w:w="4968"/>
            <w:vAlign w:val="top"/>
          </w:tcPr>
          <w:p>
            <w:r>
              <w:t>Pérdida máxima aceptable de datos medida en tiempo.</w:t>
            </w:r>
          </w:p>
        </w:tc>
      </w:tr>
      <w:tr>
        <w:tc>
          <w:tcPr>
            <w:tcW w:type="dxa" w:w="4968"/>
            <w:vAlign w:val="top"/>
          </w:tcPr>
          <w:p>
            <w:r>
              <w:t>WRT</w:t>
            </w:r>
          </w:p>
        </w:tc>
        <w:tc>
          <w:tcPr>
            <w:tcW w:type="dxa" w:w="4968"/>
            <w:vAlign w:val="top"/>
          </w:tcPr>
          <w:p>
            <w:r>
              <w:t>Tiempo para validar, conciliar y reanudar trabajo después de restaurar.</w:t>
            </w:r>
          </w:p>
        </w:tc>
      </w:tr>
      <w:tr>
        <w:tc>
          <w:tcPr>
            <w:tcW w:type="dxa" w:w="4968"/>
            <w:vAlign w:val="top"/>
          </w:tcPr>
          <w:p>
            <w:r>
              <w:t>Failover</w:t>
            </w:r>
          </w:p>
        </w:tc>
        <w:tc>
          <w:tcPr>
            <w:tcW w:type="dxa" w:w="4968"/>
            <w:vAlign w:val="top"/>
          </w:tcPr>
          <w:p>
            <w:r>
              <w:t>Transferencia a una capacidad alterna.</w:t>
            </w:r>
          </w:p>
        </w:tc>
      </w:tr>
      <w:tr>
        <w:tc>
          <w:tcPr>
            <w:tcW w:type="dxa" w:w="4968"/>
            <w:vAlign w:val="top"/>
          </w:tcPr>
          <w:p>
            <w:r>
              <w:t>Failback</w:t>
            </w:r>
          </w:p>
        </w:tc>
        <w:tc>
          <w:tcPr>
            <w:tcW w:type="dxa" w:w="4968"/>
            <w:vAlign w:val="top"/>
          </w:tcPr>
          <w:p>
            <w:r>
              <w:t>Retorno controlado a la capacidad principal.</w:t>
            </w:r>
          </w:p>
        </w:tc>
      </w:tr>
      <w:tr>
        <w:tc>
          <w:tcPr>
            <w:tcW w:type="dxa" w:w="4968"/>
            <w:vAlign w:val="top"/>
          </w:tcPr>
          <w:p>
            <w:r>
              <w:t>Gestión de crisis</w:t>
            </w:r>
          </w:p>
        </w:tc>
        <w:tc>
          <w:tcPr>
            <w:tcW w:type="dxa" w:w="4968"/>
            <w:vAlign w:val="top"/>
          </w:tcPr>
          <w:p>
            <w:r>
              <w:t>Coordinación de liderazgo durante una interrupción.</w:t>
            </w:r>
          </w:p>
        </w:tc>
      </w:tr>
      <w:tr>
        <w:tc>
          <w:tcPr>
            <w:tcW w:type="dxa" w:w="4968"/>
            <w:vAlign w:val="top"/>
          </w:tcPr>
          <w:p>
            <w:r>
              <w:t>Resiliencia cibernética</w:t>
            </w:r>
          </w:p>
        </w:tc>
        <w:tc>
          <w:tcPr>
            <w:tcW w:type="dxa" w:w="4968"/>
            <w:vAlign w:val="top"/>
          </w:tcPr>
          <w:p>
            <w:r>
              <w:t>Capacidad de anticipar, resistir, recuperar y adaptarse.</w:t>
            </w:r>
          </w:p>
        </w:tc>
      </w:tr>
    </w:tbl>
    <w:p/>
    <w:p>
      <w:pPr>
        <w:pStyle w:val="Heading2"/>
      </w:pPr>
      <w:r>
        <w:t>Referencias oficiales</w:t>
      </w:r>
    </w:p>
    <w:p>
      <w:pPr>
        <w:pStyle w:val="ListBullet"/>
      </w:pPr>
      <w:r>
        <w:t>NIST SP 800-34 Rev. 1 - Contingency Planning Guide for Federal Information Systems: https://csrc.nist.gov/pubs/sp/800/34/r1/upd1/final</w:t>
      </w:r>
    </w:p>
    <w:p>
      <w:pPr>
        <w:pStyle w:val="ListBullet"/>
      </w:pPr>
      <w:r>
        <w:t>NIST SP 800-160 Vol. 2 Rev. 1 - Developing Cyber-Resilient Systems: https://csrc.nist.gov/pubs/sp/800/160/v2/r1/final</w:t>
      </w:r>
    </w:p>
    <w:p>
      <w:pPr>
        <w:pStyle w:val="ListBullet"/>
      </w:pPr>
      <w:r>
        <w:t>NIST Cybersecurity Framework 2.0: https://www.nist.gov/cyberframework</w:t>
      </w:r>
    </w:p>
    <w:p>
      <w:pPr>
        <w:pStyle w:val="ListBullet"/>
      </w:pPr>
      <w:r>
        <w:t>ISO 22301:2019 - Business Continuity Management Systems: https://www.iso.org/standard/75106.html</w:t>
      </w:r>
    </w:p>
    <w:p>
      <w:pPr>
        <w:pStyle w:val="ListBullet"/>
      </w:pPr>
      <w:r>
        <w:t>ISO 22301:2019/Amd 1:2024 - Climate Action Changes: https://www.iso.org/standard/88412.html</w:t>
      </w:r>
    </w:p>
    <w:p>
      <w:pPr>
        <w:pStyle w:val="Heading1"/>
      </w:pPr>
      <w:r>
        <w:t>Licencia</w:t>
      </w:r>
    </w:p>
    <w:p>
      <w:r>
        <w:t>Copyright © 2026 Alberto (Al) Leiva. Distribuido bajo la licencia CC BY-NC-SA 4.0.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Continuidad y recuperación ante desastres • Alberto (Al) Leiva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