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HOW TO BUILD AN IDENTITY AND ACCESS MANAGEMENT PROGRAM</w:t>
      </w:r>
    </w:p>
    <w:p>
      <w:pPr>
        <w:jc w:val="center"/>
      </w:pPr>
      <w:r>
        <w:rPr>
          <w:i/>
        </w:rPr>
        <w:t>A concise, practical implementation manual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Version 1.0 - July 2026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Use this manual for lawful, authorized, defensive work. Adapt controls to organizational risk, legal obligations, accessibility needs, and available resources.</w:t>
      </w:r>
    </w:p>
    <w:p>
      <w:pPr>
        <w:pStyle w:val="Heading1"/>
      </w:pPr>
      <w:r>
        <w:t>Program foundations</w:t>
      </w:r>
    </w:p>
    <w:p>
      <w:pPr>
        <w:pStyle w:val="ListBullet"/>
      </w:pPr>
      <w:r>
        <w:t>Treat identity as a security control and a business capability.</w:t>
      </w:r>
    </w:p>
    <w:p>
      <w:pPr>
        <w:pStyle w:val="ListBullet"/>
      </w:pPr>
      <w:r>
        <w:t>Define authoritative sources, identity types, ownership, policies, assurance needs, and lifecycle events.</w:t>
      </w:r>
    </w:p>
    <w:p>
      <w:pPr>
        <w:pStyle w:val="ListBullet"/>
      </w:pPr>
      <w:r>
        <w:t>Include employees, contractors, customers, partners, workloads, devices, service accounts, APIs, and AI agents.</w:t>
      </w:r>
    </w:p>
    <w:p>
      <w:pPr>
        <w:pStyle w:val="Heading1"/>
      </w:pPr>
      <w:r>
        <w:t>Joiner, mover, and leaver lifecycle</w:t>
      </w:r>
    </w:p>
    <w:p>
      <w:pPr>
        <w:pStyle w:val="ListBullet"/>
      </w:pPr>
      <w:r>
        <w:t>Create access from approved business roles and verified identity data.</w:t>
      </w:r>
    </w:p>
    <w:p>
      <w:pPr>
        <w:pStyle w:val="ListBullet"/>
      </w:pPr>
      <w:r>
        <w:t>Update access promptly when duties change.</w:t>
      </w:r>
    </w:p>
    <w:p>
      <w:pPr>
        <w:pStyle w:val="ListBullet"/>
      </w:pPr>
      <w:r>
        <w:t>Disable access, sessions, tokens, certificates, and physical credentials at departure.</w:t>
      </w:r>
    </w:p>
    <w:p>
      <w:pPr>
        <w:pStyle w:val="Heading1"/>
      </w:pPr>
      <w:r>
        <w:t>Authentication</w:t>
      </w:r>
    </w:p>
    <w:p>
      <w:pPr>
        <w:pStyle w:val="ListBullet"/>
      </w:pPr>
      <w:r>
        <w:t>Use phishing-resistant MFA for privileged and high-risk access.</w:t>
      </w:r>
    </w:p>
    <w:p>
      <w:pPr>
        <w:pStyle w:val="ListBullet"/>
      </w:pPr>
      <w:r>
        <w:t>Apply risk-based authentication and secure recovery procedures.</w:t>
      </w:r>
    </w:p>
    <w:p>
      <w:pPr>
        <w:pStyle w:val="ListBullet"/>
      </w:pPr>
      <w:r>
        <w:t>Protect enrollment, authenticator replacement, and help-desk resets against social engineering.</w:t>
      </w:r>
    </w:p>
    <w:p>
      <w:pPr>
        <w:pStyle w:val="Heading1"/>
      </w:pPr>
      <w:r>
        <w:t>Authorization and least privilege</w:t>
      </w:r>
    </w:p>
    <w:p>
      <w:pPr>
        <w:pStyle w:val="ListBullet"/>
      </w:pPr>
      <w:r>
        <w:t>Use role-based and attribute-based controls where appropriate.</w:t>
      </w:r>
    </w:p>
    <w:p>
      <w:pPr>
        <w:pStyle w:val="ListBullet"/>
      </w:pPr>
      <w:r>
        <w:t>Separate incompatible duties and require approval for sensitive entitlements.</w:t>
      </w:r>
    </w:p>
    <w:p>
      <w:pPr>
        <w:pStyle w:val="ListBullet"/>
      </w:pPr>
      <w:r>
        <w:t>Use just-in-time and time-limited privileged access.</w:t>
      </w:r>
    </w:p>
    <w:p>
      <w:pPr>
        <w:pStyle w:val="Heading1"/>
      </w:pPr>
      <w:r>
        <w:t>Privileged and machine identities</w:t>
      </w:r>
    </w:p>
    <w:p>
      <w:pPr>
        <w:pStyle w:val="ListBullet"/>
      </w:pPr>
      <w:r>
        <w:t>Vault privileged credentials and monitor administrative sessions.</w:t>
      </w:r>
    </w:p>
    <w:p>
      <w:pPr>
        <w:pStyle w:val="ListBullet"/>
      </w:pPr>
      <w:r>
        <w:t>Inventory service accounts, secrets, certificates, keys, workloads, and non-human identities.</w:t>
      </w:r>
    </w:p>
    <w:p>
      <w:pPr>
        <w:pStyle w:val="ListBullet"/>
      </w:pPr>
      <w:r>
        <w:t>Assign owners, rotate credentials, restrict use, and remove abandoned identities.</w:t>
      </w:r>
    </w:p>
    <w:p>
      <w:pPr>
        <w:pStyle w:val="Heading1"/>
      </w:pPr>
      <w:r>
        <w:t>Access reviews and governance</w:t>
      </w:r>
    </w:p>
    <w:p>
      <w:pPr>
        <w:pStyle w:val="ListBullet"/>
      </w:pPr>
      <w:r>
        <w:t>Review high-risk access more frequently.</w:t>
      </w:r>
    </w:p>
    <w:p>
      <w:pPr>
        <w:pStyle w:val="ListBullet"/>
      </w:pPr>
      <w:r>
        <w:t>Give reviewers clear context and require evidence-based decisions.</w:t>
      </w:r>
    </w:p>
    <w:p>
      <w:pPr>
        <w:pStyle w:val="ListBullet"/>
      </w:pPr>
      <w:r>
        <w:t>Track orphaned accounts, excessive access, toxic combinations, failed removals, and exceptions.</w:t>
      </w:r>
    </w:p>
    <w:p>
      <w:pPr>
        <w:pStyle w:val="Heading1"/>
      </w:pPr>
      <w:r>
        <w:t>Federation, privacy, and roadmap</w:t>
      </w:r>
    </w:p>
    <w:p>
      <w:pPr>
        <w:pStyle w:val="ListBullet"/>
      </w:pPr>
      <w:r>
        <w:t>Validate trust, claims, signing keys, redirect targets, session controls, and partner responsibilities.</w:t>
      </w:r>
    </w:p>
    <w:p>
      <w:pPr>
        <w:pStyle w:val="ListBullet"/>
      </w:pPr>
      <w:r>
        <w:t>Minimize identity data and provide accessible authentication options.</w:t>
      </w:r>
    </w:p>
    <w:p>
      <w:pPr>
        <w:pStyle w:val="ListBullet"/>
      </w:pPr>
      <w:r>
        <w:t>Days 1-30: inventory and leaver controls. Days 31-60: MFA, privileged access, and reviews. Days 61-90: automation, machine identity, metrics, and testing.</w:t>
      </w:r>
    </w:p>
    <w:p>
      <w:pPr>
        <w:pStyle w:val="Heading1"/>
      </w:pPr>
      <w:r>
        <w:t>Implementation checklist</w:t>
      </w:r>
    </w:p>
    <w:p>
      <w:r>
        <w:rPr>
          <w:b/>
        </w:rPr>
        <w:t xml:space="preserve">☐ </w:t>
      </w:r>
      <w:r>
        <w:t>Owner assigned</w:t>
      </w:r>
    </w:p>
    <w:p>
      <w:r>
        <w:rPr>
          <w:b/>
        </w:rPr>
        <w:t xml:space="preserve">☐ </w:t>
      </w:r>
      <w:r>
        <w:t>Scope approved</w:t>
      </w:r>
    </w:p>
    <w:p>
      <w:r>
        <w:rPr>
          <w:b/>
        </w:rPr>
        <w:t xml:space="preserve">☐ </w:t>
      </w:r>
      <w:r>
        <w:t>Inventory complete</w:t>
      </w:r>
    </w:p>
    <w:p>
      <w:r>
        <w:rPr>
          <w:b/>
        </w:rPr>
        <w:t xml:space="preserve">☐ </w:t>
      </w:r>
      <w:r>
        <w:t>Risks prioritized</w:t>
      </w:r>
    </w:p>
    <w:p>
      <w:r>
        <w:rPr>
          <w:b/>
        </w:rPr>
        <w:t xml:space="preserve">☐ </w:t>
      </w:r>
      <w:r>
        <w:t>Policies documented</w:t>
      </w:r>
    </w:p>
    <w:p>
      <w:r>
        <w:rPr>
          <w:b/>
        </w:rPr>
        <w:t xml:space="preserve">☐ </w:t>
      </w:r>
      <w:r>
        <w:t>Controls implemented</w:t>
      </w:r>
    </w:p>
    <w:p>
      <w:r>
        <w:rPr>
          <w:b/>
        </w:rPr>
        <w:t xml:space="preserve">☐ </w:t>
      </w:r>
      <w:r>
        <w:t>Evidence retained</w:t>
      </w:r>
    </w:p>
    <w:p>
      <w:r>
        <w:rPr>
          <w:b/>
        </w:rPr>
        <w:t xml:space="preserve">☐ </w:t>
      </w:r>
      <w:r>
        <w:t>Exceptions expire</w:t>
      </w:r>
    </w:p>
    <w:p>
      <w:r>
        <w:rPr>
          <w:b/>
        </w:rPr>
        <w:t xml:space="preserve">☐ </w:t>
      </w:r>
      <w:r>
        <w:t>Testing completed</w:t>
      </w:r>
    </w:p>
    <w:p>
      <w:r>
        <w:rPr>
          <w:b/>
        </w:rPr>
        <w:t xml:space="preserve">☐ </w:t>
      </w:r>
      <w:r>
        <w:t>Management review recorded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NIST SP 800-63-4: https://www.nist.gov/publications/nist-sp-800-63-4-digital-identity-guidelines</w:t>
      </w:r>
    </w:p>
    <w:p>
      <w:pPr>
        <w:pStyle w:val="ListBullet"/>
      </w:pPr>
      <w:r>
        <w:t>NIST IAM Resource Center: https://www.nist.gov/identity-and-access-management</w:t>
      </w:r>
    </w:p>
    <w:p>
      <w:pPr>
        <w:pStyle w:val="ListBullet"/>
      </w:pPr>
      <w:r>
        <w:t>NIST SP 800-207: https://csrc.nist.gov/pubs/sp/800/207/final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How to Build an Identity and Access Management Program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