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4"/>
        </w:rPr>
        <w:t>CÓMO IMPLEMENTAR ISO/IEC 27001</w:t>
      </w:r>
    </w:p>
    <w:p>
      <w:pPr>
        <w:jc w:val="center"/>
      </w:pPr>
      <w:r>
        <w:rPr>
          <w:i/>
          <w:sz w:val="30"/>
        </w:rPr>
        <w:t>Guía práctica para crear, operar, auditar y mejorar un SGSI</w:t>
      </w:r>
    </w:p>
    <w:p/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Versión 1.0 - Julio de 2026</w:t>
      </w:r>
    </w:p>
    <w:p>
      <w:pPr>
        <w:pStyle w:val="Callout"/>
      </w:pPr>
      <w:r>
        <w:rPr>
          <w:b/>
        </w:rPr>
        <w:t xml:space="preserve">Aviso: </w:t>
      </w:r>
      <w:r>
        <w:t>Esta guía es educativa y no sustituye la norma oficial, asesoría legal ni una auditoría de certificación.</w:t>
      </w:r>
    </w:p>
    <w:p>
      <w:r>
        <w:br w:type="page"/>
      </w:r>
    </w:p>
    <w:p>
      <w:pPr>
        <w:pStyle w:val="Heading1"/>
      </w:pPr>
      <w:r>
        <w:t>Cómo usar esta guía</w:t>
      </w:r>
    </w:p>
    <w:p>
      <w:pPr>
        <w:pStyle w:val="ListBullet"/>
      </w:pPr>
      <w:r>
        <w:t>Lea las secciones en orden durante una implementación nueva.</w:t>
      </w:r>
    </w:p>
    <w:p>
      <w:pPr>
        <w:pStyle w:val="ListBullet"/>
      </w:pPr>
      <w:r>
        <w:t>Utilice las tablas y listas como plantillas iniciales.</w:t>
      </w:r>
    </w:p>
    <w:p>
      <w:pPr>
        <w:pStyle w:val="ListBullet"/>
      </w:pPr>
      <w:r>
        <w:t>Adapte el SGSI a su contexto y riesgos.</w:t>
      </w:r>
    </w:p>
    <w:p>
      <w:pPr>
        <w:pStyle w:val="ListBullet"/>
      </w:pPr>
      <w:r>
        <w:t>Consulte la norma oficial para requisitos completos.</w:t>
      </w:r>
    </w:p>
    <w:p>
      <w:pPr>
        <w:pStyle w:val="Heading1"/>
      </w:pPr>
      <w:r>
        <w:t>Mapa de implementación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rPr>
                <w:b/>
              </w:rPr>
              <w:t>Cláusula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Enfoque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Evidencia habitual</w:t>
            </w:r>
          </w:p>
        </w:tc>
      </w:tr>
      <w:tr>
        <w:tc>
          <w:tcPr>
            <w:tcW w:type="dxa" w:w="3312"/>
            <w:vAlign w:val="top"/>
          </w:tcPr>
          <w:p>
            <w:r>
              <w:t>4 Contexto</w:t>
            </w:r>
          </w:p>
        </w:tc>
        <w:tc>
          <w:tcPr>
            <w:tcW w:type="dxa" w:w="3312"/>
            <w:vAlign w:val="top"/>
          </w:tcPr>
          <w:p>
            <w:r>
              <w:t>Asuntos, partes interesadas, alcance y procesos</w:t>
            </w:r>
          </w:p>
        </w:tc>
        <w:tc>
          <w:tcPr>
            <w:tcW w:type="dxa" w:w="3312"/>
            <w:vAlign w:val="top"/>
          </w:tcPr>
          <w:p>
            <w:r>
              <w:t>Registro de contexto, partes, alcance y mapa de procesos</w:t>
            </w:r>
          </w:p>
        </w:tc>
      </w:tr>
      <w:tr>
        <w:tc>
          <w:tcPr>
            <w:tcW w:type="dxa" w:w="3312"/>
            <w:vAlign w:val="top"/>
          </w:tcPr>
          <w:p>
            <w:r>
              <w:t>5 Liderazgo</w:t>
            </w:r>
          </w:p>
        </w:tc>
        <w:tc>
          <w:tcPr>
            <w:tcW w:type="dxa" w:w="3312"/>
            <w:vAlign w:val="top"/>
          </w:tcPr>
          <w:p>
            <w:r>
              <w:t>Política, funciones y compromiso</w:t>
            </w:r>
          </w:p>
        </w:tc>
        <w:tc>
          <w:tcPr>
            <w:tcW w:type="dxa" w:w="3312"/>
            <w:vAlign w:val="top"/>
          </w:tcPr>
          <w:p>
            <w:r>
              <w:t>Política aprobada, funciones y actas</w:t>
            </w:r>
          </w:p>
        </w:tc>
      </w:tr>
      <w:tr>
        <w:tc>
          <w:tcPr>
            <w:tcW w:type="dxa" w:w="3312"/>
            <w:vAlign w:val="top"/>
          </w:tcPr>
          <w:p>
            <w:r>
              <w:t>6 Planificación</w:t>
            </w:r>
          </w:p>
        </w:tc>
        <w:tc>
          <w:tcPr>
            <w:tcW w:type="dxa" w:w="3312"/>
            <w:vAlign w:val="top"/>
          </w:tcPr>
          <w:p>
            <w:r>
              <w:t>Riesgos, tratamiento, objetivos y cambios</w:t>
            </w:r>
          </w:p>
        </w:tc>
        <w:tc>
          <w:tcPr>
            <w:tcW w:type="dxa" w:w="3312"/>
            <w:vAlign w:val="top"/>
          </w:tcPr>
          <w:p>
            <w:r>
              <w:t>Metodología, registro, plan y objetivos</w:t>
            </w:r>
          </w:p>
        </w:tc>
      </w:tr>
      <w:tr>
        <w:tc>
          <w:tcPr>
            <w:tcW w:type="dxa" w:w="3312"/>
            <w:vAlign w:val="top"/>
          </w:tcPr>
          <w:p>
            <w:r>
              <w:t>7 Apoyo</w:t>
            </w:r>
          </w:p>
        </w:tc>
        <w:tc>
          <w:tcPr>
            <w:tcW w:type="dxa" w:w="3312"/>
            <w:vAlign w:val="top"/>
          </w:tcPr>
          <w:p>
            <w:r>
              <w:t>Recursos, competencia, concienciación, comunicación y documentos</w:t>
            </w:r>
          </w:p>
        </w:tc>
        <w:tc>
          <w:tcPr>
            <w:tcW w:type="dxa" w:w="3312"/>
            <w:vAlign w:val="top"/>
          </w:tcPr>
          <w:p>
            <w:r>
              <w:t>Capacitación, comunicaciones y control documental</w:t>
            </w:r>
          </w:p>
        </w:tc>
      </w:tr>
      <w:tr>
        <w:tc>
          <w:tcPr>
            <w:tcW w:type="dxa" w:w="3312"/>
            <w:vAlign w:val="top"/>
          </w:tcPr>
          <w:p>
            <w:r>
              <w:t>8 Operación</w:t>
            </w:r>
          </w:p>
        </w:tc>
        <w:tc>
          <w:tcPr>
            <w:tcW w:type="dxa" w:w="3312"/>
            <w:vAlign w:val="top"/>
          </w:tcPr>
          <w:p>
            <w:r>
              <w:t>Procesos de riesgo y controles</w:t>
            </w:r>
          </w:p>
        </w:tc>
        <w:tc>
          <w:tcPr>
            <w:tcW w:type="dxa" w:w="3312"/>
            <w:vAlign w:val="top"/>
          </w:tcPr>
          <w:p>
            <w:r>
              <w:t>Registros, tickets, informes y aprobaciones</w:t>
            </w:r>
          </w:p>
        </w:tc>
      </w:tr>
      <w:tr>
        <w:tc>
          <w:tcPr>
            <w:tcW w:type="dxa" w:w="3312"/>
            <w:vAlign w:val="top"/>
          </w:tcPr>
          <w:p>
            <w:r>
              <w:t>9 Desempeño</w:t>
            </w:r>
          </w:p>
        </w:tc>
        <w:tc>
          <w:tcPr>
            <w:tcW w:type="dxa" w:w="3312"/>
            <w:vAlign w:val="top"/>
          </w:tcPr>
          <w:p>
            <w:r>
              <w:t>Monitoreo, auditoría interna y revisión</w:t>
            </w:r>
          </w:p>
        </w:tc>
        <w:tc>
          <w:tcPr>
            <w:tcW w:type="dxa" w:w="3312"/>
            <w:vAlign w:val="top"/>
          </w:tcPr>
          <w:p>
            <w:r>
              <w:t>Métricas, auditorías y actas</w:t>
            </w:r>
          </w:p>
        </w:tc>
      </w:tr>
      <w:tr>
        <w:tc>
          <w:tcPr>
            <w:tcW w:type="dxa" w:w="3312"/>
            <w:vAlign w:val="top"/>
          </w:tcPr>
          <w:p>
            <w:r>
              <w:t>10 Mejora</w:t>
            </w:r>
          </w:p>
        </w:tc>
        <w:tc>
          <w:tcPr>
            <w:tcW w:type="dxa" w:w="3312"/>
            <w:vAlign w:val="top"/>
          </w:tcPr>
          <w:p>
            <w:r>
              <w:t>No conformidad, acciones y mejora</w:t>
            </w:r>
          </w:p>
        </w:tc>
        <w:tc>
          <w:tcPr>
            <w:tcW w:type="dxa" w:w="3312"/>
            <w:vAlign w:val="top"/>
          </w:tcPr>
          <w:p>
            <w:r>
              <w:t>Acciones correctivas y lecciones</w:t>
            </w:r>
          </w:p>
        </w:tc>
      </w:tr>
    </w:tbl>
    <w:p/>
    <w:p>
      <w:pPr>
        <w:pStyle w:val="Heading1"/>
      </w:pPr>
      <w:r>
        <w:t>1. Qué es ISO/IEC 27001</w:t>
      </w:r>
    </w:p>
    <w:p>
      <w:r>
        <w:t>ISO/IEC 27001 es la norma de requisitos para establecer, implementar, mantener y mejorar continuamente un sistema de gestión de seguridad de la información (SGSI). Se basa en riesgos y puede adaptarse a organizaciones de distintos tamaños y sectores.</w:t>
      </w:r>
    </w:p>
    <w:p>
      <w:r>
        <w:t>La norma no es una lista de tecnologías. Exige liderazgo, gobierno, gestión de riesgos, objetivos, competencia, control operativo, evaluación del desempeño y mejora continua.</w:t>
      </w:r>
    </w:p>
    <w:p>
      <w:pPr>
        <w:pStyle w:val="Heading1"/>
      </w:pPr>
      <w:r>
        <w:t>2. Edición vigente y enmienda</w:t>
      </w:r>
    </w:p>
    <w:p>
      <w:r>
        <w:t>Utilice ISO/IEC 27001:2022 junto con ISO/IEC 27001:2022/Amd 1:2024. La enmienda exige determinar si el cambio climático es un asunto relevante para el contexto y reconoce que las partes interesadas pueden tener requisitos relacionados con el clima.</w:t>
      </w:r>
    </w:p>
    <w:p>
      <w:r>
        <w:t>ISO/IEC 27002:2022 proporciona orientación para implementar controles de seguridad de la información. Apoya el diseño de controles, pero no es la norma de requisitos de certificación.</w:t>
      </w:r>
    </w:p>
    <w:p>
      <w:pPr>
        <w:pStyle w:val="Heading1"/>
      </w:pPr>
      <w:r>
        <w:t>3. Definir el caso de negocio</w:t>
      </w:r>
    </w:p>
    <w:p>
      <w:r>
        <w:t>Aclare por qué se implementará el SGSI: confianza del cliente, contratos, regulación, resiliencia, reducción de riesgos, acceso a mercados o certificación.</w:t>
      </w:r>
    </w:p>
    <w:p>
      <w:r>
        <w:t>Defina resultados medibles como menos riesgos altos, revisiones de acceso más rápidas, mejor preparación ante incidentes y evidencia de auditoría más sólida.</w:t>
      </w:r>
    </w:p>
    <w:p>
      <w:pPr>
        <w:pStyle w:val="Heading1"/>
      </w:pPr>
      <w:r>
        <w:t>4. Establecer gobierno y funciones</w:t>
      </w:r>
    </w:p>
    <w:p>
      <w:r>
        <w:t>La alta dirección debe aprobar la orientación del SGSI, proporcionar recursos, asignar responsabilidades y revisar el desempeño.</w:t>
      </w:r>
    </w:p>
    <w:p>
      <w:r>
        <w:t>Cree un comité con representantes de seguridad, tecnología, privacidad, legal, recursos humanos, compras, instalaciones, operaciones y unidades de negocio.</w:t>
      </w:r>
    </w:p>
    <w:p>
      <w:pPr>
        <w:pStyle w:val="Heading1"/>
      </w:pPr>
      <w:r>
        <w:t>5. Comprender el contexto de la organización</w:t>
      </w:r>
    </w:p>
    <w:p>
      <w:r>
        <w:t>Identifique asuntos internos y externos que puedan afectar los objetivos de seguridad. Considere estrategia, cultura, tecnología, proveedores, leyes, condiciones geopolíticas, entorno físico y asuntos climáticos relevantes.</w:t>
      </w:r>
    </w:p>
    <w:p>
      <w:r>
        <w:t>Identifique partes interesadas y requisitos relevantes, incluidos clientes, empleados, reguladores, propietarios, proveedores, aseguradoras y socios.</w:t>
      </w:r>
    </w:p>
    <w:p>
      <w:pPr>
        <w:pStyle w:val="Heading1"/>
      </w:pPr>
      <w:r>
        <w:t>6. Definir el alcance del SGSI</w:t>
      </w:r>
    </w:p>
    <w:p>
      <w:r>
        <w:t>Documente unidades, ubicaciones, procesos, tecnologías, información, servicios e interfaces incluidos.</w:t>
      </w:r>
    </w:p>
    <w:p>
      <w:r>
        <w:t>Evite un alcance artificialmente reducido que excluya dependencias importantes. Registre límites, exclusiones, servicios compartidos, interfaces con proveedores y justificaciones.</w:t>
      </w:r>
    </w:p>
    <w:p>
      <w:pPr>
        <w:pStyle w:val="Heading1"/>
      </w:pPr>
      <w:r>
        <w:t>7. Crear el inventario de información, activos y procesos</w:t>
      </w:r>
    </w:p>
    <w:p>
      <w:r>
        <w:t>Inventarie información crítica, sistemas, aplicaciones, servicios de nube, instalaciones, procesos, proveedores y propietarios.</w:t>
      </w:r>
    </w:p>
    <w:p>
      <w:r>
        <w:t>Clasifique según confidencialidad, integridad, disponibilidad, privacidad, requisitos legales y necesidades del negocio.</w:t>
      </w:r>
    </w:p>
    <w:p>
      <w:pPr>
        <w:pStyle w:val="Heading1"/>
      </w:pPr>
      <w:r>
        <w:t>8. Diseñar la metodología de evaluación de riesgos</w:t>
      </w:r>
    </w:p>
    <w:p>
      <w:r>
        <w:t>Defina criterios coherentes de probabilidad, impacto, nivel de riesgo, aceptación, reevaluación y escalamiento.</w:t>
      </w:r>
    </w:p>
    <w:p>
      <w:r>
        <w:t>Evalúe riesgos para confidencialidad, integridad y disponibilidad e incluya personas, procesos, tecnología, instalaciones, proveedores, nube, privacidad y tecnologías emergentes.</w:t>
      </w:r>
    </w:p>
    <w:p>
      <w:pPr>
        <w:pStyle w:val="Heading1"/>
      </w:pPr>
      <w:r>
        <w:t>9. Realizar la evaluación de riesgos</w:t>
      </w:r>
    </w:p>
    <w:p>
      <w:r>
        <w:t>Identifique escenarios, activos o procesos afectados, amenazas, vulnerabilidades, controles existentes, probabilidad, impacto y propietarios del riesgo.</w:t>
      </w:r>
    </w:p>
    <w:p>
      <w:r>
        <w:t>Registre el riesgo inherente antes del tratamiento y el riesgo residual después de los controles. Documente supuestos e incertidumbre.</w:t>
      </w:r>
    </w:p>
    <w:p>
      <w:pPr>
        <w:pStyle w:val="Heading1"/>
      </w:pPr>
      <w:r>
        <w:t>10. Crear el plan de tratamiento</w:t>
      </w:r>
    </w:p>
    <w:p>
      <w:r>
        <w:t>Decida modificar, evitar, compartir o retener cada riesgo. Asigne responsables, recursos, fechas y riesgo residual esperado.</w:t>
      </w:r>
    </w:p>
    <w:p>
      <w:r>
        <w:t>La aceptación debe realizarla un propietario autorizado según criterios definidos. El equipo de seguridad no debe aceptar silenciosamente riesgos empresariales.</w:t>
      </w:r>
    </w:p>
    <w:p>
      <w:pPr>
        <w:pStyle w:val="Heading1"/>
      </w:pPr>
      <w:r>
        <w:t>11. Seleccionar controles y crear la Declaración de Aplicabilidad</w:t>
      </w:r>
    </w:p>
    <w:p>
      <w:r>
        <w:t>Compare los controles seleccionados con el Anexo A y determine cuáles son aplicables. También pueden provenir de leyes, contratos, tratamiento de riesgos u otros marcos.</w:t>
      </w:r>
    </w:p>
    <w:p>
      <w:r>
        <w:t>La Declaración de Aplicabilidad debe identificar cada control del Anexo A, su aplicabilidad, estado, justificación y referencias de apoyo.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rPr>
                <w:b/>
              </w:rPr>
              <w:t>Tema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Controles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Ejemplos</w:t>
            </w:r>
          </w:p>
        </w:tc>
      </w:tr>
      <w:tr>
        <w:tc>
          <w:tcPr>
            <w:tcW w:type="dxa" w:w="3312"/>
            <w:vAlign w:val="top"/>
          </w:tcPr>
          <w:p>
            <w:r>
              <w:t>Organizacionales</w:t>
            </w:r>
          </w:p>
        </w:tc>
        <w:tc>
          <w:tcPr>
            <w:tcW w:type="dxa" w:w="3312"/>
            <w:vAlign w:val="top"/>
          </w:tcPr>
          <w:p>
            <w:r>
              <w:t>37</w:t>
            </w:r>
          </w:p>
        </w:tc>
        <w:tc>
          <w:tcPr>
            <w:tcW w:type="dxa" w:w="3312"/>
            <w:vAlign w:val="top"/>
          </w:tcPr>
          <w:p>
            <w:r>
              <w:t>Políticas, funciones, inteligencia, proveedores, nube, incidentes y continuidad</w:t>
            </w:r>
          </w:p>
        </w:tc>
      </w:tr>
      <w:tr>
        <w:tc>
          <w:tcPr>
            <w:tcW w:type="dxa" w:w="3312"/>
            <w:vAlign w:val="top"/>
          </w:tcPr>
          <w:p>
            <w:r>
              <w:t>Personas</w:t>
            </w:r>
          </w:p>
        </w:tc>
        <w:tc>
          <w:tcPr>
            <w:tcW w:type="dxa" w:w="3312"/>
            <w:vAlign w:val="top"/>
          </w:tcPr>
          <w:p>
            <w:r>
              <w:t>8</w:t>
            </w:r>
          </w:p>
        </w:tc>
        <w:tc>
          <w:tcPr>
            <w:tcW w:type="dxa" w:w="3312"/>
            <w:vAlign w:val="top"/>
          </w:tcPr>
          <w:p>
            <w:r>
              <w:t>Verificación, condiciones, concienciación, disciplina, trabajo remoto y reporte</w:t>
            </w:r>
          </w:p>
        </w:tc>
      </w:tr>
      <w:tr>
        <w:tc>
          <w:tcPr>
            <w:tcW w:type="dxa" w:w="3312"/>
            <w:vAlign w:val="top"/>
          </w:tcPr>
          <w:p>
            <w:r>
              <w:t>Físicos</w:t>
            </w:r>
          </w:p>
        </w:tc>
        <w:tc>
          <w:tcPr>
            <w:tcW w:type="dxa" w:w="3312"/>
            <w:vAlign w:val="top"/>
          </w:tcPr>
          <w:p>
            <w:r>
              <w:t>14</w:t>
            </w:r>
          </w:p>
        </w:tc>
        <w:tc>
          <w:tcPr>
            <w:tcW w:type="dxa" w:w="3312"/>
            <w:vAlign w:val="top"/>
          </w:tcPr>
          <w:p>
            <w:r>
              <w:t>Perímetros, ingreso, áreas seguras, equipos, medios, servicios y eliminación</w:t>
            </w:r>
          </w:p>
        </w:tc>
      </w:tr>
      <w:tr>
        <w:tc>
          <w:tcPr>
            <w:tcW w:type="dxa" w:w="3312"/>
            <w:vAlign w:val="top"/>
          </w:tcPr>
          <w:p>
            <w:r>
              <w:t>Tecnológicos</w:t>
            </w:r>
          </w:p>
        </w:tc>
        <w:tc>
          <w:tcPr>
            <w:tcW w:type="dxa" w:w="3312"/>
            <w:vAlign w:val="top"/>
          </w:tcPr>
          <w:p>
            <w:r>
              <w:t>34</w:t>
            </w:r>
          </w:p>
        </w:tc>
        <w:tc>
          <w:tcPr>
            <w:tcW w:type="dxa" w:w="3312"/>
            <w:vAlign w:val="top"/>
          </w:tcPr>
          <w:p>
            <w:r>
              <w:t>Identidad, acceso, malware, vulnerabilidades, registros, redes, cifrado y desarrollo</w:t>
            </w:r>
          </w:p>
        </w:tc>
      </w:tr>
    </w:tbl>
    <w:p/>
    <w:p>
      <w:pPr>
        <w:pStyle w:val="Heading1"/>
      </w:pPr>
      <w:r>
        <w:t>12. Desarrollar políticas, estándares y procedimientos</w:t>
      </w:r>
    </w:p>
    <w:p>
      <w:r>
        <w:t>Cree una política concisa de seguridad respaldada por estándares temáticos y procedimientos operativos.</w:t>
      </w:r>
    </w:p>
    <w:p>
      <w:r>
        <w:t>Los documentos deben incluir propósito, alcance, funciones, acciones requeridas, excepciones, revisión, aprobaciones y evidencia. No documente controles que la organización no realiza.</w:t>
      </w:r>
    </w:p>
    <w:p>
      <w:pPr>
        <w:pStyle w:val="Heading1"/>
      </w:pPr>
      <w:r>
        <w:t>13. Implementar controles de personas y proveedores</w:t>
      </w:r>
    </w:p>
    <w:p>
      <w:r>
        <w:t>Considere verificación cuando sea legal, confidencialidad, incorporación, cambios de función, terminación, concienciación, uso aceptable, trabajo remoto, disciplina y reporte.</w:t>
      </w:r>
    </w:p>
    <w:p>
      <w:r>
        <w:t>Para proveedores, realice diligencia debida, establezca cláusulas, controle accesos, supervise el servicio, gestione subcontratistas y prepare una salida segura.</w:t>
      </w:r>
    </w:p>
    <w:p>
      <w:pPr>
        <w:pStyle w:val="Heading1"/>
      </w:pPr>
      <w:r>
        <w:t>14. Implementar controles técnicos y físicos</w:t>
      </w:r>
    </w:p>
    <w:p>
      <w:r>
        <w:t>Implemente controles según el riesgo: identidad y acceso, configuración segura, vulnerabilidades, cifrado, registros, copias de seguridad, redes, endpoints, desarrollo seguro, nube y detección.</w:t>
      </w:r>
    </w:p>
    <w:p>
      <w:r>
        <w:t>Proteja oficinas, centros de datos, equipos, medios, servicios básicos, condiciones ambientales, áreas seguras y eliminación.</w:t>
      </w:r>
    </w:p>
    <w:p>
      <w:pPr>
        <w:pStyle w:val="Heading1"/>
      </w:pPr>
      <w:r>
        <w:t>15. Operar el SGSI y conservar evidencia</w:t>
      </w:r>
    </w:p>
    <w:p>
      <w:r>
        <w:t>Opere los controles de forma coherente y conserve aprobaciones, tickets, informes, configuraciones, registros, capacitación, revisiones de acceso, revisiones de proveedores, pruebas y actas.</w:t>
      </w:r>
    </w:p>
    <w:p>
      <w:r>
        <w:t>La evidencia debe demostrar diseño y operación a lo largo del tiempo. Una captura de pantalla aislada suele ser débil sin contexto, fuente, fecha, propietario y población.</w:t>
      </w:r>
    </w:p>
    <w:p>
      <w:pPr>
        <w:pStyle w:val="Heading1"/>
      </w:pPr>
      <w:r>
        <w:t>16. Monitorear objetivos y métricas</w:t>
      </w:r>
    </w:p>
    <w:p>
      <w:r>
        <w:t>Defina objetivos medibles y alineados con las prioridades del negocio.</w:t>
      </w:r>
    </w:p>
    <w:p>
      <w:r>
        <w:t>Use métricas útiles: tratamientos vencidos, revisiones de acceso, restauraciones exitosas, vulnerabilidades altas, tiempos de respuesta, revisiones de proveedores, excepciones y hallazgos.</w:t>
      </w:r>
    </w:p>
    <w:p>
      <w:pPr>
        <w:pStyle w:val="Heading1"/>
      </w:pPr>
      <w:r>
        <w:t>17. Realizar auditorías internas</w:t>
      </w:r>
    </w:p>
    <w:p>
      <w:r>
        <w:t>Cree un programa de auditoría basado en riesgos que cubra requisitos y controles durante un ciclo planificado.</w:t>
      </w:r>
    </w:p>
    <w:p>
      <w:r>
        <w:t>Los auditores deben ser competentes y suficientemente independientes. Registre criterios, alcance, métodos, evidencia, hallazgos y seguimiento.</w:t>
      </w:r>
    </w:p>
    <w:p>
      <w:pPr>
        <w:pStyle w:val="Heading2"/>
      </w:pPr>
      <w:r>
        <w:t>Programa mínimo de auditoría</w:t>
      </w:r>
    </w:p>
    <w:p>
      <w:pPr>
        <w:pStyle w:val="ListBullet"/>
      </w:pPr>
      <w:r>
        <w:t>Requisitos de las cláusulas 4 a 10</w:t>
      </w:r>
    </w:p>
    <w:p>
      <w:pPr>
        <w:pStyle w:val="ListBullet"/>
      </w:pPr>
      <w:r>
        <w:t>Controles seleccionados y Declaración de Aplicabilidad</w:t>
      </w:r>
    </w:p>
    <w:p>
      <w:pPr>
        <w:pStyle w:val="ListBullet"/>
      </w:pPr>
      <w:r>
        <w:t>Procesos de alto riesgo</w:t>
      </w:r>
    </w:p>
    <w:p>
      <w:pPr>
        <w:pStyle w:val="ListBullet"/>
      </w:pPr>
      <w:r>
        <w:t>Acciones correctivas anteriores</w:t>
      </w:r>
    </w:p>
    <w:p>
      <w:pPr>
        <w:pStyle w:val="ListBullet"/>
      </w:pPr>
      <w:r>
        <w:t>Cambios significativos</w:t>
      </w:r>
    </w:p>
    <w:p>
      <w:pPr>
        <w:pStyle w:val="Heading1"/>
      </w:pPr>
      <w:r>
        <w:t>18. Realizar la revisión por la dirección</w:t>
      </w:r>
    </w:p>
    <w:p>
      <w:r>
        <w:t>La alta dirección debe revisar desempeño, cambios de contexto, necesidades de partes interesadas, objetivos, auditorías, incidentes, riesgos, oportunidades, recursos y acciones.</w:t>
      </w:r>
    </w:p>
    <w:p>
      <w:r>
        <w:t>La revisión debe producir decisiones y acciones documentadas, no solo una presentación.</w:t>
      </w:r>
    </w:p>
    <w:p>
      <w:pPr>
        <w:pStyle w:val="Heading1"/>
      </w:pPr>
      <w:r>
        <w:t>19. Corregir no conformidades y mejorar</w:t>
      </w:r>
    </w:p>
    <w:p>
      <w:r>
        <w:t>Cuando no se cumpla un requisito, contenga el problema, corríjalo, analice causas, determine si existen problemas similares, implemente acciones y verifique su eficacia.</w:t>
      </w:r>
    </w:p>
    <w:p>
      <w:r>
        <w:t>La mejora continua debe alimentarse de auditorías, incidentes, monitoreo, cambios de riesgo, comentarios, desempeño de proveedores y lecciones aprendidas.</w:t>
      </w:r>
    </w:p>
    <w:p>
      <w:pPr>
        <w:pStyle w:val="Heading1"/>
      </w:pPr>
      <w:r>
        <w:t>20. Preparación para la certificación</w:t>
      </w:r>
    </w:p>
    <w:p>
      <w:r>
        <w:t>La certificación es opcional y la realiza un organismo de certificación acreditado. La Etapa 1 suele revisar preparación y documentación; la Etapa 2 evalúa implementación y eficacia.</w:t>
      </w:r>
    </w:p>
    <w:p>
      <w:r>
        <w:t>Antes de certificarse, complete auditoría interna, revisión por la dirección, acciones correctivas, revisión de evidencia y evaluación de preparación. No afirme estar certificado hasta recibir un certificado válido.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Periodo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Prioridades</w:t>
            </w:r>
          </w:p>
        </w:tc>
      </w:tr>
      <w:tr>
        <w:tc>
          <w:tcPr>
            <w:tcW w:type="dxa" w:w="4968"/>
            <w:vAlign w:val="top"/>
          </w:tcPr>
          <w:p>
            <w:r>
              <w:t>Días 1-30</w:t>
            </w:r>
          </w:p>
        </w:tc>
        <w:tc>
          <w:tcPr>
            <w:tcW w:type="dxa" w:w="4968"/>
            <w:vAlign w:val="top"/>
          </w:tcPr>
          <w:p>
            <w:r>
              <w:t>Caso de negocio, gobierno, contexto, alcance, inventario y brechas</w:t>
            </w:r>
          </w:p>
        </w:tc>
      </w:tr>
      <w:tr>
        <w:tc>
          <w:tcPr>
            <w:tcW w:type="dxa" w:w="4968"/>
            <w:vAlign w:val="top"/>
          </w:tcPr>
          <w:p>
            <w:r>
              <w:t>Días 31-60</w:t>
            </w:r>
          </w:p>
        </w:tc>
        <w:tc>
          <w:tcPr>
            <w:tcW w:type="dxa" w:w="4968"/>
            <w:vAlign w:val="top"/>
          </w:tcPr>
          <w:p>
            <w:r>
              <w:t>Método de riesgos, evaluación, tratamiento, Declaración de Aplicabilidad y documentos</w:t>
            </w:r>
          </w:p>
        </w:tc>
      </w:tr>
      <w:tr>
        <w:tc>
          <w:tcPr>
            <w:tcW w:type="dxa" w:w="4968"/>
            <w:vAlign w:val="top"/>
          </w:tcPr>
          <w:p>
            <w:r>
              <w:t>Días 61-90</w:t>
            </w:r>
          </w:p>
        </w:tc>
        <w:tc>
          <w:tcPr>
            <w:tcW w:type="dxa" w:w="4968"/>
            <w:vAlign w:val="top"/>
          </w:tcPr>
          <w:p>
            <w:r>
              <w:t>Operación, evidencia, métricas, preparación de auditoría y acciones correctivas</w:t>
            </w:r>
          </w:p>
        </w:tc>
      </w:tr>
    </w:tbl>
    <w:p/>
    <w:p>
      <w:pPr>
        <w:pStyle w:val="Heading1"/>
      </w:pPr>
      <w:r>
        <w:t>Listas y plantillas prácticas</w:t>
      </w:r>
    </w:p>
    <w:p>
      <w:pPr>
        <w:pStyle w:val="Heading2"/>
      </w:pPr>
      <w:r>
        <w:t>Lista de preparación</w:t>
      </w:r>
    </w:p>
    <w:p>
      <w:r>
        <w:rPr>
          <w:b/>
        </w:rPr>
        <w:t xml:space="preserve">☐ </w:t>
      </w:r>
      <w:r>
        <w:t>Patrocinador ejecutivo y responsable del SGSI asignados</w:t>
      </w:r>
    </w:p>
    <w:p>
      <w:r>
        <w:rPr>
          <w:b/>
        </w:rPr>
        <w:t xml:space="preserve">☐ </w:t>
      </w:r>
      <w:r>
        <w:t>Contexto y partes interesadas documentados</w:t>
      </w:r>
    </w:p>
    <w:p>
      <w:r>
        <w:rPr>
          <w:b/>
        </w:rPr>
        <w:t xml:space="preserve">☐ </w:t>
      </w:r>
      <w:r>
        <w:t>Relevancia climática considerada</w:t>
      </w:r>
    </w:p>
    <w:p>
      <w:r>
        <w:rPr>
          <w:b/>
        </w:rPr>
        <w:t xml:space="preserve">☐ </w:t>
      </w:r>
      <w:r>
        <w:t>Alcance del SGSI aprobado</w:t>
      </w:r>
    </w:p>
    <w:p>
      <w:r>
        <w:rPr>
          <w:b/>
        </w:rPr>
        <w:t xml:space="preserve">☐ </w:t>
      </w:r>
      <w:r>
        <w:t>Inventario de activos y procesos establecido</w:t>
      </w:r>
    </w:p>
    <w:p>
      <w:r>
        <w:rPr>
          <w:b/>
        </w:rPr>
        <w:t xml:space="preserve">☐ </w:t>
      </w:r>
      <w:r>
        <w:t>Metodología de riesgos aprobada</w:t>
      </w:r>
    </w:p>
    <w:p>
      <w:r>
        <w:rPr>
          <w:b/>
        </w:rPr>
        <w:t xml:space="preserve">☐ </w:t>
      </w:r>
      <w:r>
        <w:t>Evaluación de riesgos completada</w:t>
      </w:r>
    </w:p>
    <w:p>
      <w:r>
        <w:rPr>
          <w:b/>
        </w:rPr>
        <w:t xml:space="preserve">☐ </w:t>
      </w:r>
      <w:r>
        <w:t>Plan de tratamiento aprobado</w:t>
      </w:r>
    </w:p>
    <w:p>
      <w:r>
        <w:rPr>
          <w:b/>
        </w:rPr>
        <w:t xml:space="preserve">☐ </w:t>
      </w:r>
      <w:r>
        <w:t>Declaración de Aplicabilidad completada</w:t>
      </w:r>
    </w:p>
    <w:p>
      <w:r>
        <w:rPr>
          <w:b/>
        </w:rPr>
        <w:t xml:space="preserve">☐ </w:t>
      </w:r>
      <w:r>
        <w:t>Políticas y procedimientos aprobados</w:t>
      </w:r>
    </w:p>
    <w:p>
      <w:r>
        <w:rPr>
          <w:b/>
        </w:rPr>
        <w:t xml:space="preserve">☐ </w:t>
      </w:r>
      <w:r>
        <w:t>Registros de competencia y concienciación disponibles</w:t>
      </w:r>
    </w:p>
    <w:p>
      <w:r>
        <w:rPr>
          <w:b/>
        </w:rPr>
        <w:t xml:space="preserve">☐ </w:t>
      </w:r>
      <w:r>
        <w:t>Controles de proveedores operativos</w:t>
      </w:r>
    </w:p>
    <w:p>
      <w:r>
        <w:rPr>
          <w:b/>
        </w:rPr>
        <w:t xml:space="preserve">☐ </w:t>
      </w:r>
      <w:r>
        <w:t>Controles técnicos y físicos operativos</w:t>
      </w:r>
    </w:p>
    <w:p>
      <w:r>
        <w:rPr>
          <w:b/>
        </w:rPr>
        <w:t xml:space="preserve">☐ </w:t>
      </w:r>
      <w:r>
        <w:t>Objetivos y métricas monitoreados</w:t>
      </w:r>
    </w:p>
    <w:p>
      <w:r>
        <w:rPr>
          <w:b/>
        </w:rPr>
        <w:t xml:space="preserve">☐ </w:t>
      </w:r>
      <w:r>
        <w:t>Auditoría interna completada</w:t>
      </w:r>
    </w:p>
    <w:p>
      <w:r>
        <w:rPr>
          <w:b/>
        </w:rPr>
        <w:t xml:space="preserve">☐ </w:t>
      </w:r>
      <w:r>
        <w:t>Revisión por la dirección completada</w:t>
      </w:r>
    </w:p>
    <w:p>
      <w:r>
        <w:rPr>
          <w:b/>
        </w:rPr>
        <w:t xml:space="preserve">☐ </w:t>
      </w:r>
      <w:r>
        <w:t>No conformidades y acciones tratadas</w:t>
      </w:r>
    </w:p>
    <w:p>
      <w:r>
        <w:rPr>
          <w:b/>
        </w:rPr>
        <w:t xml:space="preserve">☐ </w:t>
      </w:r>
      <w:r>
        <w:t>Afirmaciones de certificación revisadas</w:t>
      </w:r>
    </w:p>
    <w:p>
      <w:pPr>
        <w:pStyle w:val="Heading2"/>
      </w:pPr>
      <w:r>
        <w:t>Campos de registro de riesgos</w:t>
      </w:r>
    </w:p>
    <w:p>
      <w:pPr>
        <w:pStyle w:val="ListBullet"/>
      </w:pPr>
      <w:r>
        <w:t>ID del riesgo</w:t>
      </w:r>
    </w:p>
    <w:p>
      <w:pPr>
        <w:pStyle w:val="ListBullet"/>
      </w:pPr>
      <w:r>
        <w:t>Proceso o activo</w:t>
      </w:r>
    </w:p>
    <w:p>
      <w:pPr>
        <w:pStyle w:val="ListBullet"/>
      </w:pPr>
      <w:r>
        <w:t>Escenario</w:t>
      </w:r>
    </w:p>
    <w:p>
      <w:pPr>
        <w:pStyle w:val="ListBullet"/>
      </w:pPr>
      <w:r>
        <w:t>Amenaza y vulnerabilidad</w:t>
      </w:r>
    </w:p>
    <w:p>
      <w:pPr>
        <w:pStyle w:val="ListBullet"/>
      </w:pPr>
      <w:r>
        <w:t>Controles existentes</w:t>
      </w:r>
    </w:p>
    <w:p>
      <w:pPr>
        <w:pStyle w:val="ListBullet"/>
      </w:pPr>
      <w:r>
        <w:t>Probabilidad</w:t>
      </w:r>
    </w:p>
    <w:p>
      <w:pPr>
        <w:pStyle w:val="ListBullet"/>
      </w:pPr>
      <w:r>
        <w:t>Impacto</w:t>
      </w:r>
    </w:p>
    <w:p>
      <w:pPr>
        <w:pStyle w:val="ListBullet"/>
      </w:pPr>
      <w:r>
        <w:t>Riesgo inherente</w:t>
      </w:r>
    </w:p>
    <w:p>
      <w:pPr>
        <w:pStyle w:val="ListBullet"/>
      </w:pPr>
      <w:r>
        <w:t>Tratamiento</w:t>
      </w:r>
    </w:p>
    <w:p>
      <w:pPr>
        <w:pStyle w:val="ListBullet"/>
      </w:pPr>
      <w:r>
        <w:t>Propietario</w:t>
      </w:r>
    </w:p>
    <w:p>
      <w:pPr>
        <w:pStyle w:val="ListBullet"/>
      </w:pPr>
      <w:r>
        <w:t>Fecha</w:t>
      </w:r>
    </w:p>
    <w:p>
      <w:pPr>
        <w:pStyle w:val="ListBullet"/>
      </w:pPr>
      <w:r>
        <w:t>Riesgo residual</w:t>
      </w:r>
    </w:p>
    <w:p>
      <w:pPr>
        <w:pStyle w:val="ListBullet"/>
      </w:pPr>
      <w:r>
        <w:t>Aceptación</w:t>
      </w:r>
    </w:p>
    <w:p>
      <w:pPr>
        <w:pStyle w:val="ListBullet"/>
      </w:pPr>
      <w:r>
        <w:t>Revisión</w:t>
      </w:r>
    </w:p>
    <w:p>
      <w:pPr>
        <w:pStyle w:val="Heading2"/>
      </w:pPr>
      <w:r>
        <w:t>Campos de la Declaración de Aplicabilidad</w:t>
      </w:r>
    </w:p>
    <w:p>
      <w:pPr>
        <w:pStyle w:val="ListBullet"/>
      </w:pPr>
      <w:r>
        <w:t>Control del Anexo A</w:t>
      </w:r>
    </w:p>
    <w:p>
      <w:pPr>
        <w:pStyle w:val="ListBullet"/>
      </w:pPr>
      <w:r>
        <w:t>¿Aplicable?</w:t>
      </w:r>
    </w:p>
    <w:p>
      <w:pPr>
        <w:pStyle w:val="ListBullet"/>
      </w:pPr>
      <w:r>
        <w:t>Justificación</w:t>
      </w:r>
    </w:p>
    <w:p>
      <w:pPr>
        <w:pStyle w:val="ListBullet"/>
      </w:pPr>
      <w:r>
        <w:t>Estado</w:t>
      </w:r>
    </w:p>
    <w:p>
      <w:pPr>
        <w:pStyle w:val="ListBullet"/>
      </w:pPr>
      <w:r>
        <w:t>Propietario</w:t>
      </w:r>
    </w:p>
    <w:p>
      <w:pPr>
        <w:pStyle w:val="ListBullet"/>
      </w:pPr>
      <w:r>
        <w:t>Referencia</w:t>
      </w:r>
    </w:p>
    <w:p>
      <w:pPr>
        <w:pStyle w:val="ListBullet"/>
      </w:pPr>
      <w:r>
        <w:t>Evidencia</w:t>
      </w:r>
    </w:p>
    <w:p>
      <w:pPr>
        <w:pStyle w:val="ListBullet"/>
      </w:pPr>
      <w:r>
        <w:t>Última revisión</w:t>
      </w:r>
    </w:p>
    <w:p>
      <w:pPr>
        <w:pStyle w:val="Heading2"/>
      </w:pPr>
      <w:r>
        <w:t>Registro de auditoría interna</w:t>
      </w:r>
    </w:p>
    <w:p>
      <w:pPr>
        <w:pStyle w:val="ListBullet"/>
      </w:pPr>
      <w:r>
        <w:t>Objetivo y alcance</w:t>
      </w:r>
    </w:p>
    <w:p>
      <w:pPr>
        <w:pStyle w:val="ListBullet"/>
      </w:pPr>
      <w:r>
        <w:t>Criterios</w:t>
      </w:r>
    </w:p>
    <w:p>
      <w:pPr>
        <w:pStyle w:val="ListBullet"/>
      </w:pPr>
      <w:r>
        <w:t>Auditor</w:t>
      </w:r>
    </w:p>
    <w:p>
      <w:pPr>
        <w:pStyle w:val="ListBullet"/>
      </w:pPr>
      <w:r>
        <w:t>Fechas</w:t>
      </w:r>
    </w:p>
    <w:p>
      <w:pPr>
        <w:pStyle w:val="ListBullet"/>
      </w:pPr>
      <w:r>
        <w:t>Métodos</w:t>
      </w:r>
    </w:p>
    <w:p>
      <w:pPr>
        <w:pStyle w:val="ListBullet"/>
      </w:pPr>
      <w:r>
        <w:t>Evidencia</w:t>
      </w:r>
    </w:p>
    <w:p>
      <w:pPr>
        <w:pStyle w:val="ListBullet"/>
      </w:pPr>
      <w:r>
        <w:t>Conformidades</w:t>
      </w:r>
    </w:p>
    <w:p>
      <w:pPr>
        <w:pStyle w:val="ListBullet"/>
      </w:pPr>
      <w:r>
        <w:t>No conformidades</w:t>
      </w:r>
    </w:p>
    <w:p>
      <w:pPr>
        <w:pStyle w:val="ListBullet"/>
      </w:pPr>
      <w:r>
        <w:t>Observaciones</w:t>
      </w:r>
    </w:p>
    <w:p>
      <w:pPr>
        <w:pStyle w:val="ListBullet"/>
      </w:pPr>
      <w:r>
        <w:t>Responsable</w:t>
      </w:r>
    </w:p>
    <w:p>
      <w:pPr>
        <w:pStyle w:val="ListBullet"/>
      </w:pPr>
      <w:r>
        <w:t>Fecha</w:t>
      </w:r>
    </w:p>
    <w:p>
      <w:pPr>
        <w:pStyle w:val="ListBullet"/>
      </w:pPr>
      <w:r>
        <w:t>Seguimiento</w:t>
      </w:r>
    </w:p>
    <w:p>
      <w:pPr>
        <w:pStyle w:val="Heading1"/>
      </w:pPr>
      <w:r>
        <w:t>Errores comunes</w:t>
      </w:r>
    </w:p>
    <w:p>
      <w:pPr>
        <w:pStyle w:val="ListBullet"/>
      </w:pPr>
      <w:r>
        <w:t>Comprar plantillas y tratarlas como un SGSI terminado.</w:t>
      </w:r>
    </w:p>
    <w:p>
      <w:pPr>
        <w:pStyle w:val="ListBullet"/>
      </w:pPr>
      <w:r>
        <w:t>Crear demasiados documentos que nadie usa.</w:t>
      </w:r>
    </w:p>
    <w:p>
      <w:pPr>
        <w:pStyle w:val="ListBullet"/>
      </w:pPr>
      <w:r>
        <w:t>Reducir el alcance para ocultar dependencias críticas.</w:t>
      </w:r>
    </w:p>
    <w:p>
      <w:pPr>
        <w:pStyle w:val="ListBullet"/>
      </w:pPr>
      <w:r>
        <w:t>Confundir una política con evidencia de operación.</w:t>
      </w:r>
    </w:p>
    <w:p>
      <w:pPr>
        <w:pStyle w:val="ListBullet"/>
      </w:pPr>
      <w:r>
        <w:t>Aceptar riesgos sin autoridad adecuada.</w:t>
      </w:r>
    </w:p>
    <w:p>
      <w:pPr>
        <w:pStyle w:val="ListBullet"/>
      </w:pPr>
      <w:r>
        <w:t>Prepararse para la auditoría solo unas semanas antes.</w:t>
      </w:r>
    </w:p>
    <w:p>
      <w:pPr>
        <w:pStyle w:val="ListBullet"/>
      </w:pPr>
      <w:r>
        <w:t>Afirmar certificación antes de recibir un certificado válido.</w:t>
      </w:r>
    </w:p>
    <w:p>
      <w:pPr>
        <w:pStyle w:val="Heading1"/>
      </w:pPr>
      <w:r>
        <w:t>Referencias oficiales</w:t>
      </w:r>
    </w:p>
    <w:p>
      <w:hyperlink r:id="rId9">
        <w:r>
          <w:rPr>
            <w:color w:val="0563C1"/>
            <w:u w:val="single"/>
          </w:rPr>
          <w:t>ISO/IEC 27001:2022 official page</w:t>
        </w:r>
      </w:hyperlink>
    </w:p>
    <w:p>
      <w:hyperlink r:id="rId10">
        <w:r>
          <w:rPr>
            <w:color w:val="0563C1"/>
            <w:u w:val="single"/>
          </w:rPr>
          <w:t>ISO/IEC 27001:2022/Amd 1:2024</w:t>
        </w:r>
      </w:hyperlink>
    </w:p>
    <w:p>
      <w:hyperlink r:id="rId11">
        <w:r>
          <w:rPr>
            <w:color w:val="0563C1"/>
            <w:u w:val="single"/>
          </w:rPr>
          <w:t>ISO/IEC 27002:2022 official page</w:t>
        </w:r>
      </w:hyperlink>
    </w:p>
    <w:p>
      <w:hyperlink r:id="rId12">
        <w:r>
          <w:rPr>
            <w:color w:val="0563C1"/>
            <w:u w:val="single"/>
          </w:rPr>
          <w:t>ISO/IEC 27000 family</w:t>
        </w:r>
      </w:hyperlink>
    </w:p>
    <w:p>
      <w:pPr>
        <w:pStyle w:val="Heading1"/>
      </w:pPr>
      <w:r>
        <w:t>Licencia</w:t>
      </w:r>
    </w:p>
    <w:p>
      <w:r>
        <w:t>Copyright © 2026 Alberto (Al) Leiva. Licencia CC BY-NC-SA 4.0.</w:t>
      </w:r>
    </w:p>
    <w:sectPr w:rsidR="00FC693F" w:rsidRPr="0006063C" w:rsidSect="00034616">
      <w:footerReference w:type="default" r:id="rId13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Cómo implementar ISO/IEC 27001 - Español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ind w:left="360" w:right="360"/>
    </w:pPr>
    <w:rPr>
      <w:rFonts w:ascii="Aptos" w:hAnsi="Aptos"/>
      <w:i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so.org/standard/27001.html" TargetMode="External"/><Relationship Id="rId10" Type="http://schemas.openxmlformats.org/officeDocument/2006/relationships/hyperlink" Target="https://www.iso.org/standard/88435.html" TargetMode="External"/><Relationship Id="rId11" Type="http://schemas.openxmlformats.org/officeDocument/2006/relationships/hyperlink" Target="https://www.iso.org/standard/75652.html" TargetMode="External"/><Relationship Id="rId12" Type="http://schemas.openxmlformats.org/officeDocument/2006/relationships/hyperlink" Target="https://www.iso.org/standard/iso-iec-27000-family.html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