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CÓMO CREAR UN PROGRAMA DE RESPUESTA A INCIDENTES</w:t>
      </w:r>
    </w:p>
    <w:p>
      <w:pPr>
        <w:jc w:val="center"/>
      </w:pPr>
      <w:r>
        <w:rPr>
          <w:i/>
        </w:rPr>
        <w:t>Guía práctica para preparación, detección, análisis, contención, recuperación y mejora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Versión 1.0 - Julio de 2026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pStyle w:val="ListBullet"/>
      </w:pPr>
      <w:r>
        <w:t>Propósito y uso responsable</w:t>
      </w:r>
    </w:p>
    <w:p>
      <w:pPr>
        <w:pStyle w:val="ListBullet"/>
      </w:pPr>
      <w:r>
        <w:t>1. Fundamentos de respuesta a incidentes</w:t>
      </w:r>
    </w:p>
    <w:p>
      <w:pPr>
        <w:pStyle w:val="ListBullet"/>
      </w:pPr>
      <w:r>
        <w:t>2. Gobierno y estatuto del programa</w:t>
      </w:r>
    </w:p>
    <w:p>
      <w:pPr>
        <w:pStyle w:val="ListBullet"/>
      </w:pPr>
      <w:r>
        <w:t>3. Funciones y responsabilidades</w:t>
      </w:r>
    </w:p>
    <w:p>
      <w:pPr>
        <w:pStyle w:val="ListBullet"/>
      </w:pPr>
      <w:r>
        <w:t>4. Categorías y severidad</w:t>
      </w:r>
    </w:p>
    <w:p>
      <w:pPr>
        <w:pStyle w:val="ListBullet"/>
      </w:pPr>
      <w:r>
        <w:t>5. Preparación y capacidad</w:t>
      </w:r>
    </w:p>
    <w:p>
      <w:pPr>
        <w:pStyle w:val="ListBullet"/>
      </w:pPr>
      <w:r>
        <w:t>6. Detección y reporte</w:t>
      </w:r>
    </w:p>
    <w:p>
      <w:pPr>
        <w:pStyle w:val="ListBullet"/>
      </w:pPr>
      <w:r>
        <w:t>7. Triaje y análisis inicial</w:t>
      </w:r>
    </w:p>
    <w:p>
      <w:pPr>
        <w:pStyle w:val="ListBullet"/>
      </w:pPr>
      <w:r>
        <w:t>8. Estrategia de contención</w:t>
      </w:r>
    </w:p>
    <w:p>
      <w:pPr>
        <w:pStyle w:val="ListBullet"/>
      </w:pPr>
      <w:r>
        <w:t>9. Erradicación y corrección</w:t>
      </w:r>
    </w:p>
    <w:p>
      <w:pPr>
        <w:pStyle w:val="ListBullet"/>
      </w:pPr>
      <w:r>
        <w:t>10. Recuperación y restauración</w:t>
      </w:r>
    </w:p>
    <w:p>
      <w:pPr>
        <w:pStyle w:val="ListBullet"/>
      </w:pPr>
      <w:r>
        <w:t>11. Manejo de evidencia y forense</w:t>
      </w:r>
    </w:p>
    <w:p>
      <w:pPr>
        <w:pStyle w:val="ListBullet"/>
      </w:pPr>
      <w:r>
        <w:t>12. Comunicaciones y notificaciones</w:t>
      </w:r>
    </w:p>
    <w:p>
      <w:pPr>
        <w:pStyle w:val="ListBullet"/>
      </w:pPr>
      <w:r>
        <w:t>13. Playbook de ransomware</w:t>
      </w:r>
    </w:p>
    <w:p>
      <w:pPr>
        <w:pStyle w:val="ListBullet"/>
      </w:pPr>
      <w:r>
        <w:t>14. Incidentes de nube e identidad</w:t>
      </w:r>
    </w:p>
    <w:p>
      <w:pPr>
        <w:pStyle w:val="ListBullet"/>
      </w:pPr>
      <w:r>
        <w:t>15. Incidentes de terceros y cadena de suministro</w:t>
      </w:r>
    </w:p>
    <w:p>
      <w:pPr>
        <w:pStyle w:val="ListBullet"/>
      </w:pPr>
      <w:r>
        <w:t>16. Incidentes de sistemas de IA</w:t>
      </w:r>
    </w:p>
    <w:p>
      <w:pPr>
        <w:pStyle w:val="ListBullet"/>
      </w:pPr>
      <w:r>
        <w:t>17. Ejercicios y pruebas</w:t>
      </w:r>
    </w:p>
    <w:p>
      <w:pPr>
        <w:pStyle w:val="ListBullet"/>
      </w:pPr>
      <w:r>
        <w:t>18. Métricas y mejora continua</w:t>
      </w:r>
    </w:p>
    <w:p>
      <w:pPr>
        <w:pStyle w:val="ListBullet"/>
      </w:pPr>
      <w:r>
        <w:t>19. Plan de implementación de 30/60/90 días</w:t>
      </w:r>
    </w:p>
    <w:p>
      <w:pPr>
        <w:pStyle w:val="ListBullet"/>
      </w:pPr>
      <w:r>
        <w:t>20. Lista de preparación operativa</w:t>
      </w:r>
    </w:p>
    <w:p>
      <w:r>
        <w:br w:type="page"/>
      </w:r>
    </w:p>
    <w:p>
      <w:pPr>
        <w:pStyle w:val="Heading1"/>
      </w:pPr>
      <w:r>
        <w:t>Propósito y uso responsable</w:t>
      </w:r>
    </w:p>
    <w:p>
      <w:r>
        <w:t>Este manual explica cómo crear, operar, probar y mejorar un programa de respuesta a incidentes de ciberseguridad. Está destinado a usos defensivos, legales, autorizados y éticos.</w:t>
      </w:r>
    </w:p>
    <w:p>
      <w:r>
        <w:t>La seguridad humana, la privacidad, la integridad de la evidencia y las obligaciones legales deben mantenerse como prioridades durante toda investigación.</w:t>
      </w:r>
    </w:p>
    <w:p>
      <w:pPr>
        <w:pStyle w:val="Heading2"/>
      </w:pPr>
      <w:r>
        <w:t>Modelo de severidad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Nivel</w:t>
            </w:r>
          </w:p>
        </w:tc>
        <w:tc>
          <w:tcPr>
            <w:tcW w:type="dxa" w:w="3312"/>
            <w:shd w:fill="D9EAF7"/>
          </w:tcPr>
          <w:p>
            <w:r>
              <w:t>Criterios de ejemplo</w:t>
            </w:r>
          </w:p>
        </w:tc>
        <w:tc>
          <w:tcPr>
            <w:tcW w:type="dxa" w:w="3312"/>
            <w:shd w:fill="D9EAF7"/>
          </w:tcPr>
          <w:p>
            <w:r>
              <w:t>Respuesta objetivo</w:t>
            </w:r>
          </w:p>
        </w:tc>
      </w:tr>
      <w:tr>
        <w:tc>
          <w:tcPr>
            <w:tcW w:type="dxa" w:w="3312"/>
          </w:tcPr>
          <w:p>
            <w:r>
              <w:t>Crítico</w:t>
            </w:r>
          </w:p>
        </w:tc>
        <w:tc>
          <w:tcPr>
            <w:tcW w:type="dxa" w:w="3312"/>
          </w:tcPr>
          <w:p>
            <w:r>
              <w:t>Riesgo para personas, interrupción mayor, robo confirmado de datos sensibles, ransomware activo o compromiso privilegiado amplio</w:t>
            </w:r>
          </w:p>
        </w:tc>
        <w:tc>
          <w:tcPr>
            <w:tcW w:type="dxa" w:w="3312"/>
          </w:tcPr>
          <w:p>
            <w:r>
              <w:t>Activación ejecutiva inmediata y respuesta continua</w:t>
            </w:r>
          </w:p>
        </w:tc>
      </w:tr>
      <w:tr>
        <w:tc>
          <w:tcPr>
            <w:tcW w:type="dxa" w:w="3312"/>
          </w:tcPr>
          <w:p>
            <w:r>
              <w:t>Alto</w:t>
            </w:r>
          </w:p>
        </w:tc>
        <w:tc>
          <w:tcPr>
            <w:tcW w:type="dxa" w:w="3312"/>
          </w:tcPr>
          <w:p>
            <w:r>
              <w:t>Impacto material, exposición limitada, atacante persistente o proveedor crítico comprometido</w:t>
            </w:r>
          </w:p>
        </w:tc>
        <w:tc>
          <w:tcPr>
            <w:tcW w:type="dxa" w:w="3312"/>
          </w:tcPr>
          <w:p>
            <w:r>
              <w:t>Activación rápida y actualizaciones frecuentes</w:t>
            </w:r>
          </w:p>
        </w:tc>
      </w:tr>
      <w:tr>
        <w:tc>
          <w:tcPr>
            <w:tcW w:type="dxa" w:w="3312"/>
          </w:tcPr>
          <w:p>
            <w:r>
              <w:t>Medio</w:t>
            </w:r>
          </w:p>
        </w:tc>
        <w:tc>
          <w:tcPr>
            <w:tcW w:type="dxa" w:w="3312"/>
          </w:tcPr>
          <w:p>
            <w:r>
              <w:t>Compromiso contenido con impacto limitado o intento creíble</w:t>
            </w:r>
          </w:p>
        </w:tc>
        <w:tc>
          <w:tcPr>
            <w:tcW w:type="dxa" w:w="3312"/>
          </w:tcPr>
          <w:p>
            <w:r>
              <w:t>Responsable el mismo día hábil y actualizaciones programadas</w:t>
            </w:r>
          </w:p>
        </w:tc>
      </w:tr>
      <w:tr>
        <w:tc>
          <w:tcPr>
            <w:tcW w:type="dxa" w:w="3312"/>
          </w:tcPr>
          <w:p>
            <w:r>
              <w:t>Bajo</w:t>
            </w:r>
          </w:p>
        </w:tc>
        <w:tc>
          <w:tcPr>
            <w:tcW w:type="dxa" w:w="3312"/>
          </w:tcPr>
          <w:p>
            <w:r>
              <w:t>Evento sospechoso con bajo impacto y sin compromiso confirmado</w:t>
            </w:r>
          </w:p>
        </w:tc>
        <w:tc>
          <w:tcPr>
            <w:tcW w:type="dxa" w:w="3312"/>
          </w:tcPr>
          <w:p>
            <w:r>
              <w:t>Cola normal con disposición documentada</w:t>
            </w:r>
          </w:p>
        </w:tc>
      </w:tr>
    </w:tbl>
    <w:p/>
    <w:p>
      <w:pPr>
        <w:pStyle w:val="Heading1"/>
      </w:pPr>
      <w:r>
        <w:t>1. Fundamentos de respuesta a incidentes</w:t>
      </w:r>
    </w:p>
    <w:p>
      <w:r>
        <w:t>La respuesta a incidentes es una capacidad organizacional para prepararse, detectar, analizar, contener, erradicar, recuperar y aprender de incidentes de ciberseguridad.</w:t>
      </w:r>
    </w:p>
    <w:p>
      <w:r>
        <w:t>NIST SP 800-61 Revisión 3 integra la respuesta a incidentes en la gestión del riesgo de ciberseguridad y la alinea con NIST Cybersecurity Framework 2.0.</w:t>
      </w:r>
    </w:p>
    <w:p>
      <w:pPr>
        <w:pStyle w:val="Heading1"/>
      </w:pPr>
      <w:r>
        <w:t>2. Gobierno y estatuto del programa</w:t>
      </w:r>
    </w:p>
    <w:p>
      <w:r>
        <w:t>Defina la misión, autoridad, alcance, patrocinador ejecutivo, horario de servicio, autoridad de escalamiento, derechos de decisión, límites legales y expectativas de informes.</w:t>
      </w:r>
    </w:p>
    <w:p>
      <w:r>
        <w:t>El estatuto debe indicar quién puede aislar sistemas, deshabilitar cuentas, preservar evidencia, contratar asesores externos, contactar autoridades y comunicarse públicamente.</w:t>
      </w:r>
    </w:p>
    <w:p>
      <w:pPr>
        <w:pStyle w:val="Heading1"/>
      </w:pPr>
      <w:r>
        <w:t>3. Funciones y responsabilidades</w:t>
      </w:r>
    </w:p>
    <w:p>
      <w:r>
        <w:t>Cree un equipo multifuncional con operaciones de seguridad, TI, nube, identidad, asuntos legales, privacidad, recursos humanos, comunicaciones, continuidad, seguridad física y liderazgo ejecutivo.</w:t>
      </w:r>
    </w:p>
    <w:p>
      <w:r>
        <w:t>Use una matriz RACI para que cada tarea crítica tenga un responsable y una cobertura de respaldo.</w:t>
      </w:r>
    </w:p>
    <w:p>
      <w:pPr>
        <w:pStyle w:val="Heading1"/>
      </w:pPr>
      <w:r>
        <w:t>4. Categorías y severidad</w:t>
      </w:r>
    </w:p>
    <w:p>
      <w:r>
        <w:t>Defina categorías como malware, ransomware, compromiso de identidad, exposición de datos, abuso de nube, actividad interna, denegación de servicio, compromiso de aplicaciones, incidente de proveedor e incidente de IA.</w:t>
      </w:r>
    </w:p>
    <w:p>
      <w:r>
        <w:t>La severidad debe considerar impacto empresarial, sensibilidad de datos, seguridad, alcance, persistencia, exposición regulatoria, interrupción y capacidad del atacante.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5. Preparación y capacidad</w:t>
      </w:r>
    </w:p>
    <w:p>
      <w:r>
        <w:t>Mantenga inventarios precisos, sistemas fortalecidos, copias protegidas, registros centralizados, tiempo sincronizado, contactos probados, diagramas actuales, acceso de emergencia y playbooks documentados.</w:t>
      </w:r>
    </w:p>
    <w:p>
      <w:r>
        <w:t>Prepare comunicaciones seguras fuera de banda por si el correo o las herramientas normales están comprometidos.</w:t>
      </w:r>
    </w:p>
    <w:p>
      <w:pPr>
        <w:pStyle w:val="Heading1"/>
      </w:pPr>
      <w:r>
        <w:t>6. Detección y reporte</w:t>
      </w:r>
    </w:p>
    <w:p>
      <w:r>
        <w:t>Cree varios canales de reporte para empleados, clientes, proveedores, herramientas automáticas e investigadores externos.</w:t>
      </w:r>
    </w:p>
    <w:p>
      <w:r>
        <w:t>Defina la información mínima: reportante, hora, activos, comportamiento, ubicación de evidencia, impacto y acciones ya realizadas.</w:t>
      </w:r>
    </w:p>
    <w:p>
      <w:pPr>
        <w:pStyle w:val="Heading2"/>
      </w:pPr>
      <w:r>
        <w:t>Registros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Registro</w:t>
            </w:r>
          </w:p>
        </w:tc>
        <w:tc>
          <w:tcPr>
            <w:tcW w:type="dxa" w:w="4968"/>
            <w:shd w:fill="D9EAF7"/>
          </w:tcPr>
          <w:p>
            <w:r>
              <w:t>Propósito</w:t>
            </w:r>
          </w:p>
        </w:tc>
      </w:tr>
      <w:tr>
        <w:tc>
          <w:tcPr>
            <w:tcW w:type="dxa" w:w="4968"/>
          </w:tcPr>
          <w:p>
            <w:r>
              <w:t>Ticket de incidente</w:t>
            </w:r>
          </w:p>
        </w:tc>
        <w:tc>
          <w:tcPr>
            <w:tcW w:type="dxa" w:w="4968"/>
          </w:tcPr>
          <w:p>
            <w:r>
              <w:t>Cronología, propiedad, decisiones, acciones y estado</w:t>
            </w:r>
          </w:p>
        </w:tc>
      </w:tr>
      <w:tr>
        <w:tc>
          <w:tcPr>
            <w:tcW w:type="dxa" w:w="4968"/>
          </w:tcPr>
          <w:p>
            <w:r>
              <w:t>Registro de evidencia</w:t>
            </w:r>
          </w:p>
        </w:tc>
        <w:tc>
          <w:tcPr>
            <w:tcW w:type="dxa" w:w="4968"/>
          </w:tcPr>
          <w:p>
            <w:r>
              <w:t>Fuente, método, hash, almacenamiento, acceso y transferencias</w:t>
            </w:r>
          </w:p>
        </w:tc>
      </w:tr>
      <w:tr>
        <w:tc>
          <w:tcPr>
            <w:tcW w:type="dxa" w:w="4968"/>
          </w:tcPr>
          <w:p>
            <w:r>
              <w:t>Registro de decisiones</w:t>
            </w:r>
          </w:p>
        </w:tc>
        <w:tc>
          <w:tcPr>
            <w:tcW w:type="dxa" w:w="4968"/>
          </w:tcPr>
          <w:p>
            <w:r>
              <w:t>Contención, notificación, recuperación y aceptación de riesgo</w:t>
            </w:r>
          </w:p>
        </w:tc>
      </w:tr>
      <w:tr>
        <w:tc>
          <w:tcPr>
            <w:tcW w:type="dxa" w:w="4968"/>
          </w:tcPr>
          <w:p>
            <w:r>
              <w:t>Línea de tiempo</w:t>
            </w:r>
          </w:p>
        </w:tc>
        <w:tc>
          <w:tcPr>
            <w:tcW w:type="dxa" w:w="4968"/>
          </w:tcPr>
          <w:p>
            <w:r>
              <w:t>Secuencia normalizada de actividad ofensiva y defensiva</w:t>
            </w:r>
          </w:p>
        </w:tc>
      </w:tr>
      <w:tr>
        <w:tc>
          <w:tcPr>
            <w:tcW w:type="dxa" w:w="4968"/>
          </w:tcPr>
          <w:p>
            <w:r>
              <w:t>Informe posterior</w:t>
            </w:r>
          </w:p>
        </w:tc>
        <w:tc>
          <w:tcPr>
            <w:tcW w:type="dxa" w:w="4968"/>
          </w:tcPr>
          <w:p>
            <w:r>
              <w:t>Causas, impacto, lecciones, acciones y responsables</w:t>
            </w:r>
          </w:p>
        </w:tc>
      </w:tr>
    </w:tbl>
    <w:p/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7. Triaje y análisis inicial</w:t>
      </w:r>
    </w:p>
    <w:p>
      <w:r>
        <w:t>Valide si el evento es un incidente, determine alcance y urgencia, identifique identidades y sistemas afectados, preserve evidencia volátil y asigne un comandante.</w:t>
      </w:r>
    </w:p>
    <w:p>
      <w:r>
        <w:t>Evite conclusiones prematuras. Separe hechos confirmados, hipótesis, incógnitas y niveles de confianza.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8. Estrategia de contención</w:t>
      </w:r>
    </w:p>
    <w:p>
      <w:r>
        <w:t>La contención debe reducir el daño, preservar evidencia y evitar interrupciones innecesarias.</w:t>
      </w:r>
    </w:p>
    <w:p>
      <w:r>
        <w:t>Las opciones incluyen deshabilitar cuentas, revocar tokens, aislar equipos, bloquear indicadores, restringir redes, suspender integraciones, rotar credenciales y retirar servicios vulnerables.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9. Erradicación y corrección</w:t>
      </w:r>
    </w:p>
    <w:p>
      <w:r>
        <w:t>Elimine artefactos maliciosos, cierre persistencia, corrija vulnerabilidades, repare configuraciones, reconstruya sistemas cuando exista baja confianza e invalide credenciales robadas.</w:t>
      </w:r>
    </w:p>
    <w:p>
      <w:r>
        <w:t>No declare finalizada la erradicación hasta probar persistencia alternativa y compromisos relacionados.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10. Recuperación y restauración</w:t>
      </w:r>
    </w:p>
    <w:p>
      <w:r>
        <w:t>Restaure servicios de manera controlada, valide integridad, aumente el monitoreo, obtenga aceptación del negocio y mantenga un plan de reversión.</w:t>
      </w:r>
    </w:p>
    <w:p>
      <w:r>
        <w:t>Los criterios de recuperación deben ser medibles y aprobados por propietarios técnicos y empresariales.</w:t>
      </w:r>
    </w:p>
    <w:p>
      <w:pPr>
        <w:pStyle w:val="Heading2"/>
      </w:pPr>
      <w:r>
        <w:t>RACI de ejemplo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Actividad</w:t>
            </w:r>
          </w:p>
        </w:tc>
        <w:tc>
          <w:tcPr>
            <w:tcW w:type="dxa" w:w="2484"/>
            <w:shd w:fill="D9EAF7"/>
          </w:tcPr>
          <w:p>
            <w:r>
              <w:t>Responsable final</w:t>
            </w:r>
          </w:p>
        </w:tc>
        <w:tc>
          <w:tcPr>
            <w:tcW w:type="dxa" w:w="2484"/>
            <w:shd w:fill="D9EAF7"/>
          </w:tcPr>
          <w:p>
            <w:r>
              <w:t>Ejecutor</w:t>
            </w:r>
          </w:p>
        </w:tc>
        <w:tc>
          <w:tcPr>
            <w:tcW w:type="dxa" w:w="2484"/>
            <w:shd w:fill="D9EAF7"/>
          </w:tcPr>
          <w:p>
            <w:r>
              <w:t>Consultados</w:t>
            </w:r>
          </w:p>
        </w:tc>
      </w:tr>
      <w:tr>
        <w:tc>
          <w:tcPr>
            <w:tcW w:type="dxa" w:w="2484"/>
          </w:tcPr>
          <w:p>
            <w:r>
              <w:t>Declarar incidente crítico</w:t>
            </w:r>
          </w:p>
        </w:tc>
        <w:tc>
          <w:tcPr>
            <w:tcW w:type="dxa" w:w="2484"/>
          </w:tcPr>
          <w:p>
            <w:r>
              <w:t>Líder ejecutivo</w:t>
            </w:r>
          </w:p>
        </w:tc>
        <w:tc>
          <w:tcPr>
            <w:tcW w:type="dxa" w:w="2484"/>
          </w:tcPr>
          <w:p>
            <w:r>
              <w:t>Comandante del incidente</w:t>
            </w:r>
          </w:p>
        </w:tc>
        <w:tc>
          <w:tcPr>
            <w:tcW w:type="dxa" w:w="2484"/>
          </w:tcPr>
          <w:p>
            <w:r>
              <w:t>Legal y propietario del negocio</w:t>
            </w:r>
          </w:p>
        </w:tc>
      </w:tr>
      <w:tr>
        <w:tc>
          <w:tcPr>
            <w:tcW w:type="dxa" w:w="2484"/>
          </w:tcPr>
          <w:p>
            <w:r>
              <w:t>Aislar endpoint</w:t>
            </w:r>
          </w:p>
        </w:tc>
        <w:tc>
          <w:tcPr>
            <w:tcW w:type="dxa" w:w="2484"/>
          </w:tcPr>
          <w:p>
            <w:r>
              <w:t>Líder de operaciones de seguridad</w:t>
            </w:r>
          </w:p>
        </w:tc>
        <w:tc>
          <w:tcPr>
            <w:tcW w:type="dxa" w:w="2484"/>
          </w:tcPr>
          <w:p>
            <w:r>
              <w:t>SOC/EDR</w:t>
            </w:r>
          </w:p>
        </w:tc>
        <w:tc>
          <w:tcPr>
            <w:tcW w:type="dxa" w:w="2484"/>
          </w:tcPr>
          <w:p>
            <w:r>
              <w:t>Operaciones de TI</w:t>
            </w:r>
          </w:p>
        </w:tc>
      </w:tr>
      <w:tr>
        <w:tc>
          <w:tcPr>
            <w:tcW w:type="dxa" w:w="2484"/>
          </w:tcPr>
          <w:p>
            <w:r>
              <w:t>Notificar regulador</w:t>
            </w:r>
          </w:p>
        </w:tc>
        <w:tc>
          <w:tcPr>
            <w:tcW w:type="dxa" w:w="2484"/>
          </w:tcPr>
          <w:p>
            <w:r>
              <w:t>Líder legal/privacidad</w:t>
            </w:r>
          </w:p>
        </w:tc>
        <w:tc>
          <w:tcPr>
            <w:tcW w:type="dxa" w:w="2484"/>
          </w:tcPr>
          <w:p>
            <w:r>
              <w:t>Equipo legal/privacidad</w:t>
            </w:r>
          </w:p>
        </w:tc>
        <w:tc>
          <w:tcPr>
            <w:tcW w:type="dxa" w:w="2484"/>
          </w:tcPr>
          <w:p>
            <w:r>
              <w:t>Patrocinador ejecutivo</w:t>
            </w:r>
          </w:p>
        </w:tc>
      </w:tr>
      <w:tr>
        <w:tc>
          <w:tcPr>
            <w:tcW w:type="dxa" w:w="2484"/>
          </w:tcPr>
          <w:p>
            <w:r>
              <w:t>Restaurar servicio</w:t>
            </w:r>
          </w:p>
        </w:tc>
        <w:tc>
          <w:tcPr>
            <w:tcW w:type="dxa" w:w="2484"/>
          </w:tcPr>
          <w:p>
            <w:r>
              <w:t>Propietario del servicio</w:t>
            </w:r>
          </w:p>
        </w:tc>
        <w:tc>
          <w:tcPr>
            <w:tcW w:type="dxa" w:w="2484"/>
          </w:tcPr>
          <w:p>
            <w:r>
              <w:t>Equipo TI/nube</w:t>
            </w:r>
          </w:p>
        </w:tc>
        <w:tc>
          <w:tcPr>
            <w:tcW w:type="dxa" w:w="2484"/>
          </w:tcPr>
          <w:p>
            <w:r>
              <w:t>Seguridad y continuidad</w:t>
            </w:r>
          </w:p>
        </w:tc>
      </w:tr>
    </w:tbl>
    <w:p/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11. Manejo de evidencia y forense</w:t>
      </w:r>
    </w:p>
    <w:p>
      <w:r>
        <w:t>Preserve evidencia según requisitos legales, regulatorios, de seguros e internos. Documente hora, recolector, fuente, método, hashes cuando corresponda, transferencias, almacenamiento y acceso.</w:t>
      </w:r>
    </w:p>
    <w:p>
      <w:r>
        <w:t>Use personal capacitado y herramientas aprobadas. No altere innecesariamente la evidencia original.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12. Comunicaciones y notificaciones</w:t>
      </w:r>
    </w:p>
    <w:p>
      <w:r>
        <w:t>Cree planes internos, ejecutivos, para clientes, reguladores, autoridades, aseguradoras y medios antes de un incidente.</w:t>
      </w:r>
    </w:p>
    <w:p>
      <w:r>
        <w:t>Use hechos verificados, proteja información privilegiada, evite especulación, coordine tiempos y mantenga un registro de decisiones.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13. Playbook de ransomware</w:t>
      </w:r>
    </w:p>
    <w:p>
      <w:r>
        <w:t>Las prioridades incluyen vida y seguridad, contención, protección de identidades, evidencia, restauración desde copias confiables, coordinación legal y evaluación de robo de datos.</w:t>
      </w:r>
    </w:p>
    <w:p>
      <w:r>
        <w:t>No suponga que el cifrado es el único impacto. Investigue credenciales, persistencia, movimiento lateral y exfiltración.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14. Incidentes de nube e identidad</w:t>
      </w:r>
    </w:p>
    <w:p>
      <w:r>
        <w:t>Los incidentes de nube suelen incluir tokens robados, permisos excesivos, secretos expuestos, automatización comprometida, aplicaciones OAuth maliciosas o cambios en los registros.</w:t>
      </w:r>
    </w:p>
    <w:p>
      <w:r>
        <w:t>Revise registros del proveedor de identidad, acceso condicional, roles privilegiados, entidades de servicio, identidades de carga de trabajo, plano de control y acceso a datos.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15. Incidentes de terceros y cadena de suministro</w:t>
      </w:r>
    </w:p>
    <w:p>
      <w:r>
        <w:t>Exija notificación oportuna, alcance, indicadores, servicios afectados, estado de contención y evidencia necesaria para evaluar el impacto.</w:t>
      </w:r>
    </w:p>
    <w:p>
      <w:r>
        <w:t>Mantenga contactos alternativos y opciones de continuidad para proveedores críticos.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16. Incidentes de sistemas de IA</w:t>
      </w:r>
    </w:p>
    <w:p>
      <w:r>
        <w:t>Pueden incluir inyección de instrucciones, filtración de datos, acciones autónomas inseguras, contaminación de modelos o RAG, herramientas de agentes comprometidas y abuso de identidades no humanas.</w:t>
      </w:r>
    </w:p>
    <w:p>
      <w:r>
        <w:t>Contenga agentes, herramientas, índices, credenciales y endpoints. Preserve instrucciones, llamadas a herramientas, versiones y aprobaciones, protegiendo la privacidad.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17. Ejercicios y pruebas</w:t>
      </w:r>
    </w:p>
    <w:p>
      <w:r>
        <w:t>Use ejercicios de mesa, simulaciones técnicas, pruebas de comunicación, restauración de copias y ejercicios con proveedores.</w:t>
      </w:r>
    </w:p>
    <w:p>
      <w:r>
        <w:t>Cada ejercicio debe producir hallazgos, responsables, fechas, nuevas pruebas y cambios documentados.</w:t>
      </w:r>
    </w:p>
    <w:p>
      <w:pPr>
        <w:pStyle w:val="Heading2"/>
      </w:pPr>
      <w:r>
        <w:t>Controles prácticos</w:t>
      </w:r>
    </w:p>
    <w:p>
      <w:pPr>
        <w:pStyle w:val="ListBullet"/>
      </w:pPr>
      <w:r>
        <w:t>Documente las decisiones y el responsable.</w:t>
      </w:r>
    </w:p>
    <w:p>
      <w:pPr>
        <w:pStyle w:val="ListBullet"/>
      </w:pPr>
      <w:r>
        <w:t>Preserve evidencia antes de realizar cambios destructivos.</w:t>
      </w:r>
    </w:p>
    <w:p>
      <w:pPr>
        <w:pStyle w:val="ListBullet"/>
      </w:pPr>
      <w:r>
        <w:t>Aplique privilegio mínimo y aprobación para acciones de alto impacto.</w:t>
      </w:r>
    </w:p>
    <w:p>
      <w:pPr>
        <w:pStyle w:val="ListBullet"/>
      </w:pPr>
      <w:r>
        <w:t>Mantenga una cronología con hora normalizada.</w:t>
      </w:r>
    </w:p>
    <w:p>
      <w:pPr>
        <w:pStyle w:val="Heading1"/>
      </w:pPr>
      <w:r>
        <w:t>18. Métricas y mejora continua</w:t>
      </w:r>
    </w:p>
    <w:p>
      <w:r>
        <w:t>Mida preparación, tiempo de detección, análisis, contención y recuperación, recurrencia, calidad de evidencia, ejercicios, acciones vencidas y satisfacción de interesados.</w:t>
      </w:r>
    </w:p>
    <w:p>
      <w:r>
        <w:t>Use las métricas para mejorar la capacidad, no para castigar a quien reporta incidentes.</w:t>
      </w:r>
    </w:p>
    <w:p>
      <w:pPr>
        <w:pStyle w:val="Heading1"/>
      </w:pPr>
      <w:r>
        <w:t>19. Plan de implementación de 30/60/90 días</w:t>
      </w:r>
    </w:p>
    <w:p>
      <w:r>
        <w:t>Primeros 30 días: patrocinio, estatuto, contactos, severidad, canal de reporte, playbooks prioritarios y registros mínimos.</w:t>
      </w:r>
    </w:p>
    <w:p>
      <w:r>
        <w:t>Días 31-60: funciones, evidencia, comunicaciones, proveedores, ejercicios y capacidades técnicas de contención.</w:t>
      </w:r>
    </w:p>
    <w:p>
      <w:r>
        <w:t>Días 61-90: ejercicio completo, corrección de brechas, automatización, lecciones aprendidas y aprobación ejecutiva.</w:t>
      </w:r>
    </w:p>
    <w:p>
      <w:pPr>
        <w:pStyle w:val="Heading1"/>
      </w:pPr>
      <w:r>
        <w:t>20. Lista de preparación operativa</w:t>
      </w:r>
    </w:p>
    <w:p>
      <w:r>
        <w:t>Use la siguiente lista antes de declarar operativo el programa.</w:t>
      </w:r>
    </w:p>
    <w:p>
      <w:pPr>
        <w:pStyle w:val="Heading2"/>
      </w:pPr>
      <w:r>
        <w:t>Lista de verificación</w:t>
      </w:r>
    </w:p>
    <w:p>
      <w:r>
        <w:rPr>
          <w:b/>
        </w:rPr>
        <w:t xml:space="preserve">☐ </w:t>
      </w:r>
      <w:r>
        <w:t>Patrocinador ejecutivo asignado</w:t>
      </w:r>
    </w:p>
    <w:p>
      <w:r>
        <w:rPr>
          <w:b/>
        </w:rPr>
        <w:t xml:space="preserve">☐ </w:t>
      </w:r>
      <w:r>
        <w:t>Estatuto aprobado</w:t>
      </w:r>
    </w:p>
    <w:p>
      <w:r>
        <w:rPr>
          <w:b/>
        </w:rPr>
        <w:t xml:space="preserve">☐ </w:t>
      </w:r>
      <w:r>
        <w:t>Contactos y escalamiento probados</w:t>
      </w:r>
    </w:p>
    <w:p>
      <w:r>
        <w:rPr>
          <w:b/>
        </w:rPr>
        <w:t xml:space="preserve">☐ </w:t>
      </w:r>
      <w:r>
        <w:t>Matriz de severidad aprobada</w:t>
      </w:r>
    </w:p>
    <w:p>
      <w:r>
        <w:rPr>
          <w:b/>
        </w:rPr>
        <w:t xml:space="preserve">☐ </w:t>
      </w:r>
      <w:r>
        <w:t>Playbooks prioritarios documentados</w:t>
      </w:r>
    </w:p>
    <w:p>
      <w:r>
        <w:rPr>
          <w:b/>
        </w:rPr>
        <w:t xml:space="preserve">☐ </w:t>
      </w:r>
      <w:r>
        <w:t>Comunicación segura fuera de banda disponible</w:t>
      </w:r>
    </w:p>
    <w:p>
      <w:r>
        <w:rPr>
          <w:b/>
        </w:rPr>
        <w:t xml:space="preserve">☐ </w:t>
      </w:r>
      <w:r>
        <w:t>Registros y sincronización horaria verificados</w:t>
      </w:r>
    </w:p>
    <w:p>
      <w:r>
        <w:rPr>
          <w:b/>
        </w:rPr>
        <w:t xml:space="preserve">☐ </w:t>
      </w:r>
      <w:r>
        <w:t>Procedimiento de evidencia aprobado</w:t>
      </w:r>
    </w:p>
    <w:p>
      <w:r>
        <w:rPr>
          <w:b/>
        </w:rPr>
        <w:t xml:space="preserve">☐ </w:t>
      </w:r>
      <w:r>
        <w:t>Contactos legales, privacidad, seguros y comunicaciones confirmados</w:t>
      </w:r>
    </w:p>
    <w:p>
      <w:r>
        <w:rPr>
          <w:b/>
        </w:rPr>
        <w:t xml:space="preserve">☐ </w:t>
      </w:r>
      <w:r>
        <w:t>Autoridad de contención documentada</w:t>
      </w:r>
    </w:p>
    <w:p>
      <w:r>
        <w:rPr>
          <w:b/>
        </w:rPr>
        <w:t xml:space="preserve">☐ </w:t>
      </w:r>
      <w:r>
        <w:t>Restauración de copias probada</w:t>
      </w:r>
    </w:p>
    <w:p>
      <w:r>
        <w:rPr>
          <w:b/>
        </w:rPr>
        <w:t xml:space="preserve">☐ </w:t>
      </w:r>
      <w:r>
        <w:t>Procedimientos de nube e identidad probados</w:t>
      </w:r>
    </w:p>
    <w:p>
      <w:r>
        <w:rPr>
          <w:b/>
        </w:rPr>
        <w:t xml:space="preserve">☐ </w:t>
      </w:r>
      <w:r>
        <w:t>Requisitos de notificación de proveedores establecidos</w:t>
      </w:r>
    </w:p>
    <w:p>
      <w:r>
        <w:rPr>
          <w:b/>
        </w:rPr>
        <w:t xml:space="preserve">☐ </w:t>
      </w:r>
      <w:r>
        <w:t>Procedimientos para incidentes de IA incluidos cuando correspondan</w:t>
      </w:r>
    </w:p>
    <w:p>
      <w:r>
        <w:rPr>
          <w:b/>
        </w:rPr>
        <w:t xml:space="preserve">☐ </w:t>
      </w:r>
      <w:r>
        <w:t>Ejercicio de mesa completado</w:t>
      </w:r>
    </w:p>
    <w:p>
      <w:r>
        <w:rPr>
          <w:b/>
        </w:rPr>
        <w:t xml:space="preserve">☐ </w:t>
      </w:r>
      <w:r>
        <w:t>Acciones correctivas cerradas</w:t>
      </w:r>
    </w:p>
    <w:p>
      <w:r>
        <w:rPr>
          <w:b/>
        </w:rPr>
        <w:t xml:space="preserve">☐ </w:t>
      </w:r>
      <w:r>
        <w:t>Métricas e informes ejecutivos establecidos</w:t>
      </w:r>
    </w:p>
    <w:p>
      <w:r>
        <w:rPr>
          <w:b/>
        </w:rPr>
        <w:t xml:space="preserve">☐ </w:t>
      </w:r>
      <w:r>
        <w:t>Fecha de revisión anual programada</w:t>
      </w:r>
    </w:p>
    <w:p>
      <w:pPr>
        <w:pStyle w:val="Heading1"/>
      </w:pPr>
      <w:r>
        <w:t>Referencias oficiales</w:t>
      </w:r>
    </w:p>
    <w:p>
      <w:hyperlink r:id="rId9">
        <w:r>
          <w:rPr>
            <w:color w:val="0563C1"/>
            <w:u w:val="single"/>
          </w:rPr>
          <w:t>NIST SP 800-61 Rev. 3 - Incident Response Recommendations and Considerations</w:t>
        </w:r>
      </w:hyperlink>
    </w:p>
    <w:p>
      <w:hyperlink r:id="rId10">
        <w:r>
          <w:rPr>
            <w:color w:val="0563C1"/>
            <w:u w:val="single"/>
          </w:rPr>
          <w:t>NIST Cybersecurity Framework 2.0</w:t>
        </w:r>
      </w:hyperlink>
    </w:p>
    <w:p>
      <w:hyperlink r:id="rId11">
        <w:r>
          <w:rPr>
            <w:color w:val="0563C1"/>
            <w:u w:val="single"/>
          </w:rPr>
          <w:t>CISA Cybersecurity Incident and Vulnerability Response Playbooks</w:t>
        </w:r>
      </w:hyperlink>
    </w:p>
    <w:p>
      <w:hyperlink r:id="rId12">
        <w:r>
          <w:rPr>
            <w:color w:val="0563C1"/>
            <w:u w:val="single"/>
          </w:rPr>
          <w:t>Microsoft incident response planning</w:t>
        </w:r>
      </w:hyperlink>
    </w:p>
    <w:p>
      <w:hyperlink r:id="rId13">
        <w:r>
          <w:rPr>
            <w:color w:val="0563C1"/>
            <w:u w:val="single"/>
          </w:rPr>
          <w:t>Microsoft cloud security benchmark - Incident Response</w:t>
        </w:r>
      </w:hyperlink>
    </w:p>
    <w:p>
      <w:pPr>
        <w:pStyle w:val="Heading1"/>
      </w:pPr>
      <w:r>
        <w:t>Licencia</w:t>
      </w:r>
    </w:p>
    <w:p>
      <w:r>
        <w:t>Copyright © 2026 Alberto (Al) Leiva. Licencia CC BY-NC-SA 4.0.</w:t>
      </w:r>
    </w:p>
    <w:sectPr w:rsidR="00FC693F" w:rsidRPr="0006063C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Programa de respuesta a incidentes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src.nist.gov/pubs/sp/800/61/r3/final" TargetMode="External"/><Relationship Id="rId10" Type="http://schemas.openxmlformats.org/officeDocument/2006/relationships/hyperlink" Target="https://www.nist.gov/cyberframework" TargetMode="External"/><Relationship Id="rId11" Type="http://schemas.openxmlformats.org/officeDocument/2006/relationships/hyperlink" Target="https://www.cisa.gov/resources-tools/resources/federal-government-cybersecurity-incident-and-vulnerability-response-playbooks" TargetMode="External"/><Relationship Id="rId12" Type="http://schemas.openxmlformats.org/officeDocument/2006/relationships/hyperlink" Target="https://learn.microsoft.com/security/operations/incident-response-planning" TargetMode="External"/><Relationship Id="rId13" Type="http://schemas.openxmlformats.org/officeDocument/2006/relationships/hyperlink" Target="https://learn.microsoft.com/security/benchmark/azure/mcsb-incident-response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