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HOW TO BUILD CYBERSECURITY METRICS AND EXECUTIVE REPORTING</w:t>
      </w:r>
    </w:p>
    <w:p>
      <w:pPr>
        <w:jc w:val="center"/>
      </w:pPr>
      <w:r>
        <w:rPr>
          <w:i/>
        </w:rPr>
        <w:t>A concise, practical implementation manual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Version 1.0 - July 2026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Use this manual for lawful, authorized, defensive work. Adapt controls to organizational risk, legal obligations, accessibility needs, and available resources.</w:t>
      </w:r>
    </w:p>
    <w:p>
      <w:pPr>
        <w:pStyle w:val="Heading1"/>
      </w:pPr>
      <w:r>
        <w:t>Measurement strategy</w:t>
      </w:r>
    </w:p>
    <w:p>
      <w:pPr>
        <w:pStyle w:val="ListBullet"/>
      </w:pPr>
      <w:r>
        <w:t>Start with business decisions, risk questions, and desired outcomes.</w:t>
      </w:r>
    </w:p>
    <w:p>
      <w:pPr>
        <w:pStyle w:val="ListBullet"/>
      </w:pPr>
      <w:r>
        <w:t>Define audience, purpose, owner, formula, source, frequency, target, threshold, and limitations for every metric.</w:t>
      </w:r>
    </w:p>
    <w:p>
      <w:pPr>
        <w:pStyle w:val="ListBullet"/>
      </w:pPr>
      <w:r>
        <w:t>Use a balanced set of leading, lagging, coverage, quality, risk, and resilience measures.</w:t>
      </w:r>
    </w:p>
    <w:p>
      <w:pPr>
        <w:pStyle w:val="Heading1"/>
      </w:pPr>
      <w:r>
        <w:t>Data quality and governance</w:t>
      </w:r>
    </w:p>
    <w:p>
      <w:pPr>
        <w:pStyle w:val="ListBullet"/>
      </w:pPr>
      <w:r>
        <w:t>Assign data owners and validate completeness, consistency, timeliness, and lineage.</w:t>
      </w:r>
    </w:p>
    <w:p>
      <w:pPr>
        <w:pStyle w:val="ListBullet"/>
      </w:pPr>
      <w:r>
        <w:t>Automate collection where practical but retain human review.</w:t>
      </w:r>
    </w:p>
    <w:p>
      <w:pPr>
        <w:pStyle w:val="ListBullet"/>
      </w:pPr>
      <w:r>
        <w:t>Do not compare teams or periods when definitions changed without explanation.</w:t>
      </w:r>
    </w:p>
    <w:p>
      <w:pPr>
        <w:pStyle w:val="Heading1"/>
      </w:pPr>
      <w:r>
        <w:t>Operational metrics</w:t>
      </w:r>
    </w:p>
    <w:p>
      <w:pPr>
        <w:pStyle w:val="ListBullet"/>
      </w:pPr>
      <w:r>
        <w:t>Track control coverage, vulnerabilities, identity risk, detection quality, incidents, recovery, suppliers, cloud, awareness, and exceptions.</w:t>
      </w:r>
    </w:p>
    <w:p>
      <w:pPr>
        <w:pStyle w:val="ListBullet"/>
      </w:pPr>
      <w:r>
        <w:t>Use rates and denominators rather than raw counts alone.</w:t>
      </w:r>
    </w:p>
    <w:p>
      <w:pPr>
        <w:pStyle w:val="ListBullet"/>
      </w:pPr>
      <w:r>
        <w:t>Segment by criticality, exposure, business service, and trend.</w:t>
      </w:r>
    </w:p>
    <w:p>
      <w:pPr>
        <w:pStyle w:val="Heading1"/>
      </w:pPr>
      <w:r>
        <w:t>Risk and outcome metrics</w:t>
      </w:r>
    </w:p>
    <w:p>
      <w:pPr>
        <w:pStyle w:val="ListBullet"/>
      </w:pPr>
      <w:r>
        <w:t>Connect technical conditions to probable business impact.</w:t>
      </w:r>
    </w:p>
    <w:p>
      <w:pPr>
        <w:pStyle w:val="ListBullet"/>
      </w:pPr>
      <w:r>
        <w:t>Show residual risk, concentration, control effectiveness, and demonstrated recovery capability.</w:t>
      </w:r>
    </w:p>
    <w:p>
      <w:pPr>
        <w:pStyle w:val="ListBullet"/>
      </w:pPr>
      <w:r>
        <w:t>Avoid false precision when uncertainty is high.</w:t>
      </w:r>
    </w:p>
    <w:p>
      <w:pPr>
        <w:pStyle w:val="Heading1"/>
      </w:pPr>
      <w:r>
        <w:t>Executive reporting</w:t>
      </w:r>
    </w:p>
    <w:p>
      <w:pPr>
        <w:pStyle w:val="ListBullet"/>
      </w:pPr>
      <w:r>
        <w:t>Lead with decisions required, changes in exposure, major exceptions, and resource implications.</w:t>
      </w:r>
    </w:p>
    <w:p>
      <w:pPr>
        <w:pStyle w:val="ListBullet"/>
      </w:pPr>
      <w:r>
        <w:t>Use concise trends, thresholds, and plain language.</w:t>
      </w:r>
    </w:p>
    <w:p>
      <w:pPr>
        <w:pStyle w:val="ListBullet"/>
      </w:pPr>
      <w:r>
        <w:t>Separate facts, estimates, assumptions, and management acceptance.</w:t>
      </w:r>
    </w:p>
    <w:p>
      <w:pPr>
        <w:pStyle w:val="Heading1"/>
      </w:pPr>
      <w:r>
        <w:t>Targets and incentives</w:t>
      </w:r>
    </w:p>
    <w:p>
      <w:pPr>
        <w:pStyle w:val="ListBullet"/>
      </w:pPr>
      <w:r>
        <w:t>Set targets based on risk appetite and realistic capability.</w:t>
      </w:r>
    </w:p>
    <w:p>
      <w:pPr>
        <w:pStyle w:val="ListBullet"/>
      </w:pPr>
      <w:r>
        <w:t>Avoid targets that encourage hiding incidents or closing findings prematurely.</w:t>
      </w:r>
    </w:p>
    <w:p>
      <w:pPr>
        <w:pStyle w:val="ListBullet"/>
      </w:pPr>
      <w:r>
        <w:t>Review whether a metric drives the intended behavior.</w:t>
      </w:r>
    </w:p>
    <w:p>
      <w:pPr>
        <w:pStyle w:val="Heading1"/>
      </w:pPr>
      <w:r>
        <w:t>Roadmap and sample dashboard</w:t>
      </w:r>
    </w:p>
    <w:p>
      <w:pPr>
        <w:pStyle w:val="ListBullet"/>
      </w:pPr>
      <w:r>
        <w:t>Days 1-30: define audiences, questions, owners, and ten core measures. Days 31-60: validate sources, thresholds, and reporting. Days 61-90: automate, review behavior, and retire low-value metrics.</w:t>
      </w:r>
    </w:p>
    <w:p>
      <w:pPr>
        <w:pStyle w:val="ListBullet"/>
      </w:pPr>
      <w:r>
        <w:t>Recommended dashboard: top risks, risk trend, critical control coverage, material incidents, overdue high-risk actions, recovery testing, supplier concentration, and decisions needed.</w:t>
      </w:r>
    </w:p>
    <w:p>
      <w:pPr>
        <w:pStyle w:val="Heading1"/>
      </w:pPr>
      <w:r>
        <w:t>Implementation checklist</w:t>
      </w:r>
    </w:p>
    <w:p>
      <w:r>
        <w:rPr>
          <w:b/>
        </w:rPr>
        <w:t xml:space="preserve">☐ </w:t>
      </w:r>
      <w:r>
        <w:t>Owner assigned</w:t>
      </w:r>
    </w:p>
    <w:p>
      <w:r>
        <w:rPr>
          <w:b/>
        </w:rPr>
        <w:t xml:space="preserve">☐ </w:t>
      </w:r>
      <w:r>
        <w:t>Scope approved</w:t>
      </w:r>
    </w:p>
    <w:p>
      <w:r>
        <w:rPr>
          <w:b/>
        </w:rPr>
        <w:t xml:space="preserve">☐ </w:t>
      </w:r>
      <w:r>
        <w:t>Inventory complete</w:t>
      </w:r>
    </w:p>
    <w:p>
      <w:r>
        <w:rPr>
          <w:b/>
        </w:rPr>
        <w:t xml:space="preserve">☐ </w:t>
      </w:r>
      <w:r>
        <w:t>Risks prioritized</w:t>
      </w:r>
    </w:p>
    <w:p>
      <w:r>
        <w:rPr>
          <w:b/>
        </w:rPr>
        <w:t xml:space="preserve">☐ </w:t>
      </w:r>
      <w:r>
        <w:t>Policies documented</w:t>
      </w:r>
    </w:p>
    <w:p>
      <w:r>
        <w:rPr>
          <w:b/>
        </w:rPr>
        <w:t xml:space="preserve">☐ </w:t>
      </w:r>
      <w:r>
        <w:t>Controls implemented</w:t>
      </w:r>
    </w:p>
    <w:p>
      <w:r>
        <w:rPr>
          <w:b/>
        </w:rPr>
        <w:t xml:space="preserve">☐ </w:t>
      </w:r>
      <w:r>
        <w:t>Evidence retained</w:t>
      </w:r>
    </w:p>
    <w:p>
      <w:r>
        <w:rPr>
          <w:b/>
        </w:rPr>
        <w:t xml:space="preserve">☐ </w:t>
      </w:r>
      <w:r>
        <w:t>Exceptions expire</w:t>
      </w:r>
    </w:p>
    <w:p>
      <w:r>
        <w:rPr>
          <w:b/>
        </w:rPr>
        <w:t xml:space="preserve">☐ </w:t>
      </w:r>
      <w:r>
        <w:t>Testing completed</w:t>
      </w:r>
    </w:p>
    <w:p>
      <w:r>
        <w:rPr>
          <w:b/>
        </w:rPr>
        <w:t xml:space="preserve">☐ </w:t>
      </w:r>
      <w:r>
        <w:t>Management review recorded</w:t>
      </w:r>
    </w:p>
    <w:p>
      <w:pPr>
        <w:pStyle w:val="Heading1"/>
      </w:pPr>
      <w:r>
        <w:t>Official references</w:t>
      </w:r>
    </w:p>
    <w:p>
      <w:pPr>
        <w:pStyle w:val="ListBullet"/>
      </w:pPr>
      <w:r>
        <w:t>NIST SP 800-55 Volume 2: https://csrc.nist.gov/pubs/sp/800/55/v2/final</w:t>
      </w:r>
    </w:p>
    <w:p>
      <w:pPr>
        <w:pStyle w:val="ListBullet"/>
      </w:pPr>
      <w:r>
        <w:t>NIST Cybersecurity Measurement: https://www.nist.gov/cybersecurity-measurement</w:t>
      </w:r>
    </w:p>
    <w:p>
      <w:pPr>
        <w:pStyle w:val="ListBullet"/>
      </w:pPr>
      <w:r>
        <w:t>NIST CSF 2.0: https://www.nist.gov/cyberframework</w:t>
      </w:r>
    </w:p>
    <w:p>
      <w:pPr>
        <w:pStyle w:val="Heading1"/>
      </w:pPr>
      <w:r>
        <w:t>License</w:t>
      </w:r>
    </w:p>
    <w:p>
      <w:r>
        <w:t>Copyright © 2026 Alberto (Al) Leiva. Licensed under CC BY-NC-SA 4.0.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How to Build Cybersecurity Metrics and Executive Reporting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