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HOW TO BUILD A SECURITY OPERATIONS CENTER PROGRAM</w:t>
      </w:r>
    </w:p>
    <w:p>
      <w:pPr>
        <w:jc w:val="center"/>
      </w:pPr>
      <w:r>
        <w:rPr>
          <w:i/>
        </w:rPr>
        <w:t>A concise, practical implementation manual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Use this manual for lawful, authorized, defensive work. Adapt controls to organizational risk, legal obligations, accessibility needs, and available resources.</w:t>
      </w:r>
    </w:p>
    <w:p>
      <w:pPr>
        <w:pStyle w:val="Heading1"/>
      </w:pPr>
      <w:r>
        <w:t>Purpose and operating model</w:t>
      </w:r>
    </w:p>
    <w:p>
      <w:pPr>
        <w:pStyle w:val="ListBullet"/>
      </w:pPr>
      <w:r>
        <w:t>Define the SOC mission, scope, customers, authority, service hours, escalation paths, and relationship with incident response.</w:t>
      </w:r>
    </w:p>
    <w:p>
      <w:pPr>
        <w:pStyle w:val="ListBullet"/>
      </w:pPr>
      <w:r>
        <w:t>Choose an internal, outsourced, co-managed, or virtual model based on risk, staffing, coverage, and budget.</w:t>
      </w:r>
    </w:p>
    <w:p>
      <w:pPr>
        <w:pStyle w:val="ListBullet"/>
      </w:pPr>
      <w:r>
        <w:t>Create a service catalog covering monitoring, triage, investigation, threat hunting, detection engineering, vulnerability coordination, and reporting.</w:t>
      </w:r>
    </w:p>
    <w:p>
      <w:pPr>
        <w:pStyle w:val="Heading1"/>
      </w:pPr>
      <w:r>
        <w:t>People and roles</w:t>
      </w:r>
    </w:p>
    <w:p>
      <w:pPr>
        <w:pStyle w:val="ListBullet"/>
      </w:pPr>
      <w:r>
        <w:t>Assign a SOC manager, shift leads, analysts, detection engineers, threat hunters, incident responders, platform engineers, and business liaisons.</w:t>
      </w:r>
    </w:p>
    <w:p>
      <w:pPr>
        <w:pStyle w:val="ListBullet"/>
      </w:pPr>
      <w:r>
        <w:t>Use clear tiering without trapping analysts in repetitive work.</w:t>
      </w:r>
    </w:p>
    <w:p>
      <w:pPr>
        <w:pStyle w:val="ListBullet"/>
      </w:pPr>
      <w:r>
        <w:t>Provide training, mentoring, accessible procedures, reasonable workloads, and fatigue controls.</w:t>
      </w:r>
    </w:p>
    <w:p>
      <w:pPr>
        <w:pStyle w:val="Heading1"/>
      </w:pPr>
      <w:r>
        <w:t>Technology and telemetry</w:t>
      </w:r>
    </w:p>
    <w:p>
      <w:pPr>
        <w:pStyle w:val="ListBullet"/>
      </w:pPr>
      <w:r>
        <w:t>Prioritize identity, endpoint, network, cloud, email, application, vulnerability, and critical-business telemetry.</w:t>
      </w:r>
    </w:p>
    <w:p>
      <w:pPr>
        <w:pStyle w:val="ListBullet"/>
      </w:pPr>
      <w:r>
        <w:t>Normalize time, asset identity, user identity, and event fields.</w:t>
      </w:r>
    </w:p>
    <w:p>
      <w:pPr>
        <w:pStyle w:val="ListBullet"/>
      </w:pPr>
      <w:r>
        <w:t>Protect logs, define retention, monitor ingestion failures, and avoid collecting sensitive data without purpose.</w:t>
      </w:r>
    </w:p>
    <w:p>
      <w:pPr>
        <w:pStyle w:val="Heading1"/>
      </w:pPr>
      <w:r>
        <w:t>Detection engineering</w:t>
      </w:r>
    </w:p>
    <w:p>
      <w:pPr>
        <w:pStyle w:val="ListBullet"/>
      </w:pPr>
      <w:r>
        <w:t>Map detections to threats, attack paths, assets, and business impact.</w:t>
      </w:r>
    </w:p>
    <w:p>
      <w:pPr>
        <w:pStyle w:val="ListBullet"/>
      </w:pPr>
      <w:r>
        <w:t>Document purpose, logic, data sources, owner, severity, expected false positives, response steps, and test evidence.</w:t>
      </w:r>
    </w:p>
    <w:p>
      <w:pPr>
        <w:pStyle w:val="ListBullet"/>
      </w:pPr>
      <w:r>
        <w:t>Tune continuously and retire obsolete rules.</w:t>
      </w:r>
    </w:p>
    <w:p>
      <w:pPr>
        <w:pStyle w:val="Heading1"/>
      </w:pPr>
      <w:r>
        <w:t>Triage and investigation</w:t>
      </w:r>
    </w:p>
    <w:p>
      <w:pPr>
        <w:pStyle w:val="ListBullet"/>
      </w:pPr>
      <w:r>
        <w:t>Use severity criteria that combine confidence, scope, privilege, data, business impact, and active exploitation.</w:t>
      </w:r>
    </w:p>
    <w:p>
      <w:pPr>
        <w:pStyle w:val="ListBullet"/>
      </w:pPr>
      <w:r>
        <w:t>Preserve evidence and record decisions.</w:t>
      </w:r>
    </w:p>
    <w:p>
      <w:pPr>
        <w:pStyle w:val="ListBullet"/>
      </w:pPr>
      <w:r>
        <w:t>Escalate quickly when safety, sensitive data, privileged access, or widespread compromise may be involved.</w:t>
      </w:r>
    </w:p>
    <w:p>
      <w:pPr>
        <w:pStyle w:val="Heading1"/>
      </w:pPr>
      <w:r>
        <w:t>Threat hunting and intelligence</w:t>
      </w:r>
    </w:p>
    <w:p>
      <w:pPr>
        <w:pStyle w:val="ListBullet"/>
      </w:pPr>
      <w:r>
        <w:t>Use intelligence to form testable hypotheses rather than collect indicators without context.</w:t>
      </w:r>
    </w:p>
    <w:p>
      <w:pPr>
        <w:pStyle w:val="ListBullet"/>
      </w:pPr>
      <w:r>
        <w:t>Hunt only in authorized environments.</w:t>
      </w:r>
    </w:p>
    <w:p>
      <w:pPr>
        <w:pStyle w:val="ListBullet"/>
      </w:pPr>
      <w:r>
        <w:t>Convert validated findings into detections, controls, and lessons learned.</w:t>
      </w:r>
    </w:p>
    <w:p>
      <w:pPr>
        <w:pStyle w:val="Heading1"/>
      </w:pPr>
      <w:r>
        <w:t>Quality, metrics, and roadmap</w:t>
      </w:r>
    </w:p>
    <w:p>
      <w:pPr>
        <w:pStyle w:val="ListBullet"/>
      </w:pPr>
      <w:r>
        <w:t>Measure coverage, alert quality, time to acknowledge, time to contain, reopened incidents, detection gaps, and analyst workload.</w:t>
      </w:r>
    </w:p>
    <w:p>
      <w:pPr>
        <w:pStyle w:val="ListBullet"/>
      </w:pPr>
      <w:r>
        <w:t>Avoid rewarding alert closure speed at the expense of accuracy.</w:t>
      </w:r>
    </w:p>
    <w:p>
      <w:pPr>
        <w:pStyle w:val="ListBullet"/>
      </w:pPr>
      <w:r>
        <w:t>Days 1-30: scope, telemetry, roles, and critical playbooks. Days 31-60: detection lifecycle, case management, and exercises. Days 61-90: hunting, metrics, automation, and executive review.</w:t>
      </w:r>
    </w:p>
    <w:p>
      <w:pPr>
        <w:pStyle w:val="Heading1"/>
      </w:pPr>
      <w:r>
        <w:t>Implementation checklist</w:t>
      </w:r>
    </w:p>
    <w:p>
      <w:r>
        <w:rPr>
          <w:b/>
        </w:rPr>
        <w:t xml:space="preserve">☐ </w:t>
      </w:r>
      <w:r>
        <w:t>Owner assigned</w:t>
      </w:r>
    </w:p>
    <w:p>
      <w:r>
        <w:rPr>
          <w:b/>
        </w:rPr>
        <w:t xml:space="preserve">☐ </w:t>
      </w:r>
      <w:r>
        <w:t>Scope approved</w:t>
      </w:r>
    </w:p>
    <w:p>
      <w:r>
        <w:rPr>
          <w:b/>
        </w:rPr>
        <w:t xml:space="preserve">☐ </w:t>
      </w:r>
      <w:r>
        <w:t>Inventory complete</w:t>
      </w:r>
    </w:p>
    <w:p>
      <w:r>
        <w:rPr>
          <w:b/>
        </w:rPr>
        <w:t xml:space="preserve">☐ </w:t>
      </w:r>
      <w:r>
        <w:t>Risks prioritized</w:t>
      </w:r>
    </w:p>
    <w:p>
      <w:r>
        <w:rPr>
          <w:b/>
        </w:rPr>
        <w:t xml:space="preserve">☐ </w:t>
      </w:r>
      <w:r>
        <w:t>Policies documented</w:t>
      </w:r>
    </w:p>
    <w:p>
      <w:r>
        <w:rPr>
          <w:b/>
        </w:rPr>
        <w:t xml:space="preserve">☐ </w:t>
      </w:r>
      <w:r>
        <w:t>Controls implemented</w:t>
      </w:r>
    </w:p>
    <w:p>
      <w:r>
        <w:rPr>
          <w:b/>
        </w:rPr>
        <w:t xml:space="preserve">☐ </w:t>
      </w:r>
      <w:r>
        <w:t>Evidence retained</w:t>
      </w:r>
    </w:p>
    <w:p>
      <w:r>
        <w:rPr>
          <w:b/>
        </w:rPr>
        <w:t xml:space="preserve">☐ </w:t>
      </w:r>
      <w:r>
        <w:t>Exceptions expire</w:t>
      </w:r>
    </w:p>
    <w:p>
      <w:r>
        <w:rPr>
          <w:b/>
        </w:rPr>
        <w:t xml:space="preserve">☐ </w:t>
      </w:r>
      <w:r>
        <w:t>Testing completed</w:t>
      </w:r>
    </w:p>
    <w:p>
      <w:r>
        <w:rPr>
          <w:b/>
        </w:rPr>
        <w:t xml:space="preserve">☐ </w:t>
      </w:r>
      <w:r>
        <w:t>Management review recorded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NIST SP 800-61 Rev. 3: https://csrc.nist.gov/pubs/sp/800/61/r3/final</w:t>
      </w:r>
    </w:p>
    <w:p>
      <w:pPr>
        <w:pStyle w:val="ListBullet"/>
      </w:pPr>
      <w:r>
        <w:t>NIST CSF 2.0: https://www.nist.gov/cyberframework</w:t>
      </w:r>
    </w:p>
    <w:p>
      <w:pPr>
        <w:pStyle w:val="ListBullet"/>
      </w:pPr>
      <w:r>
        <w:t>MITRE ATT&amp;CK: https://attack.mitre.org/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How to Build a Security Operations Center Program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