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CÓMO REALIZAR EVALUACIONES DE RIESGO DE TERCEROS Y PROVEEDORES</w:t>
      </w:r>
    </w:p>
    <w:p>
      <w:pPr>
        <w:jc w:val="center"/>
      </w:pPr>
      <w:r>
        <w:rPr>
          <w:i/>
          <w:sz w:val="28"/>
        </w:rPr>
        <w:t>Guía práctica de diligencia debida, contratos, evidencia, monitoreo, incidentes y seguridad de la cadena de suministro</w:t>
      </w:r>
    </w:p>
    <w:p/>
    <w:p>
      <w:pPr>
        <w:jc w:val="center"/>
      </w:pPr>
      <w:r>
        <w:rPr>
          <w:b/>
          <w:sz w:val="26"/>
        </w:rPr>
        <w:t>Alberto (Al) Leiva</w:t>
      </w:r>
    </w:p>
    <w:p>
      <w:pPr>
        <w:jc w:val="center"/>
      </w:pPr>
      <w:r>
        <w:t>Versión 1.0 - Julio de 2026</w:t>
      </w:r>
    </w:p>
    <w:p/>
    <w:p>
      <w:r>
        <w:rPr>
          <w:b/>
        </w:rPr>
        <w:t xml:space="preserve">La seguridad humana y la equidad son lo primero. </w:t>
      </w:r>
      <w:r>
        <w:t>Este manual está destinado a usos legales, autorizados y defensivos. Las evaluaciones de proveedores deben ser justas, basadas en evidencia, proporcionales al riesgo y respetuosas de la confidencialidad.</w:t>
      </w:r>
    </w:p>
    <w:p>
      <w:r>
        <w:br w:type="page"/>
      </w:r>
    </w:p>
    <w:p>
      <w:pPr>
        <w:pStyle w:val="Heading1"/>
      </w:pPr>
      <w:r>
        <w:t>1. Propósito y resultados</w:t>
      </w:r>
    </w:p>
    <w:p>
      <w:pPr>
        <w:pStyle w:val="ListBullet"/>
      </w:pPr>
      <w:r>
        <w:t>Identificar cómo un proveedor, servicio, contratista, producto de software, plataforma de nube o proveedor de IA puede afectar a la organización.</w:t>
      </w:r>
    </w:p>
    <w:p>
      <w:pPr>
        <w:pStyle w:val="ListBullet"/>
      </w:pPr>
      <w:r>
        <w:t>Decidir si la relación es aceptable, requiere corrección, necesita mejores cláusulas o no debe continuar.</w:t>
      </w:r>
    </w:p>
    <w:p>
      <w:pPr>
        <w:pStyle w:val="ListBullet"/>
      </w:pPr>
      <w:r>
        <w:t>Crear un registro repetible de alcance, evidencia, hallazgos, decisiones, responsables y fechas de revisión.</w:t>
      </w:r>
    </w:p>
    <w:p>
      <w:pPr>
        <w:pStyle w:val="ListBullet"/>
      </w:pPr>
      <w:r>
        <w:t>Aplicar mayor diligencia a relaciones de alto riesgo sin crear barreras innecesarias para proveedores de bajo riesgo.</w:t>
      </w:r>
    </w:p>
    <w:p>
      <w:pPr>
        <w:pStyle w:val="Heading1"/>
      </w:pPr>
      <w:r>
        <w:t>2. Gobierno del programa</w:t>
      </w:r>
    </w:p>
    <w:p>
      <w:pPr>
        <w:pStyle w:val="ListBullet"/>
      </w:pPr>
      <w:r>
        <w:t>Asignar patrocinio ejecutivo y responsabilidades claras entre seguridad, privacidad, asuntos legales, compras, cumplimiento, negocio y tecnología.</w:t>
      </w:r>
    </w:p>
    <w:p>
      <w:pPr>
        <w:pStyle w:val="ListBullet"/>
      </w:pPr>
      <w:r>
        <w:t>Definir metodología, niveles de riesgo, evidencia, escalamiento, autoridad de excepciones y frecuencia de revisión.</w:t>
      </w:r>
    </w:p>
    <w:p>
      <w:pPr>
        <w:pStyle w:val="ListBullet"/>
      </w:pPr>
      <w:r>
        <w:t>Mantener independencia entre el patrocinador empresarial y quien aprueba riesgo residual material.</w:t>
      </w:r>
    </w:p>
    <w:p>
      <w:pPr>
        <w:pStyle w:val="ListBullet"/>
      </w:pPr>
      <w:r>
        <w:t>Medir oportunidad, evaluaciones vencidas, hallazgos críticos, concentración e incidentes.</w:t>
      </w:r>
    </w:p>
    <w:p>
      <w:pPr>
        <w:pStyle w:val="Heading1"/>
      </w:pPr>
      <w:r>
        <w:t>3. Inventario de proveedores</w:t>
      </w:r>
    </w:p>
    <w:p>
      <w:pPr>
        <w:pStyle w:val="ListBullet"/>
      </w:pPr>
      <w:r>
        <w:t>Registrar nombre legal, empresa matriz, servicio, propietario, contrato, países, datos, integraciones, subcontratistas, renovación y terminación.</w:t>
      </w:r>
    </w:p>
    <w:p>
      <w:pPr>
        <w:pStyle w:val="ListBullet"/>
      </w:pPr>
      <w:r>
        <w:t>Incluir software gratuito, código abierto, aplicaciones de marketplace, consultores, intermediarios de datos, servicios de IA y tecnología no autorizada.</w:t>
      </w:r>
    </w:p>
    <w:p>
      <w:pPr>
        <w:pStyle w:val="ListBullet"/>
      </w:pPr>
      <w:r>
        <w:t>Relacionar proveedores con servicios empresariales, sistemas, datos, regulaciones y continuidad.</w:t>
      </w:r>
    </w:p>
    <w:p>
      <w:pPr>
        <w:pStyle w:val="ListBullet"/>
      </w:pPr>
      <w:r>
        <w:t>Marcar correctamente proveedores inactivos, duplicados, adquiridos o terminados.</w:t>
      </w:r>
    </w:p>
    <w:p>
      <w:pPr>
        <w:pStyle w:val="Heading1"/>
      </w:pPr>
      <w:r>
        <w:t>4. Clasificación inicial</w:t>
      </w:r>
    </w:p>
    <w:p>
      <w:pPr>
        <w:pStyle w:val="ListBullet"/>
      </w:pPr>
      <w:r>
        <w:t>Clasifique antes de enviar un cuestionario extenso.</w:t>
      </w:r>
    </w:p>
    <w:p>
      <w:pPr>
        <w:pStyle w:val="ListBullet"/>
      </w:pPr>
      <w:r>
        <w:t>Considere sensibilidad de datos, acceso privilegiado, conectividad, autoridad transaccional, criticidad, usuarios, geografía, IA, subcontratistas y facilidad de reemplazo.</w:t>
      </w:r>
    </w:p>
    <w:p>
      <w:pPr>
        <w:pStyle w:val="ListBullet"/>
      </w:pPr>
      <w:r>
        <w:t>Use una puntuación de riesgo inherente sencilla con juicio profesional y excepciones documentadas.</w:t>
      </w:r>
    </w:p>
    <w:p>
      <w:pPr>
        <w:pStyle w:val="ListBullet"/>
      </w:pPr>
      <w:r>
        <w:t>No considere a un proveedor pequeño como bajo riesgo solamente por su tamaño.</w:t>
      </w:r>
    </w:p>
    <w:p>
      <w:pPr>
        <w:pStyle w:val="Heading1"/>
      </w:pPr>
      <w:r>
        <w:t>5. Alcance de la evaluación</w:t>
      </w:r>
    </w:p>
    <w:p>
      <w:pPr>
        <w:pStyle w:val="ListBullet"/>
      </w:pPr>
      <w:r>
        <w:t>Defina producto, servicio, entorno, flujo de datos, interfaces, ubicaciones y contrato.</w:t>
      </w:r>
    </w:p>
    <w:p>
      <w:pPr>
        <w:pStyle w:val="ListBullet"/>
      </w:pPr>
      <w:r>
        <w:t>Indique si la revisión cubre toda la empresa, un producto, un servicio alojado, una región o un tratamiento específico.</w:t>
      </w:r>
    </w:p>
    <w:p>
      <w:pPr>
        <w:pStyle w:val="ListBullet"/>
      </w:pPr>
      <w:r>
        <w:t>Identifique exclusiones y sus razones.</w:t>
      </w:r>
    </w:p>
    <w:p>
      <w:pPr>
        <w:pStyle w:val="ListBullet"/>
      </w:pPr>
      <w:r>
        <w:t>Defina fechas de evidencia y rechace evidencia obsoleta.</w:t>
      </w:r>
    </w:p>
    <w:p>
      <w:pPr>
        <w:pStyle w:val="Heading1"/>
      </w:pPr>
      <w:r>
        <w:t>6. Evidencia de diligencia debida</w:t>
      </w:r>
    </w:p>
    <w:p>
      <w:pPr>
        <w:pStyle w:val="ListBullet"/>
      </w:pPr>
      <w:r>
        <w:t>Prefiera evidencia sobre respuestas sin respaldo.</w:t>
      </w:r>
    </w:p>
    <w:p>
      <w:pPr>
        <w:pStyle w:val="ListBullet"/>
      </w:pPr>
      <w:r>
        <w:t>La evidencia puede incluir informes SOC, certificados ISO, resúmenes de pruebas, políticas, diagramas, vulnerabilidades, continuidad, ejercicios de incidentes, privacidad y desarrollo seguro.</w:t>
      </w:r>
    </w:p>
    <w:p>
      <w:pPr>
        <w:pStyle w:val="ListBullet"/>
      </w:pPr>
      <w:r>
        <w:t>Verifique alcance, período, emisor, cualificaciones, excepciones, respuestas y controles complementarios del cliente.</w:t>
      </w:r>
    </w:p>
    <w:p>
      <w:pPr>
        <w:pStyle w:val="ListBullet"/>
      </w:pPr>
      <w:r>
        <w:t>Proteja la evidencia confidencial del proveedor.</w:t>
      </w:r>
    </w:p>
    <w:p>
      <w:pPr>
        <w:pStyle w:val="Heading1"/>
      </w:pPr>
      <w:r>
        <w:t>7. Dominios de seguridad</w:t>
      </w:r>
    </w:p>
    <w:p>
      <w:pPr>
        <w:pStyle w:val="ListBullet"/>
      </w:pPr>
      <w:r>
        <w:t>Gobierno y gestión de riesgos.</w:t>
      </w:r>
    </w:p>
    <w:p>
      <w:pPr>
        <w:pStyle w:val="ListBullet"/>
      </w:pPr>
      <w:r>
        <w:t>Identidad, acceso privilegiado y autenticación.</w:t>
      </w:r>
    </w:p>
    <w:p>
      <w:pPr>
        <w:pStyle w:val="ListBullet"/>
      </w:pPr>
      <w:r>
        <w:t>Protección, cifrado, retención y eliminación de datos.</w:t>
      </w:r>
    </w:p>
    <w:p>
      <w:pPr>
        <w:pStyle w:val="ListBullet"/>
      </w:pPr>
      <w:r>
        <w:t>Seguridad de red y nube.</w:t>
      </w:r>
    </w:p>
    <w:p>
      <w:pPr>
        <w:pStyle w:val="ListBullet"/>
      </w:pPr>
      <w:r>
        <w:t>Desarrollo seguro, vulnerabilidades y cadena de software.</w:t>
      </w:r>
    </w:p>
    <w:p>
      <w:pPr>
        <w:pStyle w:val="ListBullet"/>
      </w:pPr>
      <w:r>
        <w:t>Registros, monitoreo, detección y respuesta.</w:t>
      </w:r>
    </w:p>
    <w:p>
      <w:pPr>
        <w:pStyle w:val="ListBullet"/>
      </w:pPr>
      <w:r>
        <w:t>Continuidad, recuperación y resiliencia.</w:t>
      </w:r>
    </w:p>
    <w:p>
      <w:pPr>
        <w:pStyle w:val="ListBullet"/>
      </w:pPr>
      <w:r>
        <w:t>Privacidad, regulación y contratos.</w:t>
      </w:r>
    </w:p>
    <w:p>
      <w:pPr>
        <w:pStyle w:val="ListBullet"/>
      </w:pPr>
      <w:r>
        <w:t>Subcontratistas y cuartas partes.</w:t>
      </w:r>
    </w:p>
    <w:p>
      <w:pPr>
        <w:pStyle w:val="ListBullet"/>
      </w:pPr>
      <w:r>
        <w:t>Sistemas de IA, modelos, agentes, datos de entrenamiento, RAG y decisiones automatizadas.</w:t>
      </w:r>
    </w:p>
    <w:p>
      <w:pPr>
        <w:pStyle w:val="Heading1"/>
      </w:pPr>
      <w:r>
        <w:t>8. Diseño del cuestionario</w:t>
      </w:r>
    </w:p>
    <w:p>
      <w:pPr>
        <w:pStyle w:val="ListBullet"/>
      </w:pPr>
      <w:r>
        <w:t>Pregunte únicamente lo que pueda cambiar una decisión o requisito.</w:t>
      </w:r>
    </w:p>
    <w:p>
      <w:pPr>
        <w:pStyle w:val="ListBullet"/>
      </w:pPr>
      <w:r>
        <w:t>Use preguntas condicionales.</w:t>
      </w:r>
    </w:p>
    <w:p>
      <w:pPr>
        <w:pStyle w:val="ListBullet"/>
      </w:pPr>
      <w:r>
        <w:t>Solicite evidencia clara para afirmaciones materiales.</w:t>
      </w:r>
    </w:p>
    <w:p>
      <w:pPr>
        <w:pStyle w:val="ListBullet"/>
      </w:pPr>
      <w:r>
        <w:t>Evite copiar cientos de controles sin explicar su aplicación.</w:t>
      </w:r>
    </w:p>
    <w:p>
      <w:pPr>
        <w:pStyle w:val="ListBullet"/>
      </w:pPr>
      <w:r>
        <w:t>Permita explicar controles compensatorios y planes de corrección.</w:t>
      </w:r>
    </w:p>
    <w:p>
      <w:pPr>
        <w:pStyle w:val="ListBullet"/>
      </w:pPr>
      <w:r>
        <w:t>Registre fuente, marco, evidencia, conclusión y vencimiento.</w:t>
      </w:r>
    </w:p>
    <w:p>
      <w:pPr>
        <w:pStyle w:val="Heading1"/>
      </w:pPr>
      <w:r>
        <w:t>9. Revisión de informes SOC y certificaciones</w:t>
      </w:r>
    </w:p>
    <w:p>
      <w:pPr>
        <w:pStyle w:val="ListBullet"/>
      </w:pPr>
      <w:r>
        <w:t>Confirme que cubren el servicio comprado.</w:t>
      </w:r>
    </w:p>
    <w:p>
      <w:pPr>
        <w:pStyle w:val="ListBullet"/>
      </w:pPr>
      <w:r>
        <w:t>Revise período, opinión, limitaciones, exclusiones, excepciones, subservicios y controles del cliente.</w:t>
      </w:r>
    </w:p>
    <w:p>
      <w:pPr>
        <w:pStyle w:val="ListBullet"/>
      </w:pPr>
      <w:r>
        <w:t>No trate un informe limpio como prueba de que todos los riesgos están cubiertos.</w:t>
      </w:r>
    </w:p>
    <w:p>
      <w:pPr>
        <w:pStyle w:val="ListBullet"/>
      </w:pPr>
      <w:r>
        <w:t>Confirme la vigencia y acreditación cuando corresponda.</w:t>
      </w:r>
    </w:p>
    <w:p>
      <w:pPr>
        <w:pStyle w:val="ListBullet"/>
      </w:pPr>
      <w:r>
        <w:t>Solicite cartas puente o evidencia reciente cuando haya terminado el período.</w:t>
      </w:r>
    </w:p>
    <w:p>
      <w:pPr>
        <w:pStyle w:val="Heading1"/>
      </w:pPr>
      <w:r>
        <w:t>10. Riesgo de nube, software y código abierto</w:t>
      </w:r>
    </w:p>
    <w:p>
      <w:pPr>
        <w:pStyle w:val="ListBullet"/>
      </w:pPr>
      <w:r>
        <w:t>Identifique alojamiento, regiones, tenencia, acceso administrativo, copias, cifrado, registros y responsabilidades del cliente.</w:t>
      </w:r>
    </w:p>
    <w:p>
      <w:pPr>
        <w:pStyle w:val="ListBullet"/>
      </w:pPr>
      <w:r>
        <w:t>Revise SBOM cuando corresponda, dependencias, firma de código, integridad de versiones y divulgación de vulnerabilidades.</w:t>
      </w:r>
    </w:p>
    <w:p>
      <w:pPr>
        <w:pStyle w:val="ListBullet"/>
      </w:pPr>
      <w:r>
        <w:t>Evalúe la velocidad de corrección de vulnerabilidades críticas.</w:t>
      </w:r>
    </w:p>
    <w:p>
      <w:pPr>
        <w:pStyle w:val="ListBullet"/>
      </w:pPr>
      <w:r>
        <w:t>Identifique componentes sin soporte o bibliotecas abandonadas.</w:t>
      </w:r>
    </w:p>
    <w:p>
      <w:pPr>
        <w:pStyle w:val="ListBullet"/>
      </w:pPr>
      <w:r>
        <w:t>Documente las obligaciones de configuración del cliente.</w:t>
      </w:r>
    </w:p>
    <w:p>
      <w:pPr>
        <w:pStyle w:val="Heading1"/>
      </w:pPr>
      <w:r>
        <w:t>11. Riesgo de proveedores y servicios de IA</w:t>
      </w:r>
    </w:p>
    <w:p>
      <w:pPr>
        <w:pStyle w:val="ListBullet"/>
      </w:pPr>
      <w:r>
        <w:t>Identifique modelos, proveedores, usos de datos, retención de instrucciones, entrenamiento, subprocesadores, ubicación, controles, supervisión e incidentes.</w:t>
      </w:r>
    </w:p>
    <w:p>
      <w:pPr>
        <w:pStyle w:val="ListBullet"/>
      </w:pPr>
      <w:r>
        <w:t>Determine si información confidencial o personal puede mejorar modelos compartidos.</w:t>
      </w:r>
    </w:p>
    <w:p>
      <w:pPr>
        <w:pStyle w:val="ListBullet"/>
      </w:pPr>
      <w:r>
        <w:t>Evalúe inyección de instrucciones, fuga de datos, agentes inseguros, herramientas, autorización RAG, actualizaciones y confiabilidad.</w:t>
      </w:r>
    </w:p>
    <w:p>
      <w:pPr>
        <w:pStyle w:val="ListBullet"/>
      </w:pPr>
      <w:r>
        <w:t>Exija transparencia sobre cambios materiales.</w:t>
      </w:r>
    </w:p>
    <w:p>
      <w:pPr>
        <w:pStyle w:val="ListBullet"/>
      </w:pPr>
      <w:r>
        <w:t>Defina usos prohibidos y aprobaciones para decisiones de alto impacto.</w:t>
      </w:r>
    </w:p>
    <w:p>
      <w:pPr>
        <w:pStyle w:val="Heading1"/>
      </w:pPr>
      <w:r>
        <w:t>12. Controles contractuales y de compras</w:t>
      </w:r>
    </w:p>
    <w:p>
      <w:pPr>
        <w:pStyle w:val="ListBullet"/>
      </w:pPr>
      <w:r>
        <w:t>Convierta decisiones importantes en obligaciones exigibles.</w:t>
      </w:r>
    </w:p>
    <w:p>
      <w:pPr>
        <w:pStyle w:val="ListBullet"/>
      </w:pPr>
      <w:r>
        <w:t>Aborde seguridad, privacidad, confidencialidad, ubicación, subcontratistas, auditoría, notificación, cooperación, vulnerabilidades, continuidad, seguros, registros, eliminación y terminación.</w:t>
      </w:r>
    </w:p>
    <w:p>
      <w:pPr>
        <w:pStyle w:val="ListBullet"/>
      </w:pPr>
      <w:r>
        <w:t>Defina niveles de servicio medibles.</w:t>
      </w:r>
    </w:p>
    <w:p>
      <w:pPr>
        <w:pStyle w:val="ListBullet"/>
      </w:pPr>
      <w:r>
        <w:t>Exija que obligaciones relevantes se transmitan a subcontratistas.</w:t>
      </w:r>
    </w:p>
    <w:p>
      <w:pPr>
        <w:pStyle w:val="ListBullet"/>
      </w:pPr>
      <w:r>
        <w:t>No dependa de un cuestionario si el contrato no exige los controles prometidos.</w:t>
      </w:r>
    </w:p>
    <w:p>
      <w:pPr>
        <w:pStyle w:val="Heading1"/>
      </w:pPr>
      <w:r>
        <w:t>13. Hallazgos y calificación</w:t>
      </w:r>
    </w:p>
    <w:p>
      <w:pPr>
        <w:pStyle w:val="ListBullet"/>
      </w:pPr>
      <w:r>
        <w:t>Redacte condición, riesgo, evidencia, impacto y acción.</w:t>
      </w:r>
    </w:p>
    <w:p>
      <w:pPr>
        <w:pStyle w:val="ListBullet"/>
      </w:pPr>
      <w:r>
        <w:t>Separe riesgo inherente, eficacia, riesgo residual y aceptación.</w:t>
      </w:r>
    </w:p>
    <w:p>
      <w:pPr>
        <w:pStyle w:val="ListBullet"/>
      </w:pPr>
      <w:r>
        <w:t>Use severidad consistente y considere explotación, sensibilidad, impacto, obligaciones y concentración.</w:t>
      </w:r>
    </w:p>
    <w:p>
      <w:pPr>
        <w:pStyle w:val="ListBullet"/>
      </w:pPr>
      <w:r>
        <w:t>No convierta cada brecha en riesgo alto.</w:t>
      </w:r>
    </w:p>
    <w:p>
      <w:pPr>
        <w:pStyle w:val="ListBullet"/>
      </w:pPr>
      <w:r>
        <w:t>Registre incertidumbre cuando falte evidencia.</w:t>
      </w:r>
    </w:p>
    <w:p>
      <w:pPr>
        <w:pStyle w:val="Heading1"/>
      </w:pPr>
      <w:r>
        <w:t>14. Corrección y excepciones</w:t>
      </w:r>
    </w:p>
    <w:p>
      <w:pPr>
        <w:pStyle w:val="ListBullet"/>
      </w:pPr>
      <w:r>
        <w:t>Asigne responsable, acción, fecha, evidencia y revisión.</w:t>
      </w:r>
    </w:p>
    <w:p>
      <w:pPr>
        <w:pStyle w:val="ListBullet"/>
      </w:pPr>
      <w:r>
        <w:t>Use medidas provisionales cuando la corrección permanente tarde.</w:t>
      </w:r>
    </w:p>
    <w:p>
      <w:pPr>
        <w:pStyle w:val="ListBullet"/>
      </w:pPr>
      <w:r>
        <w:t>Escalone acciones de alto riesgo vencidas.</w:t>
      </w:r>
    </w:p>
    <w:p>
      <w:pPr>
        <w:pStyle w:val="ListBullet"/>
      </w:pPr>
      <w:r>
        <w:t>Exija aceptación formal de riesgo residual material.</w:t>
      </w:r>
    </w:p>
    <w:p>
      <w:pPr>
        <w:pStyle w:val="ListBullet"/>
      </w:pPr>
      <w:r>
        <w:t>Defina vencimiento de excepciones y reevalúe.</w:t>
      </w:r>
    </w:p>
    <w:p>
      <w:pPr>
        <w:pStyle w:val="ListBullet"/>
      </w:pPr>
      <w:r>
        <w:t>Cierre hallazgos solamente después de revisar evidencia.</w:t>
      </w:r>
    </w:p>
    <w:p>
      <w:pPr>
        <w:pStyle w:val="Heading1"/>
      </w:pPr>
      <w:r>
        <w:t>15. Monitoreo continuo</w:t>
      </w:r>
    </w:p>
    <w:p>
      <w:pPr>
        <w:pStyle w:val="ListBullet"/>
      </w:pPr>
      <w:r>
        <w:t>Use calificaciones externas como señales, no como conclusión final.</w:t>
      </w:r>
    </w:p>
    <w:p>
      <w:pPr>
        <w:pStyle w:val="ListBullet"/>
      </w:pPr>
      <w:r>
        <w:t>Vigile brechas, propiedad, adquisiciones, litigios, certificados, vulnerabilidades, interrupciones, ubicación, subcontratistas y cambios.</w:t>
      </w:r>
    </w:p>
    <w:p>
      <w:pPr>
        <w:pStyle w:val="ListBullet"/>
      </w:pPr>
      <w:r>
        <w:t>Reevalúe después de incidentes, cambios de arquitectura, ampliación de datos, nuevas integraciones o renovación.</w:t>
      </w:r>
    </w:p>
    <w:p>
      <w:pPr>
        <w:pStyle w:val="ListBullet"/>
      </w:pPr>
      <w:r>
        <w:t>Mantenga frecuencia proporcional al riesgo.</w:t>
      </w:r>
    </w:p>
    <w:p>
      <w:pPr>
        <w:pStyle w:val="Heading1"/>
      </w:pPr>
      <w:r>
        <w:t>16. Incidentes de proveedores</w:t>
      </w:r>
    </w:p>
    <w:p>
      <w:pPr>
        <w:pStyle w:val="ListBullet"/>
      </w:pPr>
      <w:r>
        <w:t>Mantenga contactos y escalamiento actuales.</w:t>
      </w:r>
    </w:p>
    <w:p>
      <w:pPr>
        <w:pStyle w:val="ListBullet"/>
      </w:pPr>
      <w:r>
        <w:t>Defina plazos y datos de notificación en contratos.</w:t>
      </w:r>
    </w:p>
    <w:p>
      <w:pPr>
        <w:pStyle w:val="ListBullet"/>
      </w:pPr>
      <w:r>
        <w:t>Coordine contención, evidencia, análisis regulatorio, comunicaciones, recuperación y lecciones.</w:t>
      </w:r>
    </w:p>
    <w:p>
      <w:pPr>
        <w:pStyle w:val="ListBullet"/>
      </w:pPr>
      <w:r>
        <w:t>Determine si debe suspender acceso, tokens, integraciones o transferencias.</w:t>
      </w:r>
    </w:p>
    <w:p>
      <w:pPr>
        <w:pStyle w:val="ListBullet"/>
      </w:pPr>
      <w:r>
        <w:t>Valide las acciones correctivas del proveedor.</w:t>
      </w:r>
    </w:p>
    <w:p>
      <w:pPr>
        <w:pStyle w:val="Heading1"/>
      </w:pPr>
      <w:r>
        <w:t>17. Retiro y terminación</w:t>
      </w:r>
    </w:p>
    <w:p>
      <w:pPr>
        <w:pStyle w:val="ListBullet"/>
      </w:pPr>
      <w:r>
        <w:t>Desactive cuentas, tokens, integraciones, VPN, claves, certificados y acceso administrativo.</w:t>
      </w:r>
    </w:p>
    <w:p>
      <w:pPr>
        <w:pStyle w:val="ListBullet"/>
      </w:pPr>
      <w:r>
        <w:t>Recupere activos y confirme devolución o eliminación segura de datos.</w:t>
      </w:r>
    </w:p>
    <w:p>
      <w:pPr>
        <w:pStyle w:val="ListBullet"/>
      </w:pPr>
      <w:r>
        <w:t>Conserve registros legales y de auditoría.</w:t>
      </w:r>
    </w:p>
    <w:p>
      <w:pPr>
        <w:pStyle w:val="ListBullet"/>
      </w:pPr>
      <w:r>
        <w:t>Transfiera conocimiento, configuraciones y dependencias.</w:t>
      </w:r>
    </w:p>
    <w:p>
      <w:pPr>
        <w:pStyle w:val="ListBullet"/>
      </w:pPr>
      <w:r>
        <w:t>Retire al proveedor de inventarios solamente después de verificar el cierre.</w:t>
      </w:r>
    </w:p>
    <w:p>
      <w:pPr>
        <w:pStyle w:val="Heading1"/>
      </w:pPr>
      <w:r>
        <w:t>18. Informes y métricas</w:t>
      </w:r>
    </w:p>
    <w:p>
      <w:pPr>
        <w:pStyle w:val="ListBullet"/>
      </w:pPr>
      <w:r>
        <w:t>Informe población por nivel, estado, revisiones vencidas, hallazgos, riesgos aceptados, incidentes, concentración y dependencias.</w:t>
      </w:r>
    </w:p>
    <w:p>
      <w:pPr>
        <w:pStyle w:val="ListBullet"/>
      </w:pPr>
      <w:r>
        <w:t>Muestre tendencias.</w:t>
      </w:r>
    </w:p>
    <w:p>
      <w:pPr>
        <w:pStyle w:val="ListBullet"/>
      </w:pPr>
      <w:r>
        <w:t>Separe riesgos del proveedor y responsabilidades del cliente.</w:t>
      </w:r>
    </w:p>
    <w:p>
      <w:pPr>
        <w:pStyle w:val="ListBullet"/>
      </w:pPr>
      <w:r>
        <w:t>Presente decisiones y exposición, no solo cuestionarios completados.</w:t>
      </w:r>
    </w:p>
    <w:p>
      <w:pPr>
        <w:pStyle w:val="Heading1"/>
      </w:pPr>
      <w:r>
        <w:t>19. Plan de 30, 60 y 90 días</w:t>
      </w:r>
    </w:p>
    <w:p>
      <w:pPr>
        <w:pStyle w:val="ListBullet"/>
      </w:pPr>
      <w:r>
        <w:t>Días 1 a 30: definir gobierno, inventariar proveedores críticos, crear niveles, identificar relaciones vencidas y establecer cláusulas mínimas.</w:t>
      </w:r>
    </w:p>
    <w:p>
      <w:pPr>
        <w:pStyle w:val="ListBullet"/>
      </w:pPr>
      <w:r>
        <w:t>Días 31 a 60: ejecutar evaluaciones basadas en riesgo, centralizar evidencia, crear flujos de hallazgos y excepciones, e identificar concentración y cuartas partes.</w:t>
      </w:r>
    </w:p>
    <w:p>
      <w:pPr>
        <w:pStyle w:val="ListBullet"/>
      </w:pPr>
      <w:r>
        <w:t>Días 61 a 90: implementar monitoreo, ejercicios, controles de renovación, métricas y revisiones de calidad.</w:t>
      </w:r>
    </w:p>
    <w:p>
      <w:pPr>
        <w:pStyle w:val="Heading1"/>
      </w:pPr>
      <w:r>
        <w:t>20. Flujo práctico de evaluación</w:t>
      </w:r>
    </w:p>
    <w:p>
      <w:pPr>
        <w:pStyle w:val="ListNumber"/>
      </w:pPr>
      <w:r>
        <w:t>Recibir la solicitud e identificar al propietario empresarial.</w:t>
      </w:r>
    </w:p>
    <w:p>
      <w:pPr>
        <w:pStyle w:val="ListNumber"/>
      </w:pPr>
      <w:r>
        <w:t>Completar la clasificación de riesgo inherente.</w:t>
      </w:r>
    </w:p>
    <w:p>
      <w:pPr>
        <w:pStyle w:val="ListNumber"/>
      </w:pPr>
      <w:r>
        <w:t>Definir alcance y evidencia.</w:t>
      </w:r>
    </w:p>
    <w:p>
      <w:pPr>
        <w:pStyle w:val="ListNumber"/>
      </w:pPr>
      <w:r>
        <w:t>Recopilar y revisar evidencia.</w:t>
      </w:r>
    </w:p>
    <w:p>
      <w:pPr>
        <w:pStyle w:val="ListNumber"/>
      </w:pPr>
      <w:r>
        <w:t>Entrevistar al proveedor cuando existan dudas materiales.</w:t>
      </w:r>
    </w:p>
    <w:p>
      <w:pPr>
        <w:pStyle w:val="ListNumber"/>
      </w:pPr>
      <w:r>
        <w:t>Documentar hallazgos y riesgo residual.</w:t>
      </w:r>
    </w:p>
    <w:p>
      <w:pPr>
        <w:pStyle w:val="ListNumber"/>
      </w:pPr>
      <w:r>
        <w:t>Acordar correcciones y controles contractuales.</w:t>
      </w:r>
    </w:p>
    <w:p>
      <w:pPr>
        <w:pStyle w:val="ListNumber"/>
      </w:pPr>
      <w:r>
        <w:t>Obtener aprobación o aceptación.</w:t>
      </w:r>
    </w:p>
    <w:p>
      <w:pPr>
        <w:pStyle w:val="ListNumber"/>
      </w:pPr>
      <w:r>
        <w:t>Registrar monitoreo y reevaluación.</w:t>
      </w:r>
    </w:p>
    <w:p>
      <w:pPr>
        <w:pStyle w:val="ListNumber"/>
      </w:pPr>
      <w:r>
        <w:t>Reevaluar en la renovación o después de cambios materiales.</w:t>
      </w:r>
    </w:p>
    <w:p>
      <w:pPr>
        <w:pStyle w:val="Heading1"/>
      </w:pPr>
      <w:r>
        <w:t>21. Criterios de nivel de riesgo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Características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</w:tr>
      <w:tr>
        <w:tc>
          <w:tcPr>
            <w:tcW w:type="dxa" w:w="3331"/>
            <w:vAlign w:val="top"/>
          </w:tcPr>
          <w:p>
            <w:r>
              <w:t>Crítico</w:t>
            </w:r>
          </w:p>
        </w:tc>
        <w:tc>
          <w:tcPr>
            <w:tcW w:type="dxa" w:w="3331"/>
            <w:vAlign w:val="top"/>
          </w:tcPr>
          <w:p>
            <w:r>
              <w:t>Acceso privilegiado, datos muy sensibles, operación esencial, autoridad transaccional o concentración</w:t>
            </w:r>
          </w:p>
        </w:tc>
        <w:tc>
          <w:tcPr>
            <w:tcW w:type="dxa" w:w="3331"/>
            <w:vAlign w:val="top"/>
          </w:tcPr>
          <w:p>
            <w:r>
              <w:t>Evaluación completa, contrato, aprobación ejecutiva y revisión anual o por evento</w:t>
            </w:r>
          </w:p>
        </w:tc>
      </w:tr>
      <w:tr>
        <w:tc>
          <w:tcPr>
            <w:tcW w:type="dxa" w:w="3331"/>
            <w:vAlign w:val="top"/>
          </w:tcPr>
          <w:p>
            <w:r>
              <w:t>Alto</w:t>
            </w:r>
          </w:p>
        </w:tc>
        <w:tc>
          <w:tcPr>
            <w:tcW w:type="dxa" w:w="3331"/>
            <w:vAlign w:val="top"/>
          </w:tcPr>
          <w:p>
            <w:r>
              <w:t>Datos sensibles, integración productiva, servicio importante o subcontratistas relevantes</w:t>
            </w:r>
          </w:p>
        </w:tc>
        <w:tc>
          <w:tcPr>
            <w:tcW w:type="dxa" w:w="3331"/>
            <w:vAlign w:val="top"/>
          </w:tcPr>
          <w:p>
            <w:r>
              <w:t>Revisión detallada y reevaluación anual</w:t>
            </w:r>
          </w:p>
        </w:tc>
      </w:tr>
      <w:tr>
        <w:tc>
          <w:tcPr>
            <w:tcW w:type="dxa" w:w="3331"/>
            <w:vAlign w:val="top"/>
          </w:tcPr>
          <w:p>
            <w:r>
              <w:t>Moderado</w:t>
            </w:r>
          </w:p>
        </w:tc>
        <w:tc>
          <w:tcPr>
            <w:tcW w:type="dxa" w:w="3331"/>
            <w:vAlign w:val="top"/>
          </w:tcPr>
          <w:p>
            <w:r>
              <w:t>Datos confidenciales limitados o dependencia moderada</w:t>
            </w:r>
          </w:p>
        </w:tc>
        <w:tc>
          <w:tcPr>
            <w:tcW w:type="dxa" w:w="3331"/>
            <w:vAlign w:val="top"/>
          </w:tcPr>
          <w:p>
            <w:r>
              <w:t>Cuestionario enfocado y revisión periódica</w:t>
            </w:r>
          </w:p>
        </w:tc>
      </w:tr>
      <w:tr>
        <w:tc>
          <w:tcPr>
            <w:tcW w:type="dxa" w:w="3331"/>
            <w:vAlign w:val="top"/>
          </w:tcPr>
          <w:p>
            <w:r>
              <w:t>Bajo</w:t>
            </w:r>
          </w:p>
        </w:tc>
        <w:tc>
          <w:tcPr>
            <w:tcW w:type="dxa" w:w="3331"/>
            <w:vAlign w:val="top"/>
          </w:tcPr>
          <w:p>
            <w:r>
              <w:t>Sin datos sensibles ni conectividad y fácil reemplazo</w:t>
            </w:r>
          </w:p>
        </w:tc>
        <w:tc>
          <w:tcPr>
            <w:tcW w:type="dxa" w:w="3331"/>
            <w:vAlign w:val="top"/>
          </w:tcPr>
          <w:p>
            <w:r>
              <w:t>Verificación básica</w:t>
            </w:r>
          </w:p>
        </w:tc>
      </w:tr>
    </w:tbl>
    <w:p/>
    <w:p>
      <w:pPr>
        <w:pStyle w:val="Heading1"/>
      </w:pPr>
      <w:r>
        <w:t>22. Ejemplo de hallazgo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  <w:vAlign w:val="center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997"/>
            <w:shd w:fill="D9EAF7"/>
            <w:vAlign w:val="center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4997"/>
            <w:vAlign w:val="top"/>
          </w:tcPr>
          <w:p>
            <w:r>
              <w:t>Condición</w:t>
            </w:r>
          </w:p>
        </w:tc>
        <w:tc>
          <w:tcPr>
            <w:tcW w:type="dxa" w:w="4997"/>
            <w:vAlign w:val="top"/>
          </w:tcPr>
          <w:p>
            <w:r>
              <w:t>El proveedor no exige MFA para administración privilegiada de producción.</w:t>
            </w:r>
          </w:p>
        </w:tc>
      </w:tr>
      <w:tr>
        <w:tc>
          <w:tcPr>
            <w:tcW w:type="dxa" w:w="4997"/>
            <w:vAlign w:val="top"/>
          </w:tcPr>
          <w:p>
            <w:r>
              <w:t>Evidencia</w:t>
            </w:r>
          </w:p>
        </w:tc>
        <w:tc>
          <w:tcPr>
            <w:tcW w:type="dxa" w:w="4997"/>
            <w:vAlign w:val="top"/>
          </w:tcPr>
          <w:p>
            <w:r>
              <w:t>Política de acceso y entrevista de julio de 2026.</w:t>
            </w:r>
          </w:p>
        </w:tc>
      </w:tr>
      <w:tr>
        <w:tc>
          <w:tcPr>
            <w:tcW w:type="dxa" w:w="4997"/>
            <w:vAlign w:val="top"/>
          </w:tcPr>
          <w:p>
            <w:r>
              <w:t>Riesgo</w:t>
            </w:r>
          </w:p>
        </w:tc>
        <w:tc>
          <w:tcPr>
            <w:tcW w:type="dxa" w:w="4997"/>
            <w:vAlign w:val="top"/>
          </w:tcPr>
          <w:p>
            <w:r>
              <w:t>Una contraseña robada podría permitir acceso no autorizado y exposición de datos.</w:t>
            </w:r>
          </w:p>
        </w:tc>
      </w:tr>
      <w:tr>
        <w:tc>
          <w:tcPr>
            <w:tcW w:type="dxa" w:w="4997"/>
            <w:vAlign w:val="top"/>
          </w:tcPr>
          <w:p>
            <w:r>
              <w:t>Acción</w:t>
            </w:r>
          </w:p>
        </w:tc>
        <w:tc>
          <w:tcPr>
            <w:tcW w:type="dxa" w:w="4997"/>
            <w:vAlign w:val="top"/>
          </w:tcPr>
          <w:p>
            <w:r>
              <w:t>Implementar MFA resistente a phishing y proporcionar evidencia.</w:t>
            </w:r>
          </w:p>
        </w:tc>
      </w:tr>
      <w:tr>
        <w:tc>
          <w:tcPr>
            <w:tcW w:type="dxa" w:w="4997"/>
            <w:vAlign w:val="top"/>
          </w:tcPr>
          <w:p>
            <w:r>
              <w:t>Control provisional</w:t>
            </w:r>
          </w:p>
        </w:tc>
        <w:tc>
          <w:tcPr>
            <w:tcW w:type="dxa" w:w="4997"/>
            <w:vAlign w:val="top"/>
          </w:tcPr>
          <w:p>
            <w:r>
              <w:t>Restringir por red, monitorear accesos y rotar credenciales.</w:t>
            </w:r>
          </w:p>
        </w:tc>
      </w:tr>
      <w:tr>
        <w:tc>
          <w:tcPr>
            <w:tcW w:type="dxa" w:w="4997"/>
            <w:vAlign w:val="top"/>
          </w:tcPr>
          <w:p>
            <w:r>
              <w:t>Responsable / plazo</w:t>
            </w:r>
          </w:p>
        </w:tc>
        <w:tc>
          <w:tcPr>
            <w:tcW w:type="dxa" w:w="4997"/>
            <w:vAlign w:val="top"/>
          </w:tcPr>
          <w:p>
            <w:r>
              <w:t>Líder de seguridad del proveedor / 60 días</w:t>
            </w:r>
          </w:p>
        </w:tc>
      </w:tr>
    </w:tbl>
    <w:p/>
    <w:p>
      <w:pPr>
        <w:pStyle w:val="Heading1"/>
      </w:pPr>
      <w:r>
        <w:t>23. Lista de verificación</w:t>
      </w:r>
    </w:p>
    <w:p>
      <w:r>
        <w:rPr>
          <w:b/>
        </w:rPr>
        <w:t xml:space="preserve">☐ </w:t>
      </w:r>
      <w:r>
        <w:t>Registro de inventario completado</w:t>
      </w:r>
    </w:p>
    <w:p>
      <w:r>
        <w:rPr>
          <w:b/>
        </w:rPr>
        <w:t xml:space="preserve">☐ </w:t>
      </w:r>
      <w:r>
        <w:t>Propietario empresarial y contractual identificados</w:t>
      </w:r>
    </w:p>
    <w:p>
      <w:r>
        <w:rPr>
          <w:b/>
        </w:rPr>
        <w:t xml:space="preserve">☐ </w:t>
      </w:r>
      <w:r>
        <w:t>Nivel de riesgo inherente aprobado</w:t>
      </w:r>
    </w:p>
    <w:p>
      <w:r>
        <w:rPr>
          <w:b/>
        </w:rPr>
        <w:t xml:space="preserve">☐ </w:t>
      </w:r>
      <w:r>
        <w:t>Alcance y flujo de datos documentados</w:t>
      </w:r>
    </w:p>
    <w:p>
      <w:r>
        <w:rPr>
          <w:b/>
        </w:rPr>
        <w:t xml:space="preserve">☐ </w:t>
      </w:r>
      <w:r>
        <w:t>Evidencia vigente y aplicable</w:t>
      </w:r>
    </w:p>
    <w:p>
      <w:r>
        <w:rPr>
          <w:b/>
        </w:rPr>
        <w:t xml:space="preserve">☐ </w:t>
      </w:r>
      <w:r>
        <w:t>Alcance y excepciones SOC/ISO revisados</w:t>
      </w:r>
    </w:p>
    <w:p>
      <w:r>
        <w:rPr>
          <w:b/>
        </w:rPr>
        <w:t xml:space="preserve">☐ </w:t>
      </w:r>
      <w:r>
        <w:t>Seguridad, privacidad, continuidad e incidentes evaluados</w:t>
      </w:r>
    </w:p>
    <w:p>
      <w:r>
        <w:rPr>
          <w:b/>
        </w:rPr>
        <w:t xml:space="preserve">☐ </w:t>
      </w:r>
      <w:r>
        <w:t>Subcontratistas y concentración revisados</w:t>
      </w:r>
    </w:p>
    <w:p>
      <w:r>
        <w:rPr>
          <w:b/>
        </w:rPr>
        <w:t xml:space="preserve">☐ </w:t>
      </w:r>
      <w:r>
        <w:t>Riesgo de IA revisado cuando corresponda</w:t>
      </w:r>
    </w:p>
    <w:p>
      <w:r>
        <w:rPr>
          <w:b/>
        </w:rPr>
        <w:t xml:space="preserve">☐ </w:t>
      </w:r>
      <w:r>
        <w:t>Cláusulas contractuales aprobadas</w:t>
      </w:r>
    </w:p>
    <w:p>
      <w:r>
        <w:rPr>
          <w:b/>
        </w:rPr>
        <w:t xml:space="preserve">☐ </w:t>
      </w:r>
      <w:r>
        <w:t>Hallazgos asignados y controlados</w:t>
      </w:r>
    </w:p>
    <w:p>
      <w:r>
        <w:rPr>
          <w:b/>
        </w:rPr>
        <w:t xml:space="preserve">☐ </w:t>
      </w:r>
      <w:r>
        <w:t>Riesgo residual aceptado por autoridad</w:t>
      </w:r>
    </w:p>
    <w:p>
      <w:r>
        <w:rPr>
          <w:b/>
        </w:rPr>
        <w:t xml:space="preserve">☐ </w:t>
      </w:r>
      <w:r>
        <w:t>Monitoreo y reevaluación programados</w:t>
      </w:r>
    </w:p>
    <w:p>
      <w:r>
        <w:rPr>
          <w:b/>
        </w:rPr>
        <w:t xml:space="preserve">☐ </w:t>
      </w:r>
      <w:r>
        <w:t>Requisitos de retiro documentados</w:t>
      </w:r>
    </w:p>
    <w:p>
      <w:pPr>
        <w:pStyle w:val="Heading1"/>
      </w:pPr>
      <w:r>
        <w:t>24. Referencias oficiales</w:t>
      </w:r>
    </w:p>
    <w:p>
      <w:pPr>
        <w:pStyle w:val="ListBullet"/>
      </w:pPr>
      <w:r>
        <w:t>NIST SP 800-161 Rev. 1, Cybersecurity Supply Chain Risk Management Practices: https://csrc.nist.gov/pubs/sp/800/161/r1/upd1/final</w:t>
      </w:r>
    </w:p>
    <w:p>
      <w:pPr>
        <w:pStyle w:val="ListBullet"/>
      </w:pPr>
      <w:r>
        <w:t>NIST SP 1326, C-SCRM Due Diligence Assessment Quick-Start Guide: https://csrc.nist.gov/pubs/sp/1326/final</w:t>
      </w:r>
    </w:p>
    <w:p>
      <w:pPr>
        <w:pStyle w:val="ListBullet"/>
      </w:pPr>
      <w:r>
        <w:t>NIST Cybersecurity Framework 2.0: https://www.nist.gov/cyberframework</w:t>
      </w:r>
    </w:p>
    <w:p>
      <w:pPr>
        <w:pStyle w:val="ListBullet"/>
      </w:pPr>
      <w:r>
        <w:t>CISA Supply Chain Resources: https://www.cisa.gov/topics/cyber-threats-and-advisories/information-and-communications-technology-supply-chain-security</w:t>
      </w:r>
    </w:p>
    <w:p>
      <w:pPr>
        <w:pStyle w:val="ListBullet"/>
      </w:pPr>
      <w:r>
        <w:t>ISO/IEC 27036-1:2021 Supplier Relationships: https://www.iso.org/standard/82905.html</w:t>
      </w:r>
    </w:p>
    <w:p>
      <w:pPr>
        <w:pStyle w:val="ListBullet"/>
      </w:pPr>
      <w:r>
        <w:t>ISO/IEC 27036-2:2022 Supplier Relationship Requirements: https://www.iso.org/standard/82060.html</w:t>
      </w:r>
    </w:p>
    <w:p>
      <w:pPr>
        <w:pStyle w:val="ListBullet"/>
      </w:pPr>
      <w:r>
        <w:t>ISO/IEC 27036-3:2023 Hardware, Software, and Services Supply Chain Security: https://www.iso.org/standard/82890.html</w:t>
      </w:r>
    </w:p>
    <w:p>
      <w:pPr>
        <w:pStyle w:val="Heading1"/>
      </w:pPr>
      <w:r>
        <w:t>Licencia</w:t>
      </w:r>
    </w:p>
    <w:p>
      <w:r>
        <w:t>Copyright © 2026 Alberto (Al) Leiva. Distribuido bajo la licencia CC BY-NC-SA 4.0.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Evaluaciones de riesgo de proveedores • Alberto (Al) Leiva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