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HOW TO BUILD A ZERO TRUST SECURITY PROGRAM</w:t>
      </w:r>
    </w:p>
    <w:p>
      <w:pPr>
        <w:jc w:val="center"/>
      </w:pPr>
      <w:r>
        <w:rPr>
          <w:i/>
          <w:sz w:val="28"/>
        </w:rPr>
        <w:t>A practical guide to identity, devices, networks, applications, data, workloads, visibility, automation, and governance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Version 1.0 - July 2026</w:t>
      </w:r>
    </w:p>
    <w:p/>
    <w:p>
      <w:r>
        <w:rPr>
          <w:b/>
        </w:rPr>
        <w:t xml:space="preserve">Human safety comes first. </w:t>
      </w:r>
      <w:r>
        <w:t>Zero Trust should reduce risk without creating unnecessary surveillance, discrimination, or accessibility barriers.</w:t>
      </w:r>
    </w:p>
    <w:p>
      <w:r>
        <w:br w:type="page"/>
      </w:r>
    </w:p>
    <w:p>
      <w:pPr>
        <w:pStyle w:val="Heading1"/>
      </w:pPr>
      <w:r>
        <w:t>1. What Zero Trust means</w:t>
      </w:r>
    </w:p>
    <w:p>
      <w:pPr>
        <w:pStyle w:val="ListBullet"/>
      </w:pPr>
      <w:r>
        <w:t>Zero Trust is a set of principles and an enterprise architecture approach, not a single product.</w:t>
      </w:r>
    </w:p>
    <w:p>
      <w:pPr>
        <w:pStyle w:val="ListBullet"/>
      </w:pPr>
      <w:r>
        <w:t>Do not grant implicit trust because of network location, device ownership, job title, or a previous successful login.</w:t>
      </w:r>
    </w:p>
    <w:p>
      <w:pPr>
        <w:pStyle w:val="ListBullet"/>
      </w:pPr>
      <w:r>
        <w:t>Continuously evaluate identity, device, application, data, behavior, and environmental signals.</w:t>
      </w:r>
    </w:p>
    <w:p>
      <w:pPr>
        <w:pStyle w:val="ListBullet"/>
      </w:pPr>
      <w:r>
        <w:t>Protect individual resources with explicit policy decisions and least privilege.</w:t>
      </w:r>
    </w:p>
    <w:p>
      <w:pPr>
        <w:pStyle w:val="Heading1"/>
      </w:pPr>
      <w:r>
        <w:t>2. Business outcomes and governance</w:t>
      </w:r>
    </w:p>
    <w:p>
      <w:pPr>
        <w:pStyle w:val="ListBullet"/>
      </w:pPr>
      <w:r>
        <w:t>Connect the program to business resilience, data protection, remote work, cloud adoption, regulatory duties, and incident containment.</w:t>
      </w:r>
    </w:p>
    <w:p>
      <w:pPr>
        <w:pStyle w:val="ListBullet"/>
      </w:pPr>
      <w:r>
        <w:t>Create executive sponsorship, a cross-functional steering group, accountable pillar owners, and a documented decision process.</w:t>
      </w:r>
    </w:p>
    <w:p>
      <w:pPr>
        <w:pStyle w:val="ListBullet"/>
      </w:pPr>
      <w:r>
        <w:t>Define scope, priorities, funding, dependencies, risk acceptance, exceptions, and measurable outcomes.</w:t>
      </w:r>
    </w:p>
    <w:p>
      <w:pPr>
        <w:pStyle w:val="ListBullet"/>
      </w:pPr>
      <w:r>
        <w:t>Avoid treating Zero Trust as a network-only or identity-only project.</w:t>
      </w:r>
    </w:p>
    <w:p>
      <w:pPr>
        <w:pStyle w:val="Heading1"/>
      </w:pPr>
      <w:r>
        <w:t>3. NIST logical architecture</w:t>
      </w:r>
    </w:p>
    <w:p>
      <w:pPr>
        <w:pStyle w:val="ListBullet"/>
      </w:pPr>
      <w:r>
        <w:t>Policy Engine decides whether access should be granted, denied, or limited.</w:t>
      </w:r>
    </w:p>
    <w:p>
      <w:pPr>
        <w:pStyle w:val="ListBullet"/>
      </w:pPr>
      <w:r>
        <w:t>Policy Administrator establishes or terminates the connection according to the decision.</w:t>
      </w:r>
    </w:p>
    <w:p>
      <w:pPr>
        <w:pStyle w:val="ListBullet"/>
      </w:pPr>
      <w:r>
        <w:t>Policy Enforcement Point enables, monitors, and terminates access between a subject and a resource.</w:t>
      </w:r>
    </w:p>
    <w:p>
      <w:pPr>
        <w:pStyle w:val="ListBullet"/>
      </w:pPr>
      <w:r>
        <w:t>Policy decisions should use identity, device, resource, threat, behavior, and organizational-policy data.</w:t>
      </w:r>
    </w:p>
    <w:p>
      <w:pPr>
        <w:pStyle w:val="Heading1"/>
      </w:pPr>
      <w:r>
        <w:t>4. Current-state discovery</w:t>
      </w:r>
    </w:p>
    <w:p>
      <w:pPr>
        <w:pStyle w:val="ListBullet"/>
      </w:pPr>
      <w:r>
        <w:t>Inventory users, privileged accounts, service accounts, workloads, devices, applications, data repositories, networks, APIs, SaaS, cloud resources, OT/ICS, and third parties.</w:t>
      </w:r>
    </w:p>
    <w:p>
      <w:pPr>
        <w:pStyle w:val="ListBullet"/>
      </w:pPr>
      <w:r>
        <w:t>Map critical business services and their dependencies.</w:t>
      </w:r>
    </w:p>
    <w:p>
      <w:pPr>
        <w:pStyle w:val="ListBullet"/>
      </w:pPr>
      <w:r>
        <w:t>Identify legacy authentication, shared credentials, unmanaged devices, public exposure, flat networks, excessive privileges, and unmonitored data flows.</w:t>
      </w:r>
    </w:p>
    <w:p>
      <w:pPr>
        <w:pStyle w:val="ListBullet"/>
      </w:pPr>
      <w:r>
        <w:t>Record technology ownership, lifecycle status, and planned retirement.</w:t>
      </w:r>
    </w:p>
    <w:p>
      <w:pPr>
        <w:pStyle w:val="Heading1"/>
      </w:pPr>
      <w:r>
        <w:t>5. Protect identities</w:t>
      </w:r>
    </w:p>
    <w:p>
      <w:pPr>
        <w:pStyle w:val="ListBullet"/>
      </w:pPr>
      <w:r>
        <w:t>Use phishing-resistant MFA for privileged and high-risk access where feasible.</w:t>
      </w:r>
    </w:p>
    <w:p>
      <w:pPr>
        <w:pStyle w:val="ListBullet"/>
      </w:pPr>
      <w:r>
        <w:t>Apply risk-based and context-aware access policies.</w:t>
      </w:r>
    </w:p>
    <w:p>
      <w:pPr>
        <w:pStyle w:val="ListBullet"/>
      </w:pPr>
      <w:r>
        <w:t>Use privileged access management, just-in-time elevation, separate administrative accounts, and approval for sensitive roles.</w:t>
      </w:r>
    </w:p>
    <w:p>
      <w:pPr>
        <w:pStyle w:val="ListBullet"/>
      </w:pPr>
      <w:r>
        <w:t>Manage non-human identities, secrets, certificates, API keys, and workload identities with the same discipline as human accounts.</w:t>
      </w:r>
    </w:p>
    <w:p>
      <w:pPr>
        <w:pStyle w:val="ListBullet"/>
      </w:pPr>
      <w:r>
        <w:t>Remove dormant accounts and review entitlement regularly.</w:t>
      </w:r>
    </w:p>
    <w:p>
      <w:pPr>
        <w:pStyle w:val="Heading1"/>
      </w:pPr>
      <w:r>
        <w:t>6. Secure devices and endpoints</w:t>
      </w:r>
    </w:p>
    <w:p>
      <w:pPr>
        <w:pStyle w:val="ListBullet"/>
      </w:pPr>
      <w:r>
        <w:t>Require device inventory, ownership, supported operating systems, encryption, secure configuration, endpoint protection, and timely patching.</w:t>
      </w:r>
    </w:p>
    <w:p>
      <w:pPr>
        <w:pStyle w:val="ListBullet"/>
      </w:pPr>
      <w:r>
        <w:t>Use device health and compliance as access signals.</w:t>
      </w:r>
    </w:p>
    <w:p>
      <w:pPr>
        <w:pStyle w:val="ListBullet"/>
      </w:pPr>
      <w:r>
        <w:t>Separate corporate, personal, contractor, shared, server, mobile, and specialized device policies.</w:t>
      </w:r>
    </w:p>
    <w:p>
      <w:pPr>
        <w:pStyle w:val="ListBullet"/>
      </w:pPr>
      <w:r>
        <w:t>Provide restricted alternatives for users who cannot use a standard managed device.</w:t>
      </w:r>
    </w:p>
    <w:p>
      <w:pPr>
        <w:pStyle w:val="ListBullet"/>
      </w:pPr>
      <w:r>
        <w:t>Isolate or remediate devices that become risky during a session.</w:t>
      </w:r>
    </w:p>
    <w:p>
      <w:pPr>
        <w:pStyle w:val="Heading1"/>
      </w:pPr>
      <w:r>
        <w:t>7. Protect networks and environments</w:t>
      </w:r>
    </w:p>
    <w:p>
      <w:pPr>
        <w:pStyle w:val="ListBullet"/>
      </w:pPr>
      <w:r>
        <w:t>Reduce dependence on a trusted internal network.</w:t>
      </w:r>
    </w:p>
    <w:p>
      <w:pPr>
        <w:pStyle w:val="ListBullet"/>
      </w:pPr>
      <w:r>
        <w:t>Segment by business service, sensitivity, workload, and risk rather than only by broad VLANs.</w:t>
      </w:r>
    </w:p>
    <w:p>
      <w:pPr>
        <w:pStyle w:val="ListBullet"/>
      </w:pPr>
      <w:r>
        <w:t>Use encrypted connections, authenticated proxies, application-aware controls, DNS protection, and controlled egress.</w:t>
      </w:r>
    </w:p>
    <w:p>
      <w:pPr>
        <w:pStyle w:val="ListBullet"/>
      </w:pPr>
      <w:r>
        <w:t>Limit lateral movement and administrative pathways.</w:t>
      </w:r>
    </w:p>
    <w:p>
      <w:pPr>
        <w:pStyle w:val="ListBullet"/>
      </w:pPr>
      <w:r>
        <w:t>Protect remote, branch, cloud, data center, OT/ICS, and partner connections.</w:t>
      </w:r>
    </w:p>
    <w:p>
      <w:pPr>
        <w:pStyle w:val="Heading1"/>
      </w:pPr>
      <w:r>
        <w:t>8. Protect applications and workloads</w:t>
      </w:r>
    </w:p>
    <w:p>
      <w:pPr>
        <w:pStyle w:val="ListBullet"/>
      </w:pPr>
      <w:r>
        <w:t>Inventory applications, owners, authentication methods, data, integrations, software dependencies, and deployment paths.</w:t>
      </w:r>
    </w:p>
    <w:p>
      <w:pPr>
        <w:pStyle w:val="ListBullet"/>
      </w:pPr>
      <w:r>
        <w:t>Modernize legacy applications through gateways, proxies, segmentation, or compensating controls.</w:t>
      </w:r>
    </w:p>
    <w:p>
      <w:pPr>
        <w:pStyle w:val="ListBullet"/>
      </w:pPr>
      <w:r>
        <w:t>Use workload identities and short-lived credentials.</w:t>
      </w:r>
    </w:p>
    <w:p>
      <w:pPr>
        <w:pStyle w:val="ListBullet"/>
      </w:pPr>
      <w:r>
        <w:t>Apply secure development, dependency scanning, code-signing, secrets management, runtime protection, and change control.</w:t>
      </w:r>
    </w:p>
    <w:p>
      <w:pPr>
        <w:pStyle w:val="ListBullet"/>
      </w:pPr>
      <w:r>
        <w:t>Authorize API and service-to-service access at every request.</w:t>
      </w:r>
    </w:p>
    <w:p>
      <w:pPr>
        <w:pStyle w:val="Heading1"/>
      </w:pPr>
      <w:r>
        <w:t>9. Protect data</w:t>
      </w:r>
    </w:p>
    <w:p>
      <w:pPr>
        <w:pStyle w:val="ListBullet"/>
      </w:pPr>
      <w:r>
        <w:t>Discover, classify, label, and assign ownership to sensitive data.</w:t>
      </w:r>
    </w:p>
    <w:p>
      <w:pPr>
        <w:pStyle w:val="ListBullet"/>
      </w:pPr>
      <w:r>
        <w:t>Apply least privilege, encryption, data loss prevention, retention, deletion, and rights management.</w:t>
      </w:r>
    </w:p>
    <w:p>
      <w:pPr>
        <w:pStyle w:val="ListBullet"/>
      </w:pPr>
      <w:r>
        <w:t>Use data sensitivity as an input to access decisions.</w:t>
      </w:r>
    </w:p>
    <w:p>
      <w:pPr>
        <w:pStyle w:val="ListBullet"/>
      </w:pPr>
      <w:r>
        <w:t>Monitor unusual downloads, bulk access, external sharing, and attempts to bypass controls.</w:t>
      </w:r>
    </w:p>
    <w:p>
      <w:pPr>
        <w:pStyle w:val="ListBullet"/>
      </w:pPr>
      <w:r>
        <w:t>Prevent lower environments from receiving unrestricted production data.</w:t>
      </w:r>
    </w:p>
    <w:p>
      <w:pPr>
        <w:pStyle w:val="Heading1"/>
      </w:pPr>
      <w:r>
        <w:t>10. Visibility, analytics, and detection</w:t>
      </w:r>
    </w:p>
    <w:p>
      <w:pPr>
        <w:pStyle w:val="ListBullet"/>
      </w:pPr>
      <w:r>
        <w:t>Centralize identity, endpoint, application, cloud, network, data, and administrative telemetry.</w:t>
      </w:r>
    </w:p>
    <w:p>
      <w:pPr>
        <w:pStyle w:val="ListBullet"/>
      </w:pPr>
      <w:r>
        <w:t>Normalize time, identity, device, resource, and session context.</w:t>
      </w:r>
    </w:p>
    <w:p>
      <w:pPr>
        <w:pStyle w:val="ListBullet"/>
      </w:pPr>
      <w:r>
        <w:t>Detect impossible travel, token abuse, anomalous privilege use, risky devices, lateral movement, and unusual data access.</w:t>
      </w:r>
    </w:p>
    <w:p>
      <w:pPr>
        <w:pStyle w:val="ListBullet"/>
      </w:pPr>
      <w:r>
        <w:t>Protect logs from alteration and define retention based on risk and privacy.</w:t>
      </w:r>
    </w:p>
    <w:p>
      <w:pPr>
        <w:pStyle w:val="ListBullet"/>
      </w:pPr>
      <w:r>
        <w:t>Create feedback loops so incidents improve policies.</w:t>
      </w:r>
    </w:p>
    <w:p>
      <w:pPr>
        <w:pStyle w:val="Heading1"/>
      </w:pPr>
      <w:r>
        <w:t>11. Automation and orchestration</w:t>
      </w:r>
    </w:p>
    <w:p>
      <w:pPr>
        <w:pStyle w:val="ListBullet"/>
      </w:pPr>
      <w:r>
        <w:t>Automate routine enrichment, risk scoring, containment, credential revocation, device isolation, and ticket creation.</w:t>
      </w:r>
    </w:p>
    <w:p>
      <w:pPr>
        <w:pStyle w:val="ListBullet"/>
      </w:pPr>
      <w:r>
        <w:t>Require human approval for actions with material business, legal, safety, or availability impact.</w:t>
      </w:r>
    </w:p>
    <w:p>
      <w:pPr>
        <w:pStyle w:val="ListBullet"/>
      </w:pPr>
      <w:r>
        <w:t>Test automation in stages and provide rollback and emergency-stop procedures.</w:t>
      </w:r>
    </w:p>
    <w:p>
      <w:pPr>
        <w:pStyle w:val="ListBullet"/>
      </w:pPr>
      <w:r>
        <w:t>Prevent automation from amplifying a false positive across the enterprise.</w:t>
      </w:r>
    </w:p>
    <w:p>
      <w:pPr>
        <w:pStyle w:val="Heading1"/>
      </w:pPr>
      <w:r>
        <w:t>12. Third parties and remote access</w:t>
      </w:r>
    </w:p>
    <w:p>
      <w:pPr>
        <w:pStyle w:val="ListBullet"/>
      </w:pPr>
      <w:r>
        <w:t>Use identity-based, application-specific access instead of broad network access where possible.</w:t>
      </w:r>
    </w:p>
    <w:p>
      <w:pPr>
        <w:pStyle w:val="ListBullet"/>
      </w:pPr>
      <w:r>
        <w:t>Require named accounts, MFA, managed or verified devices, time limits, session monitoring, and sponsor approval.</w:t>
      </w:r>
    </w:p>
    <w:p>
      <w:pPr>
        <w:pStyle w:val="ListBullet"/>
      </w:pPr>
      <w:r>
        <w:t>Restrict vendors to required systems and hours.</w:t>
      </w:r>
    </w:p>
    <w:p>
      <w:pPr>
        <w:pStyle w:val="ListBullet"/>
      </w:pPr>
      <w:r>
        <w:t>Remove access promptly at contract end or role change.</w:t>
      </w:r>
    </w:p>
    <w:p>
      <w:pPr>
        <w:pStyle w:val="ListBullet"/>
      </w:pPr>
      <w:r>
        <w:t>Include Zero Trust responsibilities in contracts and incident procedures.</w:t>
      </w:r>
    </w:p>
    <w:p>
      <w:pPr>
        <w:pStyle w:val="Heading1"/>
      </w:pPr>
      <w:r>
        <w:t>13. OT, ICS, IoT, and legacy systems</w:t>
      </w:r>
    </w:p>
    <w:p>
      <w:pPr>
        <w:pStyle w:val="ListBullet"/>
      </w:pPr>
      <w:r>
        <w:t>Prioritize safety and availability.</w:t>
      </w:r>
    </w:p>
    <w:p>
      <w:pPr>
        <w:pStyle w:val="ListBullet"/>
      </w:pPr>
      <w:r>
        <w:t>Use passive discovery where active scanning could disrupt operations.</w:t>
      </w:r>
    </w:p>
    <w:p>
      <w:pPr>
        <w:pStyle w:val="ListBullet"/>
      </w:pPr>
      <w:r>
        <w:t>Segment zones and conduits, restrict remote access, monitor protocol behavior, and protect engineering workstations.</w:t>
      </w:r>
    </w:p>
    <w:p>
      <w:pPr>
        <w:pStyle w:val="ListBullet"/>
      </w:pPr>
      <w:r>
        <w:t>Use jump hosts, unidirectional gateways, allowlists, compensating controls, and planned maintenance windows.</w:t>
      </w:r>
    </w:p>
    <w:p>
      <w:pPr>
        <w:pStyle w:val="ListBullet"/>
      </w:pPr>
      <w:r>
        <w:t>Do not force modern controls onto unsupported systems without engineering review.</w:t>
      </w:r>
    </w:p>
    <w:p>
      <w:pPr>
        <w:pStyle w:val="Heading1"/>
      </w:pPr>
      <w:r>
        <w:t>14. Cloud and multi-cloud</w:t>
      </w:r>
    </w:p>
    <w:p>
      <w:pPr>
        <w:pStyle w:val="ListBullet"/>
      </w:pPr>
      <w:r>
        <w:t>Apply consistent identity, workload, device, data, logging, and policy principles across cloud providers.</w:t>
      </w:r>
    </w:p>
    <w:p>
      <w:pPr>
        <w:pStyle w:val="ListBullet"/>
      </w:pPr>
      <w:r>
        <w:t>Use cloud-native controls but maintain common governance and evidence.</w:t>
      </w:r>
    </w:p>
    <w:p>
      <w:pPr>
        <w:pStyle w:val="ListBullet"/>
      </w:pPr>
      <w:r>
        <w:t>Remove public exposure, excessive roles, unmanaged keys, and overly broad trust relationships.</w:t>
      </w:r>
    </w:p>
    <w:p>
      <w:pPr>
        <w:pStyle w:val="ListBullet"/>
      </w:pPr>
      <w:r>
        <w:t>Protect management planes and CI/CD pipelines.</w:t>
      </w:r>
    </w:p>
    <w:p>
      <w:pPr>
        <w:pStyle w:val="ListBullet"/>
      </w:pPr>
      <w:r>
        <w:t>Continuously evaluate configuration drift and attack paths.</w:t>
      </w:r>
    </w:p>
    <w:p>
      <w:pPr>
        <w:pStyle w:val="Heading1"/>
      </w:pPr>
      <w:r>
        <w:t>15. Policy design and access decisions</w:t>
      </w:r>
    </w:p>
    <w:p>
      <w:pPr>
        <w:pStyle w:val="ListBullet"/>
      </w:pPr>
      <w:r>
        <w:t>Define subject, resource, action, conditions, risk, decision, enforcement, session duration, and reauthentication rules.</w:t>
      </w:r>
    </w:p>
    <w:p>
      <w:pPr>
        <w:pStyle w:val="ListBullet"/>
      </w:pPr>
      <w:r>
        <w:t>Use deny-by-default for sensitive resources while avoiding rules that lock out essential or emergency operations.</w:t>
      </w:r>
    </w:p>
    <w:p>
      <w:pPr>
        <w:pStyle w:val="ListBullet"/>
      </w:pPr>
      <w:r>
        <w:t>Evaluate access continuously and reduce privileges when context changes.</w:t>
      </w:r>
    </w:p>
    <w:p>
      <w:pPr>
        <w:pStyle w:val="ListBullet"/>
      </w:pPr>
      <w:r>
        <w:t>Record reasons for denials and provide accessible support and appeal mechanisms.</w:t>
      </w:r>
    </w:p>
    <w:p>
      <w:pPr>
        <w:pStyle w:val="Heading1"/>
      </w:pPr>
      <w:r>
        <w:t>16. Privacy, ethics, and accessibility</w:t>
      </w:r>
    </w:p>
    <w:p>
      <w:pPr>
        <w:pStyle w:val="ListBullet"/>
      </w:pPr>
      <w:r>
        <w:t>Collect only signals necessary for security and define retention and access controls.</w:t>
      </w:r>
    </w:p>
    <w:p>
      <w:pPr>
        <w:pStyle w:val="ListBullet"/>
      </w:pPr>
      <w:r>
        <w:t>Review workforce monitoring with legal, privacy, labor, and ethics stakeholders.</w:t>
      </w:r>
    </w:p>
    <w:p>
      <w:pPr>
        <w:pStyle w:val="ListBullet"/>
      </w:pPr>
      <w:r>
        <w:t>Test policies for disproportionate impact on remote workers, contractors, travelers, people with disabilities, and users in low-connectivity locations.</w:t>
      </w:r>
    </w:p>
    <w:p>
      <w:pPr>
        <w:pStyle w:val="ListBullet"/>
      </w:pPr>
      <w:r>
        <w:t>Provide transparent notices and alternative authentication or recovery methods.</w:t>
      </w:r>
    </w:p>
    <w:p>
      <w:pPr>
        <w:pStyle w:val="ListBullet"/>
      </w:pPr>
      <w:r>
        <w:t>Do not use behavioral risk scores as automatic proof of misconduct.</w:t>
      </w:r>
    </w:p>
    <w:p>
      <w:pPr>
        <w:pStyle w:val="Heading1"/>
      </w:pPr>
      <w:r>
        <w:t>17. Migration strategy</w:t>
      </w:r>
    </w:p>
    <w:p>
      <w:pPr>
        <w:pStyle w:val="ListBullet"/>
      </w:pPr>
      <w:r>
        <w:t>Start with a high-value business service or user group rather than attempting a simultaneous enterprise replacement.</w:t>
      </w:r>
    </w:p>
    <w:p>
      <w:pPr>
        <w:pStyle w:val="ListBullet"/>
      </w:pPr>
      <w:r>
        <w:t>Create dependencies, target architecture, milestones, owners, funding, test criteria, rollback plans, and decommissioning steps.</w:t>
      </w:r>
    </w:p>
    <w:p>
      <w:pPr>
        <w:pStyle w:val="ListBullet"/>
      </w:pPr>
      <w:r>
        <w:t>Run old and new controls in parallel when necessary.</w:t>
      </w:r>
    </w:p>
    <w:p>
      <w:pPr>
        <w:pStyle w:val="ListBullet"/>
      </w:pPr>
      <w:r>
        <w:t>Remove obsolete trust paths after validation.</w:t>
      </w:r>
    </w:p>
    <w:p>
      <w:pPr>
        <w:pStyle w:val="ListBullet"/>
      </w:pPr>
      <w:r>
        <w:t>Communicate changes and train support teams before enforcement.</w:t>
      </w:r>
    </w:p>
    <w:p>
      <w:pPr>
        <w:pStyle w:val="Heading1"/>
      </w:pPr>
      <w:r>
        <w:t>18. Testing and assurance</w:t>
      </w:r>
    </w:p>
    <w:p>
      <w:pPr>
        <w:pStyle w:val="ListBullet"/>
      </w:pPr>
      <w:r>
        <w:t>Test authentication, authorization, device posture, segmentation, policy enforcement, logging, revocation, recovery, and emergency access.</w:t>
      </w:r>
    </w:p>
    <w:p>
      <w:pPr>
        <w:pStyle w:val="ListBullet"/>
      </w:pPr>
      <w:r>
        <w:t>Perform tabletop exercises and authorized adversarial testing.</w:t>
      </w:r>
    </w:p>
    <w:p>
      <w:pPr>
        <w:pStyle w:val="ListBullet"/>
      </w:pPr>
      <w:r>
        <w:t>Test stolen tokens, compromised devices, dormant accounts, excessive privileges, lateral movement, and data exfiltration scenarios.</w:t>
      </w:r>
    </w:p>
    <w:p>
      <w:pPr>
        <w:pStyle w:val="ListBullet"/>
      </w:pPr>
      <w:r>
        <w:t>Verify that policy failures fail safely without causing unacceptable business disruption.</w:t>
      </w:r>
    </w:p>
    <w:p>
      <w:pPr>
        <w:pStyle w:val="ListBullet"/>
      </w:pPr>
      <w:r>
        <w:t>Retest after major changes.</w:t>
      </w:r>
    </w:p>
    <w:p>
      <w:pPr>
        <w:pStyle w:val="Heading1"/>
      </w:pPr>
      <w:r>
        <w:t>19. Metrics and executive reporting</w:t>
      </w:r>
    </w:p>
    <w:p>
      <w:pPr>
        <w:pStyle w:val="ListBullet"/>
      </w:pPr>
      <w:r>
        <w:t>Measure resource coverage, phishing-resistant MFA adoption, managed-device coverage, privileged-access duration, segmentation coverage, stale accounts, policy exceptions, time to revoke access, lateral-movement containment, and sensitive-data exposure.</w:t>
      </w:r>
    </w:p>
    <w:p>
      <w:pPr>
        <w:pStyle w:val="ListBullet"/>
      </w:pPr>
      <w:r>
        <w:t>Report business risk reduction, not only tool deployment.</w:t>
      </w:r>
    </w:p>
    <w:p>
      <w:pPr>
        <w:pStyle w:val="ListBullet"/>
      </w:pPr>
      <w:r>
        <w:t>Show trends, dependencies, overdue actions, accepted risks, and decisions needed.</w:t>
      </w:r>
    </w:p>
    <w:p>
      <w:pPr>
        <w:pStyle w:val="ListBullet"/>
      </w:pPr>
      <w:r>
        <w:t>Avoid vanity metrics that reward blocking legitimate work.</w:t>
      </w:r>
    </w:p>
    <w:p>
      <w:pPr>
        <w:pStyle w:val="Heading1"/>
      </w:pPr>
      <w:r>
        <w:t>20. 30/60/90-day plan</w:t>
      </w:r>
    </w:p>
    <w:p>
      <w:pPr>
        <w:pStyle w:val="ListBullet"/>
      </w:pPr>
      <w:r>
        <w:t>Days 1-30: establish governance, inventory critical services, identify major trust assumptions, protect privileged identities, and enable essential logging.</w:t>
      </w:r>
    </w:p>
    <w:p>
      <w:pPr>
        <w:pStyle w:val="ListBullet"/>
      </w:pPr>
      <w:r>
        <w:t>Days 31-60: implement conditional access, device signals, workload identities, priority segmentation, data classification, and third-party restrictions.</w:t>
      </w:r>
    </w:p>
    <w:p>
      <w:pPr>
        <w:pStyle w:val="ListBullet"/>
      </w:pPr>
      <w:r>
        <w:t>Days 61-90: automate selected responses, test high-risk scenarios, retire obsolete access paths, establish metrics, and approve the next implementation wave.</w:t>
      </w:r>
    </w:p>
    <w:p>
      <w:pPr>
        <w:pStyle w:val="Heading1"/>
      </w:pPr>
      <w:r>
        <w:t>21. Maturity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D9EAF7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Traditional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Initial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Advanced</w:t>
            </w:r>
          </w:p>
        </w:tc>
        <w:tc>
          <w:tcPr>
            <w:tcW w:type="dxa" w:w="1999"/>
            <w:shd w:fill="D9EAF7"/>
          </w:tcPr>
          <w:p>
            <w:r>
              <w:rPr>
                <w:b/>
              </w:rPr>
              <w:t>Optimal</w:t>
            </w:r>
          </w:p>
        </w:tc>
      </w:tr>
      <w:tr>
        <w:tc>
          <w:tcPr>
            <w:tcW w:type="dxa" w:w="1999"/>
          </w:tcPr>
          <w:p>
            <w:r>
              <w:t>Identity</w:t>
            </w:r>
          </w:p>
        </w:tc>
        <w:tc>
          <w:tcPr>
            <w:tcW w:type="dxa" w:w="1999"/>
          </w:tcPr>
          <w:p>
            <w:r>
              <w:t>Passwords and broad roles</w:t>
            </w:r>
          </w:p>
        </w:tc>
        <w:tc>
          <w:tcPr>
            <w:tcW w:type="dxa" w:w="1999"/>
          </w:tcPr>
          <w:p>
            <w:r>
              <w:t>MFA for priority users</w:t>
            </w:r>
          </w:p>
        </w:tc>
        <w:tc>
          <w:tcPr>
            <w:tcW w:type="dxa" w:w="1999"/>
          </w:tcPr>
          <w:p>
            <w:r>
              <w:t>Risk-based access and PAM</w:t>
            </w:r>
          </w:p>
        </w:tc>
        <w:tc>
          <w:tcPr>
            <w:tcW w:type="dxa" w:w="1999"/>
          </w:tcPr>
          <w:p>
            <w:r>
              <w:t>Phishing-resistant, continuous, automated</w:t>
            </w:r>
          </w:p>
        </w:tc>
      </w:tr>
      <w:tr>
        <w:tc>
          <w:tcPr>
            <w:tcW w:type="dxa" w:w="1999"/>
          </w:tcPr>
          <w:p>
            <w:r>
              <w:t>Devices</w:t>
            </w:r>
          </w:p>
        </w:tc>
        <w:tc>
          <w:tcPr>
            <w:tcW w:type="dxa" w:w="1999"/>
          </w:tcPr>
          <w:p>
            <w:r>
              <w:t>Limited inventory</w:t>
            </w:r>
          </w:p>
        </w:tc>
        <w:tc>
          <w:tcPr>
            <w:tcW w:type="dxa" w:w="1999"/>
          </w:tcPr>
          <w:p>
            <w:r>
              <w:t>Basic management</w:t>
            </w:r>
          </w:p>
        </w:tc>
        <w:tc>
          <w:tcPr>
            <w:tcW w:type="dxa" w:w="1999"/>
          </w:tcPr>
          <w:p>
            <w:r>
              <w:t>Compliance-based access</w:t>
            </w:r>
          </w:p>
        </w:tc>
        <w:tc>
          <w:tcPr>
            <w:tcW w:type="dxa" w:w="1999"/>
          </w:tcPr>
          <w:p>
            <w:r>
              <w:t>Continuous posture and automated response</w:t>
            </w:r>
          </w:p>
        </w:tc>
      </w:tr>
      <w:tr>
        <w:tc>
          <w:tcPr>
            <w:tcW w:type="dxa" w:w="1999"/>
          </w:tcPr>
          <w:p>
            <w:r>
              <w:t>Networks</w:t>
            </w:r>
          </w:p>
        </w:tc>
        <w:tc>
          <w:tcPr>
            <w:tcW w:type="dxa" w:w="1999"/>
          </w:tcPr>
          <w:p>
            <w:r>
              <w:t>Flat trusted network</w:t>
            </w:r>
          </w:p>
        </w:tc>
        <w:tc>
          <w:tcPr>
            <w:tcW w:type="dxa" w:w="1999"/>
          </w:tcPr>
          <w:p>
            <w:r>
              <w:t>Priority segmentation</w:t>
            </w:r>
          </w:p>
        </w:tc>
        <w:tc>
          <w:tcPr>
            <w:tcW w:type="dxa" w:w="1999"/>
          </w:tcPr>
          <w:p>
            <w:r>
              <w:t>Application-aware segmentation</w:t>
            </w:r>
          </w:p>
        </w:tc>
        <w:tc>
          <w:tcPr>
            <w:tcW w:type="dxa" w:w="1999"/>
          </w:tcPr>
          <w:p>
            <w:r>
              <w:t>Dynamic least-privilege access</w:t>
            </w:r>
          </w:p>
        </w:tc>
      </w:tr>
      <w:tr>
        <w:tc>
          <w:tcPr>
            <w:tcW w:type="dxa" w:w="1999"/>
          </w:tcPr>
          <w:p>
            <w:r>
              <w:t>Applications</w:t>
            </w:r>
          </w:p>
        </w:tc>
        <w:tc>
          <w:tcPr>
            <w:tcW w:type="dxa" w:w="1999"/>
          </w:tcPr>
          <w:p>
            <w:r>
              <w:t>Legacy trust</w:t>
            </w:r>
          </w:p>
        </w:tc>
        <w:tc>
          <w:tcPr>
            <w:tcW w:type="dxa" w:w="1999"/>
          </w:tcPr>
          <w:p>
            <w:r>
              <w:t>SSO and inventory</w:t>
            </w:r>
          </w:p>
        </w:tc>
        <w:tc>
          <w:tcPr>
            <w:tcW w:type="dxa" w:w="1999"/>
          </w:tcPr>
          <w:p>
            <w:r>
              <w:t>Workload identities and API policy</w:t>
            </w:r>
          </w:p>
        </w:tc>
        <w:tc>
          <w:tcPr>
            <w:tcW w:type="dxa" w:w="1999"/>
          </w:tcPr>
          <w:p>
            <w:r>
              <w:t>Continuous authorization and runtime protection</w:t>
            </w:r>
          </w:p>
        </w:tc>
      </w:tr>
      <w:tr>
        <w:tc>
          <w:tcPr>
            <w:tcW w:type="dxa" w:w="1999"/>
          </w:tcPr>
          <w:p>
            <w:r>
              <w:t>Data</w:t>
            </w:r>
          </w:p>
        </w:tc>
        <w:tc>
          <w:tcPr>
            <w:tcW w:type="dxa" w:w="1999"/>
          </w:tcPr>
          <w:p>
            <w:r>
              <w:t>Location-based protection</w:t>
            </w:r>
          </w:p>
        </w:tc>
        <w:tc>
          <w:tcPr>
            <w:tcW w:type="dxa" w:w="1999"/>
          </w:tcPr>
          <w:p>
            <w:r>
              <w:t>Classification pilots</w:t>
            </w:r>
          </w:p>
        </w:tc>
        <w:tc>
          <w:tcPr>
            <w:tcW w:type="dxa" w:w="1999"/>
          </w:tcPr>
          <w:p>
            <w:r>
              <w:t>DLP and rights controls</w:t>
            </w:r>
          </w:p>
        </w:tc>
        <w:tc>
          <w:tcPr>
            <w:tcW w:type="dxa" w:w="1999"/>
          </w:tcPr>
          <w:p>
            <w:r>
              <w:t>Policy follows data and risk</w:t>
            </w:r>
          </w:p>
        </w:tc>
      </w:tr>
      <w:tr>
        <w:tc>
          <w:tcPr>
            <w:tcW w:type="dxa" w:w="1999"/>
          </w:tcPr>
          <w:p>
            <w:r>
              <w:t>Visibility</w:t>
            </w:r>
          </w:p>
        </w:tc>
        <w:tc>
          <w:tcPr>
            <w:tcW w:type="dxa" w:w="1999"/>
          </w:tcPr>
          <w:p>
            <w:r>
              <w:t>Siloed logs</w:t>
            </w:r>
          </w:p>
        </w:tc>
        <w:tc>
          <w:tcPr>
            <w:tcW w:type="dxa" w:w="1999"/>
          </w:tcPr>
          <w:p>
            <w:r>
              <w:t>Central collection</w:t>
            </w:r>
          </w:p>
        </w:tc>
        <w:tc>
          <w:tcPr>
            <w:tcW w:type="dxa" w:w="1999"/>
          </w:tcPr>
          <w:p>
            <w:r>
              <w:t>Cross-pillar analytics</w:t>
            </w:r>
          </w:p>
        </w:tc>
        <w:tc>
          <w:tcPr>
            <w:tcW w:type="dxa" w:w="1999"/>
          </w:tcPr>
          <w:p>
            <w:r>
              <w:t>Automated feedback and response</w:t>
            </w:r>
          </w:p>
        </w:tc>
      </w:tr>
    </w:tbl>
    <w:p/>
    <w:p>
      <w:pPr>
        <w:pStyle w:val="Heading1"/>
      </w:pPr>
      <w:r>
        <w:t>22. Production readiness checklist</w:t>
      </w:r>
    </w:p>
    <w:p>
      <w:r>
        <w:rPr>
          <w:b/>
        </w:rPr>
        <w:t xml:space="preserve">☐ </w:t>
      </w:r>
      <w:r>
        <w:t>Executive sponsor and pillar owners</w:t>
      </w:r>
    </w:p>
    <w:p>
      <w:r>
        <w:rPr>
          <w:b/>
        </w:rPr>
        <w:t xml:space="preserve">☐ </w:t>
      </w:r>
      <w:r>
        <w:t>Critical services and resources inventoried</w:t>
      </w:r>
    </w:p>
    <w:p>
      <w:r>
        <w:rPr>
          <w:b/>
        </w:rPr>
        <w:t xml:space="preserve">☐ </w:t>
      </w:r>
      <w:r>
        <w:t>Target architecture and roadmap approved</w:t>
      </w:r>
    </w:p>
    <w:p>
      <w:r>
        <w:rPr>
          <w:b/>
        </w:rPr>
        <w:t xml:space="preserve">☐ </w:t>
      </w:r>
      <w:r>
        <w:t>Phishing-resistant MFA prioritized</w:t>
      </w:r>
    </w:p>
    <w:p>
      <w:r>
        <w:rPr>
          <w:b/>
        </w:rPr>
        <w:t xml:space="preserve">☐ </w:t>
      </w:r>
      <w:r>
        <w:t>Privileged access controlled</w:t>
      </w:r>
    </w:p>
    <w:p>
      <w:r>
        <w:rPr>
          <w:b/>
        </w:rPr>
        <w:t xml:space="preserve">☐ </w:t>
      </w:r>
      <w:r>
        <w:t>Non-human identities governed</w:t>
      </w:r>
    </w:p>
    <w:p>
      <w:r>
        <w:rPr>
          <w:b/>
        </w:rPr>
        <w:t xml:space="preserve">☐ </w:t>
      </w:r>
      <w:r>
        <w:t>Device posture used in access</w:t>
      </w:r>
    </w:p>
    <w:p>
      <w:r>
        <w:rPr>
          <w:b/>
        </w:rPr>
        <w:t xml:space="preserve">☐ </w:t>
      </w:r>
      <w:r>
        <w:t>Priority segmentation implemented</w:t>
      </w:r>
    </w:p>
    <w:p>
      <w:r>
        <w:rPr>
          <w:b/>
        </w:rPr>
        <w:t xml:space="preserve">☐ </w:t>
      </w:r>
      <w:r>
        <w:t>Application and API access enforced</w:t>
      </w:r>
    </w:p>
    <w:p>
      <w:r>
        <w:rPr>
          <w:b/>
        </w:rPr>
        <w:t xml:space="preserve">☐ </w:t>
      </w:r>
      <w:r>
        <w:t>Sensitive data classified and protected</w:t>
      </w:r>
    </w:p>
    <w:p>
      <w:r>
        <w:rPr>
          <w:b/>
        </w:rPr>
        <w:t xml:space="preserve">☐ </w:t>
      </w:r>
      <w:r>
        <w:t>Third-party access restricted</w:t>
      </w:r>
    </w:p>
    <w:p>
      <w:r>
        <w:rPr>
          <w:b/>
        </w:rPr>
        <w:t xml:space="preserve">☐ </w:t>
      </w:r>
      <w:r>
        <w:t>Central telemetry and detections enabled</w:t>
      </w:r>
    </w:p>
    <w:p>
      <w:r>
        <w:rPr>
          <w:b/>
        </w:rPr>
        <w:t xml:space="preserve">☐ </w:t>
      </w:r>
      <w:r>
        <w:t>Automation tested with rollback</w:t>
      </w:r>
    </w:p>
    <w:p>
      <w:r>
        <w:rPr>
          <w:b/>
        </w:rPr>
        <w:t xml:space="preserve">☐ </w:t>
      </w:r>
      <w:r>
        <w:t>Privacy and accessibility review completed</w:t>
      </w:r>
    </w:p>
    <w:p>
      <w:r>
        <w:rPr>
          <w:b/>
        </w:rPr>
        <w:t xml:space="preserve">☐ </w:t>
      </w:r>
      <w:r>
        <w:t>Incident and emergency-access exercises completed</w:t>
      </w:r>
    </w:p>
    <w:p>
      <w:r>
        <w:rPr>
          <w:b/>
        </w:rPr>
        <w:t xml:space="preserve">☐ </w:t>
      </w:r>
      <w:r>
        <w:t>Metrics and exception reviews scheduled</w:t>
      </w:r>
    </w:p>
    <w:p>
      <w:pPr>
        <w:pStyle w:val="Heading1"/>
      </w:pPr>
      <w:r>
        <w:t>23. Official references</w:t>
      </w:r>
    </w:p>
    <w:p>
      <w:pPr>
        <w:pStyle w:val="ListBullet"/>
      </w:pPr>
      <w:r>
        <w:t>NIST SP 800-207 Zero Trust Architecture: https://csrc.nist.gov/pubs/sp/800/207/final</w:t>
      </w:r>
    </w:p>
    <w:p>
      <w:pPr>
        <w:pStyle w:val="ListBullet"/>
      </w:pPr>
      <w:r>
        <w:t>NIST SP 1800-35 Implementing a Zero Trust Architecture: https://csrc.nist.gov/pubs/sp/1800/35/final</w:t>
      </w:r>
    </w:p>
    <w:p>
      <w:pPr>
        <w:pStyle w:val="ListBullet"/>
      </w:pPr>
      <w:r>
        <w:t>NIST SP 800-207A Cloud-Native Access Control: https://csrc.nist.gov/pubs/sp/800/207/a/final</w:t>
      </w:r>
    </w:p>
    <w:p>
      <w:pPr>
        <w:pStyle w:val="ListBullet"/>
      </w:pPr>
      <w:r>
        <w:t>CISA Zero Trust Maturity Model Version 2.0: https://www.cisa.gov/resources-tools/resources/zero-trust-maturity-model</w:t>
      </w:r>
    </w:p>
    <w:p>
      <w:pPr>
        <w:pStyle w:val="ListBullet"/>
      </w:pPr>
      <w:r>
        <w:t>U.S. Department of Defense Zero Trust Strategy: https://dodcio.defense.gov/Portals/0/Documents/Library/DoD-ZTStrategy.pdf</w:t>
      </w:r>
    </w:p>
    <w:p>
      <w:pPr>
        <w:pStyle w:val="ListBullet"/>
      </w:pPr>
      <w:r>
        <w:t>Microsoft Zero Trust Guidance Center: https://learn.microsoft.com/security/zero-trust/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Zero Trust Security Program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