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CÓMO CONVERTIRSE EN ANALISTA DE GRC</w:t>
      </w:r>
    </w:p>
    <w:p>
      <w:pPr>
        <w:jc w:val="center"/>
      </w:pPr>
      <w:r>
        <w:rPr>
          <w:i/>
          <w:sz w:val="30"/>
        </w:rPr>
        <w:t>Guía práctica de gobierno, riesgo, cumplimiento, auditoría y preparacion profesional</w:t>
      </w:r>
    </w:p>
    <w:p/>
    <w:p>
      <w:pPr>
        <w:jc w:val="center"/>
      </w:pPr>
      <w:r>
        <w:rPr>
          <w:b/>
          <w:sz w:val="28"/>
        </w:rPr>
        <w:t>Alberto (Al) Leiva</w:t>
      </w:r>
    </w:p>
    <w:p>
      <w:pPr>
        <w:jc w:val="center"/>
      </w:pPr>
      <w:r>
        <w:t>Versión 1.0 - Julio de 2026</w:t>
      </w:r>
    </w:p>
    <w:p>
      <w:pPr>
        <w:jc w:val="center"/>
      </w:pPr>
      <w:r>
        <w:rPr>
          <w:i/>
        </w:rPr>
        <w:t>CC BY-NC-SA 4.0</w:t>
      </w:r>
    </w:p>
    <w:p>
      <w:r/>
    </w:p>
    <w:p>
      <w:pPr>
        <w:pStyle w:val="Heading1"/>
      </w:pPr>
      <w:r>
        <w:t>Tabla de contenido</w:t>
      </w:r>
    </w:p>
    <w:p>
      <w:pPr>
        <w:pStyle w:val="ListBullet"/>
      </w:pPr>
      <w:r>
        <w:t>Propósito y uso responsable</w:t>
      </w:r>
    </w:p>
    <w:p>
      <w:pPr>
        <w:pStyle w:val="ListBullet"/>
      </w:pPr>
      <w:r>
        <w:t>1. Qué hace un analista de GRC</w:t>
      </w:r>
    </w:p>
    <w:p>
      <w:pPr>
        <w:pStyle w:val="ListBullet"/>
      </w:pPr>
      <w:r>
        <w:t>2. Niveles profesionales y desarrollo</w:t>
      </w:r>
    </w:p>
    <w:p>
      <w:pPr>
        <w:pStyle w:val="ListBullet"/>
      </w:pPr>
      <w:r>
        <w:t>3. Conocimientos esenciales</w:t>
      </w:r>
    </w:p>
    <w:p>
      <w:pPr>
        <w:pStyle w:val="ListBullet"/>
      </w:pPr>
      <w:r>
        <w:t>4. Marcos y normás</w:t>
      </w:r>
    </w:p>
    <w:p>
      <w:pPr>
        <w:pStyle w:val="ListBullet"/>
      </w:pPr>
      <w:r>
        <w:t>5. Método de evaluación de riesgos</w:t>
      </w:r>
    </w:p>
    <w:p>
      <w:pPr>
        <w:pStyle w:val="ListBullet"/>
      </w:pPr>
      <w:r>
        <w:t>6. Controles y pruebas</w:t>
      </w:r>
    </w:p>
    <w:p>
      <w:pPr>
        <w:pStyle w:val="ListBullet"/>
      </w:pPr>
      <w:r>
        <w:t>7. Recopilación de evidencia</w:t>
      </w:r>
    </w:p>
    <w:p>
      <w:pPr>
        <w:pStyle w:val="ListBullet"/>
      </w:pPr>
      <w:r>
        <w:t>8. Políticas y procedimientos</w:t>
      </w:r>
    </w:p>
    <w:p>
      <w:pPr>
        <w:pStyle w:val="ListBullet"/>
      </w:pPr>
      <w:r>
        <w:t>9. Preparación para auditorías</w:t>
      </w:r>
    </w:p>
    <w:p>
      <w:pPr>
        <w:pStyle w:val="ListBullet"/>
      </w:pPr>
      <w:r>
        <w:t>10. Riesgo de terceros</w:t>
      </w:r>
    </w:p>
    <w:p>
      <w:pPr>
        <w:pStyle w:val="ListBullet"/>
      </w:pPr>
      <w:r>
        <w:t>11. Gobierno de nube e IA</w:t>
      </w:r>
    </w:p>
    <w:p>
      <w:pPr>
        <w:pStyle w:val="ListBullet"/>
      </w:pPr>
      <w:r>
        <w:t>12. Herramientas</w:t>
      </w:r>
    </w:p>
    <w:p>
      <w:pPr>
        <w:pStyle w:val="ListBullet"/>
      </w:pPr>
      <w:r>
        <w:t>13. Comunicación</w:t>
      </w:r>
    </w:p>
    <w:p>
      <w:pPr>
        <w:pStyle w:val="ListBullet"/>
      </w:pPr>
      <w:r>
        <w:t>14. Proyectos de portafolio</w:t>
      </w:r>
    </w:p>
    <w:p>
      <w:pPr>
        <w:pStyle w:val="ListBullet"/>
      </w:pPr>
      <w:r>
        <w:t>15. Currículum y entrevistas</w:t>
      </w:r>
    </w:p>
    <w:p>
      <w:pPr>
        <w:pStyle w:val="ListBullet"/>
      </w:pPr>
      <w:r>
        <w:t>16. Plan de 30, 60 y 90 días</w:t>
      </w:r>
    </w:p>
    <w:p>
      <w:pPr>
        <w:pStyle w:val="ListBullet"/>
      </w:pPr>
      <w:r>
        <w:t>17. Practical templates / Plantillas prácticas</w:t>
      </w:r>
    </w:p>
    <w:p>
      <w:pPr>
        <w:pStyle w:val="ListBullet"/>
      </w:pPr>
      <w:r>
        <w:t>18. Official references / Referencias oficiales</w:t>
      </w:r>
    </w:p>
    <w:p>
      <w:r/>
    </w:p>
    <w:p>
      <w:pPr>
        <w:pStyle w:val="Heading1"/>
      </w:pPr>
      <w:r>
        <w:t>Propósito y uso responsable</w:t>
      </w:r>
    </w:p>
    <w:p>
      <w:r>
        <w:t>Este manual ayuda a principiantes y personas que desean cambiar de carrera a comprender el trabajo de un analista de Gobierno, Riesgo y Cumplimiento, y a crear evidencia práctica y ética para su portafolio. No sustituye asesoria legal, capacitación de certificacion ni políticas especificas de una organización.</w:t>
      </w:r>
    </w:p>
    <w:p>
      <w:r>
        <w:t>Utilice solamente información ficticia, anonimizada o autorizada en ejercicios y portafolios. Nunca publique datos confidenciales, información personal, credenciales, evidencia de auditoría o registros regulados.</w:t>
      </w:r>
    </w:p>
    <w:p>
      <w:pPr>
        <w:pStyle w:val="Heading1"/>
      </w:pPr>
      <w:r>
        <w:t>1. Qué hace un analista de GRC</w:t>
      </w:r>
    </w:p>
    <w:p>
      <w:r>
        <w:t>Un analista de GRC conecta objetivos empresariales, tecnología, riesgo, controles, evidencia y responsabilidad. El trabajo no consiste solamente en completar listas. Es necesario comprender por qué existe un control, cómo reduce el riesgo, si funciona y cómo comunicar brechas de manera profesional.</w:t>
      </w:r>
    </w:p>
    <w:p>
      <w:r>
        <w:t>Las responsabilidades habituales incluyen evaluaciónes de riesgo, mapeo de controles, revisión de evidencia, apoyo a políticas, coordinacion de auditorías, seguimiento de hallazgos, riesgo de terceros, monitoreo de cumplimiento, métricas e informes ejecutivos.</w:t>
      </w:r>
    </w:p>
    <w:p>
      <w:pPr>
        <w:pStyle w:val="Heading1"/>
      </w:pPr>
      <w:r>
        <w:t>2. Niveles profesionales y desarrollo</w:t>
      </w:r>
    </w:p>
    <w:p>
      <w:r>
        <w:t>Los analistas iniciales suelen recopilar evidencia, mantener registros, apoyar evaluaciónes, actualizar documentación y seguir remediaciónes. Los niveles intermedios dirigen evaluaciónes y pruebas. Los profesionales senior diseñan programás, asesoran a ejecutivos e integran el riesgo cibernético con el riesgo empresarial.</w:t>
      </w:r>
    </w:p>
    <w:p>
      <w:pPr>
        <w:pStyle w:val="Heading1"/>
      </w:pPr>
      <w:r>
        <w:t>3. Conocimientos esenciales</w:t>
      </w:r>
    </w:p>
    <w:p>
      <w:r>
        <w:t>Aprenda fundamentos de ciberseguridad, redes, nube, identidad, protección de datos, vulnerabilidades, respuesta a incidentes, continuidad, privacidad y auditoría. No necesita ser el especialista tecnico más profundo, pero debe formular preguntas precisas y reconocer evidencia incompleta.</w:t>
      </w:r>
    </w:p>
    <w:p>
      <w:pPr>
        <w:pStyle w:val="Heading1"/>
      </w:pPr>
      <w:r>
        <w:t>4. Marcos y normás</w:t>
      </w:r>
    </w:p>
    <w:p>
      <w:r>
        <w:t>Comience con NIST CSF 2.0, ISO/IEC 27001, CIS Controls, conceptos de SOC 2, PCI DSS cuando existan datos de pago, HIPAA cuando corresponda, obligaciones de privacidad y NIST AI RMF para riesgos de IA. No afirme el cumplimiento sin comprender alcance, evidencia, excepciones y eficacia operativa.</w:t>
      </w:r>
    </w:p>
    <w:p>
      <w:pPr>
        <w:pStyle w:val="Heading1"/>
      </w:pPr>
      <w:r>
        <w:t>5. Método de evaluación de riesgos</w:t>
      </w:r>
    </w:p>
    <w:p>
      <w:r>
        <w:t>Una evaluación práctica identifica activos, amenazas, vulnerabilidades, controles existentes, probabilidad, impacto, propietario, tratamiento, fecha y riesgo residual. Use una escala coherente y explique sus supuestos.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Ejemplo</w:t>
            </w:r>
          </w:p>
        </w:tc>
      </w:tr>
      <w:tr>
        <w:tc>
          <w:tcPr>
            <w:tcW w:type="dxa" w:w="5040"/>
          </w:tcPr>
          <w:p>
            <w:r>
              <w:t>Riesgo</w:t>
            </w:r>
          </w:p>
        </w:tc>
        <w:tc>
          <w:tcPr>
            <w:tcW w:type="dxa" w:w="5040"/>
          </w:tcPr>
          <w:p>
            <w:r>
              <w:t>Acceso no autorizado a datos de clientes</w:t>
            </w:r>
          </w:p>
        </w:tc>
      </w:tr>
      <w:tr>
        <w:tc>
          <w:tcPr>
            <w:tcW w:type="dxa" w:w="5040"/>
          </w:tcPr>
          <w:p>
            <w:r>
              <w:t>Activo</w:t>
            </w:r>
          </w:p>
        </w:tc>
        <w:tc>
          <w:tcPr>
            <w:tcW w:type="dxa" w:w="5040"/>
          </w:tcPr>
          <w:p>
            <w:r>
              <w:t>Base de datos de clientes</w:t>
            </w:r>
          </w:p>
        </w:tc>
      </w:tr>
      <w:tr>
        <w:tc>
          <w:tcPr>
            <w:tcW w:type="dxa" w:w="5040"/>
          </w:tcPr>
          <w:p>
            <w:r>
              <w:t>Amenaza</w:t>
            </w:r>
          </w:p>
        </w:tc>
        <w:tc>
          <w:tcPr>
            <w:tcW w:type="dxa" w:w="5040"/>
          </w:tcPr>
          <w:p>
            <w:r>
              <w:t>Cuenta comprometida</w:t>
            </w:r>
          </w:p>
        </w:tc>
      </w:tr>
      <w:tr>
        <w:tc>
          <w:tcPr>
            <w:tcW w:type="dxa" w:w="5040"/>
          </w:tcPr>
          <w:p>
            <w:r>
              <w:t>Debilidad</w:t>
            </w:r>
          </w:p>
        </w:tc>
        <w:tc>
          <w:tcPr>
            <w:tcW w:type="dxa" w:w="5040"/>
          </w:tcPr>
          <w:p>
            <w:r>
              <w:t>Sin MFA resistente a phishing</w:t>
            </w:r>
          </w:p>
        </w:tc>
      </w:tr>
      <w:tr>
        <w:tc>
          <w:tcPr>
            <w:tcW w:type="dxa" w:w="5040"/>
          </w:tcPr>
          <w:p>
            <w:r>
              <w:t>Probabilidad</w:t>
            </w:r>
          </w:p>
        </w:tc>
        <w:tc>
          <w:tcPr>
            <w:tcW w:type="dxa" w:w="5040"/>
          </w:tcPr>
          <w:p>
            <w:r>
              <w:t>Posible</w:t>
            </w:r>
          </w:p>
        </w:tc>
      </w:tr>
      <w:tr>
        <w:tc>
          <w:tcPr>
            <w:tcW w:type="dxa" w:w="5040"/>
          </w:tcPr>
          <w:p>
            <w:r>
              <w:t>Impacto</w:t>
            </w:r>
          </w:p>
        </w:tc>
        <w:tc>
          <w:tcPr>
            <w:tcW w:type="dxa" w:w="5040"/>
          </w:tcPr>
          <w:p>
            <w:r>
              <w:t>Alto</w:t>
            </w:r>
          </w:p>
        </w:tc>
      </w:tr>
      <w:tr>
        <w:tc>
          <w:tcPr>
            <w:tcW w:type="dxa" w:w="5040"/>
          </w:tcPr>
          <w:p>
            <w:r>
              <w:t>Tratamiento</w:t>
            </w:r>
          </w:p>
        </w:tc>
        <w:tc>
          <w:tcPr>
            <w:tcW w:type="dxa" w:w="5040"/>
          </w:tcPr>
          <w:p>
            <w:r>
              <w:t>Implementar MFA reforzada y monitoreo</w:t>
            </w:r>
          </w:p>
        </w:tc>
      </w:tr>
      <w:tr>
        <w:tc>
          <w:tcPr>
            <w:tcW w:type="dxa" w:w="5040"/>
          </w:tcPr>
          <w:p>
            <w:r>
              <w:t>Propietario</w:t>
            </w:r>
          </w:p>
        </w:tc>
        <w:tc>
          <w:tcPr>
            <w:tcW w:type="dxa" w:w="5040"/>
          </w:tcPr>
          <w:p>
            <w:r>
              <w:t>Responsable de identidad</w:t>
            </w:r>
          </w:p>
        </w:tc>
      </w:tr>
      <w:tr>
        <w:tc>
          <w:tcPr>
            <w:tcW w:type="dxa" w:w="5040"/>
          </w:tcPr>
          <w:p>
            <w:r>
              <w:t>Riesgo residual</w:t>
            </w:r>
          </w:p>
        </w:tc>
        <w:tc>
          <w:tcPr>
            <w:tcW w:type="dxa" w:w="5040"/>
          </w:tcPr>
          <w:p>
            <w:r>
              <w:t>Medio después de validar</w:t>
            </w:r>
          </w:p>
        </w:tc>
      </w:tr>
    </w:tbl>
    <w:p/>
    <w:p>
      <w:pPr>
        <w:pStyle w:val="Heading1"/>
      </w:pPr>
      <w:r>
        <w:t>6. Controles y pruebas</w:t>
      </w:r>
    </w:p>
    <w:p>
      <w:r>
        <w:t>Un control debe tener objetivo, propietario, frecuencia, procedimiento, evidencia, poblacion y proceso de excepciones. La eficacia del diseño pregunta si el control podría reducir el riesgo. La eficacia operativa pregunta si realmente funcionó durante el período revisado.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Pregunta</w:t>
            </w:r>
          </w:p>
        </w:tc>
      </w:tr>
      <w:tr>
        <w:tc>
          <w:tcPr>
            <w:tcW w:type="dxa" w:w="5040"/>
          </w:tcPr>
          <w:p>
            <w:r>
              <w:t>Objetivo</w:t>
            </w:r>
          </w:p>
        </w:tc>
        <w:tc>
          <w:tcPr>
            <w:tcW w:type="dxa" w:w="5040"/>
          </w:tcPr>
          <w:p>
            <w:r>
              <w:t>Qué riesgo reduce?</w:t>
            </w:r>
          </w:p>
        </w:tc>
      </w:tr>
      <w:tr>
        <w:tc>
          <w:tcPr>
            <w:tcW w:type="dxa" w:w="5040"/>
          </w:tcPr>
          <w:p>
            <w:r>
              <w:t>Propietario</w:t>
            </w:r>
          </w:p>
        </w:tc>
        <w:tc>
          <w:tcPr>
            <w:tcW w:type="dxa" w:w="5040"/>
          </w:tcPr>
          <w:p>
            <w:r>
              <w:t>Quién responde?</w:t>
            </w:r>
          </w:p>
        </w:tc>
      </w:tr>
      <w:tr>
        <w:tc>
          <w:tcPr>
            <w:tcW w:type="dxa" w:w="5040"/>
          </w:tcPr>
          <w:p>
            <w:r>
              <w:t>Frecuencia</w:t>
            </w:r>
          </w:p>
        </w:tc>
        <w:tc>
          <w:tcPr>
            <w:tcW w:type="dxa" w:w="5040"/>
          </w:tcPr>
          <w:p>
            <w:r>
              <w:t>Con qué frecuencia?</w:t>
            </w:r>
          </w:p>
        </w:tc>
      </w:tr>
      <w:tr>
        <w:tc>
          <w:tcPr>
            <w:tcW w:type="dxa" w:w="5040"/>
          </w:tcPr>
          <w:p>
            <w:r>
              <w:t>Evidencia</w:t>
            </w:r>
          </w:p>
        </w:tc>
        <w:tc>
          <w:tcPr>
            <w:tcW w:type="dxa" w:w="5040"/>
          </w:tcPr>
          <w:p>
            <w:r>
              <w:t>Qué demuestra operacion?</w:t>
            </w:r>
          </w:p>
        </w:tc>
      </w:tr>
      <w:tr>
        <w:tc>
          <w:tcPr>
            <w:tcW w:type="dxa" w:w="5040"/>
          </w:tcPr>
          <w:p>
            <w:r>
              <w:t>Poblacion</w:t>
            </w:r>
          </w:p>
        </w:tc>
        <w:tc>
          <w:tcPr>
            <w:tcW w:type="dxa" w:w="5040"/>
          </w:tcPr>
          <w:p>
            <w:r>
              <w:t>Qué sistemás o usuarios cubre?</w:t>
            </w:r>
          </w:p>
        </w:tc>
      </w:tr>
      <w:tr>
        <w:tc>
          <w:tcPr>
            <w:tcW w:type="dxa" w:w="5040"/>
          </w:tcPr>
          <w:p>
            <w:r>
              <w:t>Excepcion</w:t>
            </w:r>
          </w:p>
        </w:tc>
        <w:tc>
          <w:tcPr>
            <w:tcW w:type="dxa" w:w="5040"/>
          </w:tcPr>
          <w:p>
            <w:r>
              <w:t>Cómo se registran fallas?</w:t>
            </w:r>
          </w:p>
        </w:tc>
      </w:tr>
    </w:tbl>
    <w:p/>
    <w:p>
      <w:pPr>
        <w:pStyle w:val="Heading1"/>
      </w:pPr>
      <w:r>
        <w:t>7. Recopilación de evidencia</w:t>
      </w:r>
    </w:p>
    <w:p>
      <w:r>
        <w:t>La evidencia debe ser pertinente, confiable, completa, atribuible, protegida y correspondiente al período. Ejemplos: políticas aprobadas, exportaciones de configuración, revisiónes de acceso, tickets, capturas con contexto, registros de capacitación, logs, aprobaciones y reportes.</w:t>
      </w:r>
    </w:p>
    <w:p>
      <w:pPr>
        <w:pStyle w:val="Heading1"/>
      </w:pPr>
      <w:r>
        <w:t>8. Políticas y procedimientos</w:t>
      </w:r>
    </w:p>
    <w:p>
      <w:r>
        <w:t>Las políticas expresan expectativas de la dirección. Los estándares establecen requisitos obligatorios. Los procedimientos explican cómo se realiza el trabajo. Las guias recomiendan prácticas. Asigne propietarios y ciclos de revisión.</w:t>
      </w:r>
    </w:p>
    <w:p>
      <w:pPr>
        <w:pStyle w:val="Heading1"/>
      </w:pPr>
      <w:r>
        <w:t>9. Preparación para auditorías</w:t>
      </w:r>
    </w:p>
    <w:p>
      <w:r>
        <w:t>Mantenga una lista de solicitudes, propietario, fecha, estado, revisor, excepcion y resultado. Prepare evidencia con anticipación, pero nunca fabrique ni antidate registros. Sea transparente y documente acciones correctivas.</w:t>
      </w:r>
    </w:p>
    <w:p>
      <w:pPr>
        <w:pStyle w:val="Heading1"/>
      </w:pPr>
      <w:r>
        <w:t>10. Riesgo de terceros</w:t>
      </w:r>
    </w:p>
    <w:p>
      <w:r>
        <w:t>Evalúe el servicio, los datos, la conectividad, la criticidad, la ubicación, los subcontratistas, la resiliencia, las obligaciones de incidentes y las protecciónes contractuales. Un cuestionario no es suficiente para proveedores de alto riesgo.</w:t>
      </w:r>
    </w:p>
    <w:p>
      <w:pPr>
        <w:pStyle w:val="Heading1"/>
      </w:pPr>
      <w:r>
        <w:t>11. Gobierno de nube e IA</w:t>
      </w:r>
    </w:p>
    <w:p>
      <w:r>
        <w:t>En nube, comprenda responsabilidad compartida, identidades, registros, cifrado, exposición de red, copias de seguridad y configuración. Para IA, mantenga inventario, propósito, clasificación, nivel de riesgo, supervisión humana, evaluaciónes, proveedores, monitoreo e incidentes.</w:t>
      </w:r>
    </w:p>
    <w:p>
      <w:pPr>
        <w:pStyle w:val="Heading1"/>
      </w:pPr>
      <w:r>
        <w:t>12. Herramientas</w:t>
      </w:r>
    </w:p>
    <w:p>
      <w:r>
        <w:t>Las herramientas pueden incluir hojas de cálculo, tickets, plataformás GRC, repositorios, escáneres, reportes SIEM, paneles de nube, Microsoft Purview, Defender for Cloud, Vanta, Drata, ServiceNow GRC, Archer, OneTrust y herramientas de código abierto. Aprenda primero el proceso.</w:t>
      </w:r>
    </w:p>
    <w:p>
      <w:pPr>
        <w:pStyle w:val="Heading1"/>
      </w:pPr>
      <w:r>
        <w:t>13. Comunicación</w:t>
      </w:r>
    </w:p>
    <w:p>
      <w:r>
        <w:t>Redacte hallazgos con condición, criterio, causa, riesgo, recomendación, propietario y fecha. Separe hechos de supuestos. Use lenguaje respetuoso y explique a los ejecutivos el impacto y las decisiones necesarias.</w:t>
      </w:r>
    </w:p>
    <w:p>
      <w:pPr>
        <w:pStyle w:val="Heading1"/>
      </w:pPr>
      <w:r>
        <w:t>14. Proyectos de portafolio</w:t>
      </w:r>
    </w:p>
    <w:p>
      <w:r>
        <w:t>Cree ejemplos anonimizados: registro de riesgos, matriz de controles, politica, evaluación de proveedor, seguimiento de auditoría, informe de ejercicio, revisión de nube, inventario de IA y panel ejecutivo. Incluya un README con propósito, alcance, supuestos y limites eticos.</w:t>
      </w:r>
    </w:p>
    <w:p>
      <w:pPr>
        <w:pStyle w:val="ListBullet"/>
      </w:pPr>
      <w:r>
        <w:t>Risk register / Registro de riesgos</w:t>
      </w:r>
    </w:p>
    <w:p>
      <w:pPr>
        <w:pStyle w:val="ListBullet"/>
      </w:pPr>
      <w:r>
        <w:t>Control matrix / Matriz de controles</w:t>
      </w:r>
    </w:p>
    <w:p>
      <w:pPr>
        <w:pStyle w:val="ListBullet"/>
      </w:pPr>
      <w:r>
        <w:t>Evidence request tracker / Seguimiento de evidencia</w:t>
      </w:r>
    </w:p>
    <w:p>
      <w:pPr>
        <w:pStyle w:val="ListBullet"/>
      </w:pPr>
      <w:r>
        <w:t>Third-party assessment / Evaluación de terceros</w:t>
      </w:r>
    </w:p>
    <w:p>
      <w:pPr>
        <w:pStyle w:val="ListBullet"/>
      </w:pPr>
      <w:r>
        <w:t>Executive risk summary / Resumen ejecutivo</w:t>
      </w:r>
    </w:p>
    <w:p>
      <w:pPr>
        <w:pStyle w:val="Heading1"/>
      </w:pPr>
      <w:r>
        <w:t>15. Currículum y entrevistas</w:t>
      </w:r>
    </w:p>
    <w:p>
      <w:r>
        <w:t>Muestre resultados, alcance, marcos, evidencia y colaboracion. No invente auditorías, certificaciones ni experiencia regulada. Prepare ejemplos con Situación, Tarea, Acción y Resultado.</w:t>
      </w:r>
    </w:p>
    <w:p>
      <w:pPr>
        <w:pStyle w:val="Heading1"/>
      </w:pPr>
      <w:r>
        <w:t>16. Plan de 30, 60 y 90 días</w:t>
      </w:r>
    </w:p>
    <w:p>
      <w:r>
        <w:t>Días 1-30: aprender riesgo, controles, evidencia, NIST CSF 2.0 y fundamentos. Días 31-60: crear artefactos y prácticar pruebas. Días 61-90: realizar una evaluación ficticia completa, mejorar comunicacion y solicitar empleos.</w:t>
      </w:r>
    </w:p>
    <w:p>
      <w:pPr>
        <w:pStyle w:val="Heading1"/>
      </w:pPr>
      <w:r>
        <w:t>17. Practical templates / Plantillas prácticas</w:t>
      </w:r>
    </w:p>
    <w:p>
      <w:pPr>
        <w:pStyle w:val="Heading2"/>
      </w:pPr>
      <w:r>
        <w:t>Ejemplo de hallazgo</w:t>
      </w:r>
    </w:p>
    <w:p>
      <w:r>
        <w:t>Condición: No se completaron las revisiónes trimestrales de acceso para dos aplicaciones de producción. Criterio: El estandar exige revisión trimestral. Riesgo: Podria permanecer acceso inapropiado. Recomendación: Completar la revisión, retirar acceso innecesario, identificar la causa y monitorear el cumplimiento futuro. Propietario y fecha: Asignados por la dirección.</w:t>
      </w:r>
    </w:p>
    <w:p>
      <w:pPr>
        <w:pStyle w:val="Heading2"/>
      </w:pPr>
      <w:r>
        <w:t>Campos para el seguimiento de evidencia</w:t>
      </w:r>
    </w:p>
    <w:p>
      <w:pPr>
        <w:pStyle w:val="ListBullet"/>
      </w:pPr>
      <w:r>
        <w:t>ID de solicitud</w:t>
      </w:r>
    </w:p>
    <w:p>
      <w:pPr>
        <w:pStyle w:val="ListBullet"/>
      </w:pPr>
      <w:r>
        <w:t>Control</w:t>
      </w:r>
    </w:p>
    <w:p>
      <w:pPr>
        <w:pStyle w:val="ListBullet"/>
      </w:pPr>
      <w:r>
        <w:t>Evidencia solicitada</w:t>
      </w:r>
    </w:p>
    <w:p>
      <w:pPr>
        <w:pStyle w:val="ListBullet"/>
      </w:pPr>
      <w:r>
        <w:t>Propietario</w:t>
      </w:r>
    </w:p>
    <w:p>
      <w:pPr>
        <w:pStyle w:val="ListBullet"/>
      </w:pPr>
      <w:r>
        <w:t>Fecha</w:t>
      </w:r>
    </w:p>
    <w:p>
      <w:pPr>
        <w:pStyle w:val="ListBullet"/>
      </w:pPr>
      <w:r>
        <w:t>Estado</w:t>
      </w:r>
    </w:p>
    <w:p>
      <w:pPr>
        <w:pStyle w:val="ListBullet"/>
      </w:pPr>
      <w:r>
        <w:t>Revisor</w:t>
      </w:r>
    </w:p>
    <w:p>
      <w:pPr>
        <w:pStyle w:val="ListBullet"/>
      </w:pPr>
      <w:r>
        <w:t>Excepcion</w:t>
      </w:r>
    </w:p>
    <w:p>
      <w:pPr>
        <w:pStyle w:val="ListBullet"/>
      </w:pPr>
      <w:r>
        <w:t>Conclusion final</w:t>
      </w:r>
    </w:p>
    <w:p>
      <w:pPr>
        <w:pStyle w:val="Heading2"/>
      </w:pPr>
      <w:r>
        <w:t>Seguridad humana y ética profesional</w:t>
      </w:r>
    </w:p>
    <w:p>
      <w:r>
        <w:t>Nunca humille a una persona por una falla de control. Concentre el trabajo en sistemás, decisiones, evidencia, riesgo y mejora. Proteja la información personal y la evidencia confidencial.</w:t>
      </w:r>
    </w:p>
    <w:p>
      <w:pPr>
        <w:pStyle w:val="Heading1"/>
      </w:pPr>
      <w:r>
        <w:t>18. Official references / Referencias oficiales</w:t>
      </w:r>
    </w:p>
    <w:p>
      <w:hyperlink r:id="rId9">
        <w:r>
          <w:rPr>
            <w:color w:val="0563C1"/>
            <w:u w:val="single"/>
          </w:rPr>
          <w:t>NIST Cybersecurity Framework 2.0</w:t>
        </w:r>
      </w:hyperlink>
    </w:p>
    <w:p>
      <w:hyperlink r:id="rId10">
        <w:r>
          <w:rPr>
            <w:color w:val="0563C1"/>
            <w:u w:val="single"/>
          </w:rPr>
          <w:t>NIST CSF 2.0 publication</w:t>
        </w:r>
      </w:hyperlink>
    </w:p>
    <w:p>
      <w:hyperlink r:id="rId11">
        <w:r>
          <w:rPr>
            <w:color w:val="0563C1"/>
            <w:u w:val="single"/>
          </w:rPr>
          <w:t>NIST AI Risk Management Framework</w:t>
        </w:r>
      </w:hyperlink>
    </w:p>
    <w:p>
      <w:hyperlink r:id="rId12">
        <w:r>
          <w:rPr>
            <w:color w:val="0563C1"/>
            <w:u w:val="single"/>
          </w:rPr>
          <w:t>ISO/IEC 27001 overview</w:t>
        </w:r>
      </w:hyperlink>
    </w:p>
    <w:p>
      <w:hyperlink r:id="rId13">
        <w:r>
          <w:rPr>
            <w:color w:val="0563C1"/>
            <w:u w:val="single"/>
          </w:rPr>
          <w:t>PCI DSS v4.0.1</w:t>
        </w:r>
      </w:hyperlink>
    </w:p>
    <w:p>
      <w:hyperlink r:id="rId14">
        <w:r>
          <w:rPr>
            <w:color w:val="0563C1"/>
            <w:u w:val="single"/>
          </w:rPr>
          <w:t>CIS Critical Security Controls</w:t>
        </w:r>
      </w:hyperlink>
    </w:p>
    <w:p>
      <w:hyperlink r:id="rId15">
        <w:r>
          <w:rPr>
            <w:color w:val="0563C1"/>
            <w:u w:val="single"/>
          </w:rPr>
          <w:t>OWASP Foundation</w:t>
        </w:r>
      </w:hyperlink>
    </w:p>
    <w:p>
      <w:pPr>
        <w:pStyle w:val="Heading1"/>
      </w:pPr>
      <w:r>
        <w:t>License / Licencia</w:t>
      </w:r>
    </w:p>
    <w:p>
      <w:r>
        <w:t>Copyright © 2026 Alberto (Al) Leiva. CC BY-NC-SA 4.0.</w:t>
      </w:r>
    </w:p>
    <w:sectPr w:rsidR="00FC693F" w:rsidRPr="0006063C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Como convertirse en analista de GRC - Alberto (Al) Leiva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ind w:left="360"/>
    </w:pPr>
    <w:rPr>
      <w:rFonts w:ascii="Aptos" w:hAnsi="Aptos"/>
      <w:i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ist.gov/cyberframework" TargetMode="External"/><Relationship Id="rId10" Type="http://schemas.openxmlformats.org/officeDocument/2006/relationships/hyperlink" Target="https://www.nist.gov/publications/nist-cybersecurity-framework-csf-20" TargetMode="External"/><Relationship Id="rId11" Type="http://schemas.openxmlformats.org/officeDocument/2006/relationships/hyperlink" Target="https://www.nist.gov/itl/ai-risk-management-framework" TargetMode="External"/><Relationship Id="rId12" Type="http://schemas.openxmlformats.org/officeDocument/2006/relationships/hyperlink" Target="https://www.iso.org/standard/27001" TargetMode="External"/><Relationship Id="rId13" Type="http://schemas.openxmlformats.org/officeDocument/2006/relationships/hyperlink" Target="https://blog.pcisecuritystandards.org/just-published-pci-dss-v4-0-1" TargetMode="External"/><Relationship Id="rId14" Type="http://schemas.openxmlformats.org/officeDocument/2006/relationships/hyperlink" Target="https://www.cisecurity.org/controls" TargetMode="External"/><Relationship Id="rId15" Type="http://schemas.openxmlformats.org/officeDocument/2006/relationships/hyperlink" Target="https://owasp.org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