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HOW TO PERFORM THIRD-PARTY VENDOR RISK ASSESSMENTS</w:t>
      </w:r>
    </w:p>
    <w:p>
      <w:pPr>
        <w:jc w:val="center"/>
      </w:pPr>
      <w:r>
        <w:rPr>
          <w:i/>
          <w:sz w:val="28"/>
        </w:rPr>
        <w:t>A practical guide to due diligence, contracts, evidence, monitoring, incidents, and supply-chain security</w:t>
      </w:r>
    </w:p>
    <w:p/>
    <w:p>
      <w:pPr>
        <w:jc w:val="center"/>
      </w:pPr>
      <w:r>
        <w:rPr>
          <w:b/>
          <w:sz w:val="26"/>
        </w:rPr>
        <w:t>Alberto (Al) Leiva</w:t>
      </w:r>
    </w:p>
    <w:p>
      <w:pPr>
        <w:jc w:val="center"/>
      </w:pPr>
      <w:r>
        <w:t>Version 1.0 - July 2026</w:t>
      </w:r>
    </w:p>
    <w:p/>
    <w:p>
      <w:r>
        <w:rPr>
          <w:b/>
        </w:rPr>
        <w:t xml:space="preserve">Human safety and fairness come first. </w:t>
      </w:r>
      <w:r>
        <w:t>This manual is for lawful, authorized, and defensive use. Vendor assessments should be fair, evidence-based, proportionate to risk, and respectful of confidentiality.</w:t>
      </w:r>
    </w:p>
    <w:p>
      <w:r>
        <w:br w:type="page"/>
      </w:r>
    </w:p>
    <w:p>
      <w:pPr>
        <w:pStyle w:val="Heading1"/>
      </w:pPr>
      <w:r>
        <w:t>1. Purpose and outcomes</w:t>
      </w:r>
    </w:p>
    <w:p>
      <w:pPr>
        <w:pStyle w:val="ListBullet"/>
      </w:pPr>
      <w:r>
        <w:t>Identify how a supplier, service provider, subcontractor, software product, cloud platform, or AI provider could affect the organization.</w:t>
      </w:r>
    </w:p>
    <w:p>
      <w:pPr>
        <w:pStyle w:val="ListBullet"/>
      </w:pPr>
      <w:r>
        <w:t>Decide whether the relationship is acceptable, requires remediation, needs stronger contract terms, or should not proceed.</w:t>
      </w:r>
    </w:p>
    <w:p>
      <w:pPr>
        <w:pStyle w:val="ListBullet"/>
      </w:pPr>
      <w:r>
        <w:t>Create a repeatable record of scope, evidence, findings, decisions, owners, and review dates.</w:t>
      </w:r>
    </w:p>
    <w:p>
      <w:pPr>
        <w:pStyle w:val="ListBullet"/>
      </w:pPr>
      <w:r>
        <w:t>Apply deeper diligence to higher-risk relationships without creating unnecessary barriers for low-risk vendors.</w:t>
      </w:r>
    </w:p>
    <w:p>
      <w:pPr>
        <w:pStyle w:val="Heading1"/>
      </w:pPr>
      <w:r>
        <w:t>2. Program governance</w:t>
      </w:r>
    </w:p>
    <w:p>
      <w:pPr>
        <w:pStyle w:val="ListBullet"/>
      </w:pPr>
      <w:r>
        <w:t>Assign executive sponsorship and clear ownership across security, privacy, legal, procurement, compliance, business, and technology teams.</w:t>
      </w:r>
    </w:p>
    <w:p>
      <w:pPr>
        <w:pStyle w:val="ListBullet"/>
      </w:pPr>
      <w:r>
        <w:t>Define an approved methodology, risk tiers, evidence requirements, escalation routes, exception authority, and review cadence.</w:t>
      </w:r>
    </w:p>
    <w:p>
      <w:pPr>
        <w:pStyle w:val="ListBullet"/>
      </w:pPr>
      <w:r>
        <w:t>Maintain independence between the business sponsor and the person approving material residual risk.</w:t>
      </w:r>
    </w:p>
    <w:p>
      <w:pPr>
        <w:pStyle w:val="ListBullet"/>
      </w:pPr>
      <w:r>
        <w:t>Measure timeliness, overdue assessments, unresolved critical findings, concentration risk, and incident performance.</w:t>
      </w:r>
    </w:p>
    <w:p>
      <w:pPr>
        <w:pStyle w:val="Heading1"/>
      </w:pPr>
      <w:r>
        <w:t>3. Build the vendor inventory</w:t>
      </w:r>
    </w:p>
    <w:p>
      <w:pPr>
        <w:pStyle w:val="ListBullet"/>
      </w:pPr>
      <w:r>
        <w:t>Record the vendor's legal name, parent company, service, business owner, contract owner, countries, data handled, integrations, subcontractors, renewal date, and termination requirements.</w:t>
      </w:r>
    </w:p>
    <w:p>
      <w:pPr>
        <w:pStyle w:val="ListBullet"/>
      </w:pPr>
      <w:r>
        <w:t>Include free software, open-source components, marketplace applications, consultants, data brokers, AI services, and shadow IT.</w:t>
      </w:r>
    </w:p>
    <w:p>
      <w:pPr>
        <w:pStyle w:val="ListBullet"/>
      </w:pPr>
      <w:r>
        <w:t>Link vendors to business services, systems, data sets, regulations, and continuity plans.</w:t>
      </w:r>
    </w:p>
    <w:p>
      <w:pPr>
        <w:pStyle w:val="ListBullet"/>
      </w:pPr>
      <w:r>
        <w:t>Mark inactive, duplicate, acquired, divested, and terminated suppliers accurately.</w:t>
      </w:r>
    </w:p>
    <w:p>
      <w:pPr>
        <w:pStyle w:val="Heading1"/>
      </w:pPr>
      <w:r>
        <w:t>4. Triage and risk tiering</w:t>
      </w:r>
    </w:p>
    <w:p>
      <w:pPr>
        <w:pStyle w:val="ListBullet"/>
      </w:pPr>
      <w:r>
        <w:t>Tier vendors before sending a long questionnaire.</w:t>
      </w:r>
    </w:p>
    <w:p>
      <w:pPr>
        <w:pStyle w:val="ListBullet"/>
      </w:pPr>
      <w:r>
        <w:t>Consider data sensitivity, privileged access, network connectivity, transaction authority, business criticality, user population, geographic exposure, AI use, subcontractors, and ease of replacement.</w:t>
      </w:r>
    </w:p>
    <w:p>
      <w:pPr>
        <w:pStyle w:val="ListBullet"/>
      </w:pPr>
      <w:r>
        <w:t>Use a simple inherent-risk score, but allow professional judgment and documented overrides.</w:t>
      </w:r>
    </w:p>
    <w:p>
      <w:pPr>
        <w:pStyle w:val="ListBullet"/>
      </w:pPr>
      <w:r>
        <w:t>Do not treat a small vendor as low risk merely because it has few employees.</w:t>
      </w:r>
    </w:p>
    <w:p>
      <w:pPr>
        <w:pStyle w:val="Heading1"/>
      </w:pPr>
      <w:r>
        <w:t>5. Scope the assessment</w:t>
      </w:r>
    </w:p>
    <w:p>
      <w:pPr>
        <w:pStyle w:val="ListBullet"/>
      </w:pPr>
      <w:r>
        <w:t>Define the exact product, service, environment, data flow, interfaces, locations, and contract under review.</w:t>
      </w:r>
    </w:p>
    <w:p>
      <w:pPr>
        <w:pStyle w:val="ListBullet"/>
      </w:pPr>
      <w:r>
        <w:t>State whether the review covers the company, one product, a hosted service, a deployment region, or a specific processing activity.</w:t>
      </w:r>
    </w:p>
    <w:p>
      <w:pPr>
        <w:pStyle w:val="ListBullet"/>
      </w:pPr>
      <w:r>
        <w:t>Identify what is excluded and why.</w:t>
      </w:r>
    </w:p>
    <w:p>
      <w:pPr>
        <w:pStyle w:val="ListBullet"/>
      </w:pPr>
      <w:r>
        <w:t>Set evidence dates and reject stale evidence when it no longer represents the service.</w:t>
      </w:r>
    </w:p>
    <w:p>
      <w:pPr>
        <w:pStyle w:val="Heading1"/>
      </w:pPr>
      <w:r>
        <w:t>6. Due diligence evidence</w:t>
      </w:r>
    </w:p>
    <w:p>
      <w:pPr>
        <w:pStyle w:val="ListBullet"/>
      </w:pPr>
      <w:r>
        <w:t>Prefer evidence over unsupported yes-or-no answers.</w:t>
      </w:r>
    </w:p>
    <w:p>
      <w:pPr>
        <w:pStyle w:val="ListBullet"/>
      </w:pPr>
      <w:r>
        <w:t>Possible evidence includes SOC reports, ISO certificates, penetration-test summaries, policies, architecture diagrams, data-flow diagrams, vulnerability reports, business continuity tests, incident-response exercises, privacy assessments, and secure-development records.</w:t>
      </w:r>
    </w:p>
    <w:p>
      <w:pPr>
        <w:pStyle w:val="ListBullet"/>
      </w:pPr>
      <w:r>
        <w:t>Verify the scope, period, issuing organization, qualifications, exceptions, management responses, and complementary customer controls.</w:t>
      </w:r>
    </w:p>
    <w:p>
      <w:pPr>
        <w:pStyle w:val="ListBullet"/>
      </w:pPr>
      <w:r>
        <w:t>Protect vendor-confidential evidence and limit internal access.</w:t>
      </w:r>
    </w:p>
    <w:p>
      <w:pPr>
        <w:pStyle w:val="Heading1"/>
      </w:pPr>
      <w:r>
        <w:t>7. Security domains to assess</w:t>
      </w:r>
    </w:p>
    <w:p>
      <w:pPr>
        <w:pStyle w:val="ListBullet"/>
      </w:pPr>
      <w:r>
        <w:t>Governance and risk management.</w:t>
      </w:r>
    </w:p>
    <w:p>
      <w:pPr>
        <w:pStyle w:val="ListBullet"/>
      </w:pPr>
      <w:r>
        <w:t>Identity, privileged access, and authentication.</w:t>
      </w:r>
    </w:p>
    <w:p>
      <w:pPr>
        <w:pStyle w:val="ListBullet"/>
      </w:pPr>
      <w:r>
        <w:t>Data protection, encryption, retention, and deletion.</w:t>
      </w:r>
    </w:p>
    <w:p>
      <w:pPr>
        <w:pStyle w:val="ListBullet"/>
      </w:pPr>
      <w:r>
        <w:t>Network and cloud security.</w:t>
      </w:r>
    </w:p>
    <w:p>
      <w:pPr>
        <w:pStyle w:val="ListBullet"/>
      </w:pPr>
      <w:r>
        <w:t>Secure development, vulnerability management, and software supply chain.</w:t>
      </w:r>
    </w:p>
    <w:p>
      <w:pPr>
        <w:pStyle w:val="ListBullet"/>
      </w:pPr>
      <w:r>
        <w:t>Logging, monitoring, detection, and incident response.</w:t>
      </w:r>
    </w:p>
    <w:p>
      <w:pPr>
        <w:pStyle w:val="ListBullet"/>
      </w:pPr>
      <w:r>
        <w:t>Business continuity, disaster recovery, and resilience.</w:t>
      </w:r>
    </w:p>
    <w:p>
      <w:pPr>
        <w:pStyle w:val="ListBullet"/>
      </w:pPr>
      <w:r>
        <w:t>Privacy, regulatory, and contractual obligations.</w:t>
      </w:r>
    </w:p>
    <w:p>
      <w:pPr>
        <w:pStyle w:val="ListBullet"/>
      </w:pPr>
      <w:r>
        <w:t>Subcontractors and fourth parties.</w:t>
      </w:r>
    </w:p>
    <w:p>
      <w:pPr>
        <w:pStyle w:val="ListBullet"/>
      </w:pPr>
      <w:r>
        <w:t>AI systems, models, agents, training data, RAG, and automated decisions when applicable.</w:t>
      </w:r>
    </w:p>
    <w:p>
      <w:pPr>
        <w:pStyle w:val="Heading1"/>
      </w:pPr>
      <w:r>
        <w:t>8. Questionnaire design</w:t>
      </w:r>
    </w:p>
    <w:p>
      <w:pPr>
        <w:pStyle w:val="ListBullet"/>
      </w:pPr>
      <w:r>
        <w:t>Ask questions that can change a decision or control requirement.</w:t>
      </w:r>
    </w:p>
    <w:p>
      <w:pPr>
        <w:pStyle w:val="ListBullet"/>
      </w:pPr>
      <w:r>
        <w:t>Use conditional questions so low-risk vendors do not receive irrelevant sections.</w:t>
      </w:r>
    </w:p>
    <w:p>
      <w:pPr>
        <w:pStyle w:val="ListBullet"/>
      </w:pPr>
      <w:r>
        <w:t>Request one clear item of evidence for each material assertion.</w:t>
      </w:r>
    </w:p>
    <w:p>
      <w:pPr>
        <w:pStyle w:val="ListBullet"/>
      </w:pPr>
      <w:r>
        <w:t>Avoid copying hundreds of controls without explaining applicability.</w:t>
      </w:r>
    </w:p>
    <w:p>
      <w:pPr>
        <w:pStyle w:val="ListBullet"/>
      </w:pPr>
      <w:r>
        <w:t>Allow the vendor to explain compensating controls and planned remediation.</w:t>
      </w:r>
    </w:p>
    <w:p>
      <w:pPr>
        <w:pStyle w:val="ListBullet"/>
      </w:pPr>
      <w:r>
        <w:t>Track question source, framework mapping, evidence, reviewer conclusion, and expiration date.</w:t>
      </w:r>
    </w:p>
    <w:p>
      <w:pPr>
        <w:pStyle w:val="Heading1"/>
      </w:pPr>
      <w:r>
        <w:t>9. Review SOC reports and certifications</w:t>
      </w:r>
    </w:p>
    <w:p>
      <w:pPr>
        <w:pStyle w:val="ListBullet"/>
      </w:pPr>
      <w:r>
        <w:t>Confirm that the report or certificate covers the service being purchased.</w:t>
      </w:r>
    </w:p>
    <w:p>
      <w:pPr>
        <w:pStyle w:val="ListBullet"/>
      </w:pPr>
      <w:r>
        <w:t>Review the audit period, opinion, scope limitations, carve-outs, exceptions, subservice organizations, and complementary user-entity controls.</w:t>
      </w:r>
    </w:p>
    <w:p>
      <w:pPr>
        <w:pStyle w:val="ListBullet"/>
      </w:pPr>
      <w:r>
        <w:t>Do not treat a clean report as proof that every risk is addressed.</w:t>
      </w:r>
    </w:p>
    <w:p>
      <w:pPr>
        <w:pStyle w:val="ListBullet"/>
      </w:pPr>
      <w:r>
        <w:t>Confirm the certificate is valid and issued by an appropriate accredited body where applicable.</w:t>
      </w:r>
    </w:p>
    <w:p>
      <w:pPr>
        <w:pStyle w:val="ListBullet"/>
      </w:pPr>
      <w:r>
        <w:t>Request bridge letters or more recent evidence when the coverage period has ended.</w:t>
      </w:r>
    </w:p>
    <w:p>
      <w:pPr>
        <w:pStyle w:val="Heading1"/>
      </w:pPr>
      <w:r>
        <w:t>10. Cloud, software, and open-source risk</w:t>
      </w:r>
    </w:p>
    <w:p>
      <w:pPr>
        <w:pStyle w:val="ListBullet"/>
      </w:pPr>
      <w:r>
        <w:t>Identify hosting model, regions, tenancy, administrative access, backup, encryption, logging, and customer security responsibilities.</w:t>
      </w:r>
    </w:p>
    <w:p>
      <w:pPr>
        <w:pStyle w:val="ListBullet"/>
      </w:pPr>
      <w:r>
        <w:t>Review software bills of materials when appropriate, dependency management, code-signing, release integrity, and vulnerability disclosure practices.</w:t>
      </w:r>
    </w:p>
    <w:p>
      <w:pPr>
        <w:pStyle w:val="ListBullet"/>
      </w:pPr>
      <w:r>
        <w:t>Assess how rapidly critical vulnerabilities are triaged and remediated.</w:t>
      </w:r>
    </w:p>
    <w:p>
      <w:pPr>
        <w:pStyle w:val="ListBullet"/>
      </w:pPr>
      <w:r>
        <w:t>Determine whether unsupported components, end-of-life products, or unmaintained libraries are present.</w:t>
      </w:r>
    </w:p>
    <w:p>
      <w:pPr>
        <w:pStyle w:val="ListBullet"/>
      </w:pPr>
      <w:r>
        <w:t>Document customer configuration duties so risk is not incorrectly assigned only to the vendor.</w:t>
      </w:r>
    </w:p>
    <w:p>
      <w:pPr>
        <w:pStyle w:val="Heading1"/>
      </w:pPr>
      <w:r>
        <w:t>11. AI-provider and AI-service risk</w:t>
      </w:r>
    </w:p>
    <w:p>
      <w:pPr>
        <w:pStyle w:val="ListBullet"/>
      </w:pPr>
      <w:r>
        <w:t>Identify models, providers, data uses, prompt retention, training use, subprocessors, geographic processing, content controls, human oversight, and incident processes.</w:t>
      </w:r>
    </w:p>
    <w:p>
      <w:pPr>
        <w:pStyle w:val="ListBullet"/>
      </w:pPr>
      <w:r>
        <w:t>Determine whether confidential or personal information may be used to improve shared models.</w:t>
      </w:r>
    </w:p>
    <w:p>
      <w:pPr>
        <w:pStyle w:val="ListBullet"/>
      </w:pPr>
      <w:r>
        <w:t>Assess prompt injection, data leakage, insecure agents, tool access, RAG authorization, model updates, and output reliability.</w:t>
      </w:r>
    </w:p>
    <w:p>
      <w:pPr>
        <w:pStyle w:val="ListBullet"/>
      </w:pPr>
      <w:r>
        <w:t>Require transparency about material model or service changes.</w:t>
      </w:r>
    </w:p>
    <w:p>
      <w:pPr>
        <w:pStyle w:val="ListBullet"/>
      </w:pPr>
      <w:r>
        <w:t>Define prohibited uses and approval requirements for high-impact decisions.</w:t>
      </w:r>
    </w:p>
    <w:p>
      <w:pPr>
        <w:pStyle w:val="Heading1"/>
      </w:pPr>
      <w:r>
        <w:t>12. Contract and procurement controls</w:t>
      </w:r>
    </w:p>
    <w:p>
      <w:pPr>
        <w:pStyle w:val="ListBullet"/>
      </w:pPr>
      <w:r>
        <w:t>Translate important risk decisions into enforceable contract language.</w:t>
      </w:r>
    </w:p>
    <w:p>
      <w:pPr>
        <w:pStyle w:val="ListBullet"/>
      </w:pPr>
      <w:r>
        <w:t>Address security requirements, privacy, confidentiality, data location, subcontractors, audit rights, incident notification, cooperation, vulnerability remediation, continuity, insurance, records, deletion, and termination assistance.</w:t>
      </w:r>
    </w:p>
    <w:p>
      <w:pPr>
        <w:pStyle w:val="ListBullet"/>
      </w:pPr>
      <w:r>
        <w:t>Define measurable service levels and remedies where appropriate.</w:t>
      </w:r>
    </w:p>
    <w:p>
      <w:pPr>
        <w:pStyle w:val="ListBullet"/>
      </w:pPr>
      <w:r>
        <w:t>Ensure contract obligations flow down to relevant subcontractors.</w:t>
      </w:r>
    </w:p>
    <w:p>
      <w:pPr>
        <w:pStyle w:val="ListBullet"/>
      </w:pPr>
      <w:r>
        <w:t>Do not rely on a questionnaire when the contract does not require the promised controls.</w:t>
      </w:r>
    </w:p>
    <w:p>
      <w:pPr>
        <w:pStyle w:val="Heading1"/>
      </w:pPr>
      <w:r>
        <w:t>13. Findings and risk ratings</w:t>
      </w:r>
    </w:p>
    <w:p>
      <w:pPr>
        <w:pStyle w:val="ListBullet"/>
      </w:pPr>
      <w:r>
        <w:t>Write findings as a condition, risk, evidence, impact, and required action.</w:t>
      </w:r>
    </w:p>
    <w:p>
      <w:pPr>
        <w:pStyle w:val="ListBullet"/>
      </w:pPr>
      <w:r>
        <w:t>Separate inherent risk, control effectiveness, residual risk, and business acceptance.</w:t>
      </w:r>
    </w:p>
    <w:p>
      <w:pPr>
        <w:pStyle w:val="ListBullet"/>
      </w:pPr>
      <w:r>
        <w:t>Use severity criteria consistently, but consider exploitability, data sensitivity, business impact, legal duties, and concentration.</w:t>
      </w:r>
    </w:p>
    <w:p>
      <w:pPr>
        <w:pStyle w:val="ListBullet"/>
      </w:pPr>
      <w:r>
        <w:t>Do not inflate every gap to high risk.</w:t>
      </w:r>
    </w:p>
    <w:p>
      <w:pPr>
        <w:pStyle w:val="ListBullet"/>
      </w:pPr>
      <w:r>
        <w:t>Record uncertainty when evidence is incomplete.</w:t>
      </w:r>
    </w:p>
    <w:p>
      <w:pPr>
        <w:pStyle w:val="Heading1"/>
      </w:pPr>
      <w:r>
        <w:t>14. Remediation and exceptions</w:t>
      </w:r>
    </w:p>
    <w:p>
      <w:pPr>
        <w:pStyle w:val="ListBullet"/>
      </w:pPr>
      <w:r>
        <w:t>Assign an owner, action, target date, evidence requirement, and review date.</w:t>
      </w:r>
    </w:p>
    <w:p>
      <w:pPr>
        <w:pStyle w:val="ListBullet"/>
      </w:pPr>
      <w:r>
        <w:t>Use interim safeguards when permanent remediation will take time.</w:t>
      </w:r>
    </w:p>
    <w:p>
      <w:pPr>
        <w:pStyle w:val="ListBullet"/>
      </w:pPr>
      <w:r>
        <w:t>Escalate overdue high-risk actions.</w:t>
      </w:r>
    </w:p>
    <w:p>
      <w:pPr>
        <w:pStyle w:val="ListBullet"/>
      </w:pPr>
      <w:r>
        <w:t>Require formal acceptance for material residual risk.</w:t>
      </w:r>
    </w:p>
    <w:p>
      <w:pPr>
        <w:pStyle w:val="ListBullet"/>
      </w:pPr>
      <w:r>
        <w:t>Set expiration dates for exceptions and reassess before renewal.</w:t>
      </w:r>
    </w:p>
    <w:p>
      <w:pPr>
        <w:pStyle w:val="ListBullet"/>
      </w:pPr>
      <w:r>
        <w:t>Close findings only after reviewing evidence.</w:t>
      </w:r>
    </w:p>
    <w:p>
      <w:pPr>
        <w:pStyle w:val="Heading1"/>
      </w:pPr>
      <w:r>
        <w:t>15. Continuous monitoring</w:t>
      </w:r>
    </w:p>
    <w:p>
      <w:pPr>
        <w:pStyle w:val="ListBullet"/>
      </w:pPr>
      <w:r>
        <w:t>Monitor security ratings cautiously; use them as signals rather than final conclusions.</w:t>
      </w:r>
    </w:p>
    <w:p>
      <w:pPr>
        <w:pStyle w:val="ListBullet"/>
      </w:pPr>
      <w:r>
        <w:t>Track breaches, ownership changes, acquisitions, legal actions, certificate status, vulnerabilities, service outages, geographic changes, subcontractors, and material product changes.</w:t>
      </w:r>
    </w:p>
    <w:p>
      <w:pPr>
        <w:pStyle w:val="ListBullet"/>
      </w:pPr>
      <w:r>
        <w:t>Reassess after incidents, major architectural changes, expanded data use, new integrations, or contract renewal.</w:t>
      </w:r>
    </w:p>
    <w:p>
      <w:pPr>
        <w:pStyle w:val="ListBullet"/>
      </w:pPr>
      <w:r>
        <w:t>Keep review frequency proportional to risk.</w:t>
      </w:r>
    </w:p>
    <w:p>
      <w:pPr>
        <w:pStyle w:val="Heading1"/>
      </w:pPr>
      <w:r>
        <w:t>16. Vendor incident response</w:t>
      </w:r>
    </w:p>
    <w:p>
      <w:pPr>
        <w:pStyle w:val="ListBullet"/>
      </w:pPr>
      <w:r>
        <w:t>Maintain current contacts and escalation paths.</w:t>
      </w:r>
    </w:p>
    <w:p>
      <w:pPr>
        <w:pStyle w:val="ListBullet"/>
      </w:pPr>
      <w:r>
        <w:t>Define notification timelines and required incident information in contracts.</w:t>
      </w:r>
    </w:p>
    <w:p>
      <w:pPr>
        <w:pStyle w:val="ListBullet"/>
      </w:pPr>
      <w:r>
        <w:t>Coordinate containment, evidence preservation, regulatory analysis, customer communication, recovery, and lessons learned.</w:t>
      </w:r>
    </w:p>
    <w:p>
      <w:pPr>
        <w:pStyle w:val="ListBullet"/>
      </w:pPr>
      <w:r>
        <w:t>Determine whether access, tokens, integrations, or data transfers should be suspended.</w:t>
      </w:r>
    </w:p>
    <w:p>
      <w:pPr>
        <w:pStyle w:val="ListBullet"/>
      </w:pPr>
      <w:r>
        <w:t>Track the vendor's corrective actions and validate closure.</w:t>
      </w:r>
    </w:p>
    <w:p>
      <w:pPr>
        <w:pStyle w:val="Heading1"/>
      </w:pPr>
      <w:r>
        <w:t>17. Offboarding and termination</w:t>
      </w:r>
    </w:p>
    <w:p>
      <w:pPr>
        <w:pStyle w:val="ListBullet"/>
      </w:pPr>
      <w:r>
        <w:t>Disable accounts, tokens, integrations, VPN access, API keys, certificates, and administrative access.</w:t>
      </w:r>
    </w:p>
    <w:p>
      <w:pPr>
        <w:pStyle w:val="ListBullet"/>
      </w:pPr>
      <w:r>
        <w:t>Recover organizational assets and confirm data return or secure deletion.</w:t>
      </w:r>
    </w:p>
    <w:p>
      <w:pPr>
        <w:pStyle w:val="ListBullet"/>
      </w:pPr>
      <w:r>
        <w:t>Preserve records required for legal, regulatory, or audit purposes.</w:t>
      </w:r>
    </w:p>
    <w:p>
      <w:pPr>
        <w:pStyle w:val="ListBullet"/>
      </w:pPr>
      <w:r>
        <w:t>Transfer knowledge, configurations, and operational dependencies.</w:t>
      </w:r>
    </w:p>
    <w:p>
      <w:pPr>
        <w:pStyle w:val="ListBullet"/>
      </w:pPr>
      <w:r>
        <w:t>Remove the vendor from inventories and monitoring tools only after closure is verified.</w:t>
      </w:r>
    </w:p>
    <w:p>
      <w:pPr>
        <w:pStyle w:val="Heading1"/>
      </w:pPr>
      <w:r>
        <w:t>18. Reporting and metrics</w:t>
      </w:r>
    </w:p>
    <w:p>
      <w:pPr>
        <w:pStyle w:val="ListBullet"/>
      </w:pPr>
      <w:r>
        <w:t>Report vendor population by risk tier, assessment status, overdue reviews, open findings, accepted risks, incidents, concentration, and critical dependencies.</w:t>
      </w:r>
    </w:p>
    <w:p>
      <w:pPr>
        <w:pStyle w:val="ListBullet"/>
      </w:pPr>
      <w:r>
        <w:t>Show trends rather than isolated counts.</w:t>
      </w:r>
    </w:p>
    <w:p>
      <w:pPr>
        <w:pStyle w:val="ListBullet"/>
      </w:pPr>
      <w:r>
        <w:t>Distinguish risk owned by the vendor from customer responsibilities.</w:t>
      </w:r>
    </w:p>
    <w:p>
      <w:pPr>
        <w:pStyle w:val="ListBullet"/>
      </w:pPr>
      <w:r>
        <w:t>Provide executives with decisions and exposure, not only questionnaire completion rates.</w:t>
      </w:r>
    </w:p>
    <w:p>
      <w:pPr>
        <w:pStyle w:val="Heading1"/>
      </w:pPr>
      <w:r>
        <w:t>19. 30/60/90-day implementation plan</w:t>
      </w:r>
    </w:p>
    <w:p>
      <w:pPr>
        <w:pStyle w:val="ListBullet"/>
      </w:pPr>
      <w:r>
        <w:t>Days 1-30: define governance, inventory critical vendors, create tiering criteria, identify overdue high-risk relationships, and establish minimum contract clauses.</w:t>
      </w:r>
    </w:p>
    <w:p>
      <w:pPr>
        <w:pStyle w:val="ListBullet"/>
      </w:pPr>
      <w:r>
        <w:t>Days 31-60: launch risk-based assessments, centralize evidence, create finding and exception workflows, and identify concentration and fourth-party risks.</w:t>
      </w:r>
    </w:p>
    <w:p>
      <w:pPr>
        <w:pStyle w:val="ListBullet"/>
      </w:pPr>
      <w:r>
        <w:t>Days 61-90: implement continuous monitoring, incident exercises, renewal gates, metrics, and periodic quality reviews.</w:t>
      </w:r>
    </w:p>
    <w:p>
      <w:pPr>
        <w:pStyle w:val="Heading1"/>
      </w:pPr>
      <w:r>
        <w:t>20. Practical assessment workflow</w:t>
      </w:r>
    </w:p>
    <w:p>
      <w:pPr>
        <w:pStyle w:val="ListNumber"/>
      </w:pPr>
      <w:r>
        <w:t>Receive the request and identify the business owner.</w:t>
      </w:r>
    </w:p>
    <w:p>
      <w:pPr>
        <w:pStyle w:val="ListNumber"/>
      </w:pPr>
      <w:r>
        <w:t>Complete inherent-risk triage.</w:t>
      </w:r>
    </w:p>
    <w:p>
      <w:pPr>
        <w:pStyle w:val="ListNumber"/>
      </w:pPr>
      <w:r>
        <w:t>Define scope and evidence requirements.</w:t>
      </w:r>
    </w:p>
    <w:p>
      <w:pPr>
        <w:pStyle w:val="ListNumber"/>
      </w:pPr>
      <w:r>
        <w:t>Collect and review evidence.</w:t>
      </w:r>
    </w:p>
    <w:p>
      <w:pPr>
        <w:pStyle w:val="ListNumber"/>
      </w:pPr>
      <w:r>
        <w:t>Interview the vendor when material questions remain.</w:t>
      </w:r>
    </w:p>
    <w:p>
      <w:pPr>
        <w:pStyle w:val="ListNumber"/>
      </w:pPr>
      <w:r>
        <w:t>Document findings and residual risk.</w:t>
      </w:r>
    </w:p>
    <w:p>
      <w:pPr>
        <w:pStyle w:val="ListNumber"/>
      </w:pPr>
      <w:r>
        <w:t>Agree remediation and contract controls.</w:t>
      </w:r>
    </w:p>
    <w:p>
      <w:pPr>
        <w:pStyle w:val="ListNumber"/>
      </w:pPr>
      <w:r>
        <w:t>Obtain approval or risk acceptance.</w:t>
      </w:r>
    </w:p>
    <w:p>
      <w:pPr>
        <w:pStyle w:val="ListNumber"/>
      </w:pPr>
      <w:r>
        <w:t>Record monitoring and reassessment dates.</w:t>
      </w:r>
    </w:p>
    <w:p>
      <w:pPr>
        <w:pStyle w:val="ListNumber"/>
      </w:pPr>
      <w:r>
        <w:t>Reassess at renewal or after material change.</w:t>
      </w:r>
    </w:p>
    <w:p>
      <w:pPr>
        <w:pStyle w:val="Heading1"/>
      </w:pPr>
      <w:r>
        <w:t>21. Sample risk-tier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D9EAF7"/>
            <w:vAlign w:val="center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b/>
              </w:rPr>
              <w:t>Typical characteristics</w:t>
            </w:r>
          </w:p>
        </w:tc>
        <w:tc>
          <w:tcPr>
            <w:tcW w:type="dxa" w:w="3331"/>
            <w:shd w:fill="D9EAF7"/>
            <w:vAlign w:val="center"/>
          </w:tcPr>
          <w:p>
            <w:r>
              <w:rPr>
                <w:b/>
              </w:rPr>
              <w:t>Review</w:t>
            </w:r>
          </w:p>
        </w:tc>
      </w:tr>
      <w:tr>
        <w:tc>
          <w:tcPr>
            <w:tcW w:type="dxa" w:w="3331"/>
            <w:vAlign w:val="top"/>
          </w:tcPr>
          <w:p>
            <w:r>
              <w:t>Critical</w:t>
            </w:r>
          </w:p>
        </w:tc>
        <w:tc>
          <w:tcPr>
            <w:tcW w:type="dxa" w:w="3331"/>
            <w:vAlign w:val="top"/>
          </w:tcPr>
          <w:p>
            <w:r>
              <w:t>Privileged access, highly sensitive data, essential operations, transaction authority, major concentration</w:t>
            </w:r>
          </w:p>
        </w:tc>
        <w:tc>
          <w:tcPr>
            <w:tcW w:type="dxa" w:w="3331"/>
            <w:vAlign w:val="top"/>
          </w:tcPr>
          <w:p>
            <w:r>
              <w:t>Full assessment, contract review, executive approval, annual or event-driven reassessment</w:t>
            </w:r>
          </w:p>
        </w:tc>
      </w:tr>
      <w:tr>
        <w:tc>
          <w:tcPr>
            <w:tcW w:type="dxa" w:w="3331"/>
            <w:vAlign w:val="top"/>
          </w:tcPr>
          <w:p>
            <w:r>
              <w:t>High</w:t>
            </w:r>
          </w:p>
        </w:tc>
        <w:tc>
          <w:tcPr>
            <w:tcW w:type="dxa" w:w="3331"/>
            <w:vAlign w:val="top"/>
          </w:tcPr>
          <w:p>
            <w:r>
              <w:t>Sensitive data, production integration, important service, significant subcontractors</w:t>
            </w:r>
          </w:p>
        </w:tc>
        <w:tc>
          <w:tcPr>
            <w:tcW w:type="dxa" w:w="3331"/>
            <w:vAlign w:val="top"/>
          </w:tcPr>
          <w:p>
            <w:r>
              <w:t>Detailed evidence review and annual reassessment</w:t>
            </w:r>
          </w:p>
        </w:tc>
      </w:tr>
      <w:tr>
        <w:tc>
          <w:tcPr>
            <w:tcW w:type="dxa" w:w="3331"/>
            <w:vAlign w:val="top"/>
          </w:tcPr>
          <w:p>
            <w:r>
              <w:t>Moderate</w:t>
            </w:r>
          </w:p>
        </w:tc>
        <w:tc>
          <w:tcPr>
            <w:tcW w:type="dxa" w:w="3331"/>
            <w:vAlign w:val="top"/>
          </w:tcPr>
          <w:p>
            <w:r>
              <w:t>Limited confidential data or business dependency</w:t>
            </w:r>
          </w:p>
        </w:tc>
        <w:tc>
          <w:tcPr>
            <w:tcW w:type="dxa" w:w="3331"/>
            <w:vAlign w:val="top"/>
          </w:tcPr>
          <w:p>
            <w:r>
              <w:t>Focused questionnaire and periodic reassessment</w:t>
            </w:r>
          </w:p>
        </w:tc>
      </w:tr>
      <w:tr>
        <w:tc>
          <w:tcPr>
            <w:tcW w:type="dxa" w:w="3331"/>
            <w:vAlign w:val="top"/>
          </w:tcPr>
          <w:p>
            <w:r>
              <w:t>Low</w:t>
            </w:r>
          </w:p>
        </w:tc>
        <w:tc>
          <w:tcPr>
            <w:tcW w:type="dxa" w:w="3331"/>
            <w:vAlign w:val="top"/>
          </w:tcPr>
          <w:p>
            <w:r>
              <w:t>No sensitive data, no connectivity, easily replaceable</w:t>
            </w:r>
          </w:p>
        </w:tc>
        <w:tc>
          <w:tcPr>
            <w:tcW w:type="dxa" w:w="3331"/>
            <w:vAlign w:val="top"/>
          </w:tcPr>
          <w:p>
            <w:r>
              <w:t>Basic verification and lightweight review</w:t>
            </w:r>
          </w:p>
        </w:tc>
      </w:tr>
    </w:tbl>
    <w:p/>
    <w:p>
      <w:pPr>
        <w:pStyle w:val="Heading1"/>
      </w:pPr>
      <w:r>
        <w:t>22. Sample finding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9EAF7"/>
            <w:vAlign w:val="cente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997"/>
            <w:shd w:fill="D9EAF7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97"/>
            <w:vAlign w:val="top"/>
          </w:tcPr>
          <w:p>
            <w:r>
              <w:t>Condition</w:t>
            </w:r>
          </w:p>
        </w:tc>
        <w:tc>
          <w:tcPr>
            <w:tcW w:type="dxa" w:w="4997"/>
            <w:vAlign w:val="top"/>
          </w:tcPr>
          <w:p>
            <w:r>
              <w:t>The vendor does not require MFA for privileged production administration.</w:t>
            </w:r>
          </w:p>
        </w:tc>
      </w:tr>
      <w:tr>
        <w:tc>
          <w:tcPr>
            <w:tcW w:type="dxa" w:w="4997"/>
            <w:vAlign w:val="top"/>
          </w:tcPr>
          <w:p>
            <w:r>
              <w:t>Evidence</w:t>
            </w:r>
          </w:p>
        </w:tc>
        <w:tc>
          <w:tcPr>
            <w:tcW w:type="dxa" w:w="4997"/>
            <w:vAlign w:val="top"/>
          </w:tcPr>
          <w:p>
            <w:r>
              <w:t>Administrative access policy and vendor interview dated July 2026.</w:t>
            </w:r>
          </w:p>
        </w:tc>
      </w:tr>
      <w:tr>
        <w:tc>
          <w:tcPr>
            <w:tcW w:type="dxa" w:w="4997"/>
            <w:vAlign w:val="top"/>
          </w:tcPr>
          <w:p>
            <w:r>
              <w:t>Risk</w:t>
            </w:r>
          </w:p>
        </w:tc>
        <w:tc>
          <w:tcPr>
            <w:tcW w:type="dxa" w:w="4997"/>
            <w:vAlign w:val="top"/>
          </w:tcPr>
          <w:p>
            <w:r>
              <w:t>A stolen password could permit unauthorized production access and data exposure.</w:t>
            </w:r>
          </w:p>
        </w:tc>
      </w:tr>
      <w:tr>
        <w:tc>
          <w:tcPr>
            <w:tcW w:type="dxa" w:w="4997"/>
            <w:vAlign w:val="top"/>
          </w:tcPr>
          <w:p>
            <w:r>
              <w:t>Required action</w:t>
            </w:r>
          </w:p>
        </w:tc>
        <w:tc>
          <w:tcPr>
            <w:tcW w:type="dxa" w:w="4997"/>
            <w:vAlign w:val="top"/>
          </w:tcPr>
          <w:p>
            <w:r>
              <w:t>Implement phishing-resistant MFA for privileged accounts and provide evidence.</w:t>
            </w:r>
          </w:p>
        </w:tc>
      </w:tr>
      <w:tr>
        <w:tc>
          <w:tcPr>
            <w:tcW w:type="dxa" w:w="4997"/>
            <w:vAlign w:val="top"/>
          </w:tcPr>
          <w:p>
            <w:r>
              <w:t>Interim control</w:t>
            </w:r>
          </w:p>
        </w:tc>
        <w:tc>
          <w:tcPr>
            <w:tcW w:type="dxa" w:w="4997"/>
            <w:vAlign w:val="top"/>
          </w:tcPr>
          <w:p>
            <w:r>
              <w:t>Restrict access by network, monitor logins, and rotate credentials.</w:t>
            </w:r>
          </w:p>
        </w:tc>
      </w:tr>
      <w:tr>
        <w:tc>
          <w:tcPr>
            <w:tcW w:type="dxa" w:w="4997"/>
            <w:vAlign w:val="top"/>
          </w:tcPr>
          <w:p>
            <w:r>
              <w:t>Owner / due date</w:t>
            </w:r>
          </w:p>
        </w:tc>
        <w:tc>
          <w:tcPr>
            <w:tcW w:type="dxa" w:w="4997"/>
            <w:vAlign w:val="top"/>
          </w:tcPr>
          <w:p>
            <w:r>
              <w:t>Vendor Security Lead / 60 days</w:t>
            </w:r>
          </w:p>
        </w:tc>
      </w:tr>
    </w:tbl>
    <w:p/>
    <w:p>
      <w:pPr>
        <w:pStyle w:val="Heading1"/>
      </w:pPr>
      <w:r>
        <w:t>23. Production checklist</w:t>
      </w:r>
    </w:p>
    <w:p>
      <w:r>
        <w:rPr>
          <w:b/>
        </w:rPr>
        <w:t xml:space="preserve">☐ </w:t>
      </w:r>
      <w:r>
        <w:t>Vendor inventory entry completed</w:t>
      </w:r>
    </w:p>
    <w:p>
      <w:r>
        <w:rPr>
          <w:b/>
        </w:rPr>
        <w:t xml:space="preserve">☐ </w:t>
      </w:r>
      <w:r>
        <w:t>Business owner and contract owner identified</w:t>
      </w:r>
    </w:p>
    <w:p>
      <w:r>
        <w:rPr>
          <w:b/>
        </w:rPr>
        <w:t xml:space="preserve">☐ </w:t>
      </w:r>
      <w:r>
        <w:t>Inherent-risk tier approved</w:t>
      </w:r>
    </w:p>
    <w:p>
      <w:r>
        <w:rPr>
          <w:b/>
        </w:rPr>
        <w:t xml:space="preserve">☐ </w:t>
      </w:r>
      <w:r>
        <w:t>Scope and data flow documented</w:t>
      </w:r>
    </w:p>
    <w:p>
      <w:r>
        <w:rPr>
          <w:b/>
        </w:rPr>
        <w:t xml:space="preserve">☐ </w:t>
      </w:r>
      <w:r>
        <w:t>Evidence current and applicable</w:t>
      </w:r>
    </w:p>
    <w:p>
      <w:r>
        <w:rPr>
          <w:b/>
        </w:rPr>
        <w:t xml:space="preserve">☐ </w:t>
      </w:r>
      <w:r>
        <w:t>SOC/ISO scope and exceptions reviewed</w:t>
      </w:r>
    </w:p>
    <w:p>
      <w:r>
        <w:rPr>
          <w:b/>
        </w:rPr>
        <w:t xml:space="preserve">☐ </w:t>
      </w:r>
      <w:r>
        <w:t>Security, privacy, continuity, and incident risks assessed</w:t>
      </w:r>
    </w:p>
    <w:p>
      <w:r>
        <w:rPr>
          <w:b/>
        </w:rPr>
        <w:t xml:space="preserve">☐ </w:t>
      </w:r>
      <w:r>
        <w:t>Subcontractors and concentration reviewed</w:t>
      </w:r>
    </w:p>
    <w:p>
      <w:r>
        <w:rPr>
          <w:b/>
        </w:rPr>
        <w:t xml:space="preserve">☐ </w:t>
      </w:r>
      <w:r>
        <w:t>AI risk reviewed where applicable</w:t>
      </w:r>
    </w:p>
    <w:p>
      <w:r>
        <w:rPr>
          <w:b/>
        </w:rPr>
        <w:t xml:space="preserve">☐ </w:t>
      </w:r>
      <w:r>
        <w:t>Contract clauses approved</w:t>
      </w:r>
    </w:p>
    <w:p>
      <w:r>
        <w:rPr>
          <w:b/>
        </w:rPr>
        <w:t xml:space="preserve">☐ </w:t>
      </w:r>
      <w:r>
        <w:t>Findings assigned and tracked</w:t>
      </w:r>
    </w:p>
    <w:p>
      <w:r>
        <w:rPr>
          <w:b/>
        </w:rPr>
        <w:t xml:space="preserve">☐ </w:t>
      </w:r>
      <w:r>
        <w:t>Residual risk accepted by authorized owner</w:t>
      </w:r>
    </w:p>
    <w:p>
      <w:r>
        <w:rPr>
          <w:b/>
        </w:rPr>
        <w:t xml:space="preserve">☐ </w:t>
      </w:r>
      <w:r>
        <w:t>Monitoring and reassessment scheduled</w:t>
      </w:r>
    </w:p>
    <w:p>
      <w:r>
        <w:rPr>
          <w:b/>
        </w:rPr>
        <w:t xml:space="preserve">☐ </w:t>
      </w:r>
      <w:r>
        <w:t>Offboarding requirements documented</w:t>
      </w:r>
    </w:p>
    <w:p>
      <w:pPr>
        <w:pStyle w:val="Heading1"/>
      </w:pPr>
      <w:r>
        <w:t>24. Official references</w:t>
      </w:r>
    </w:p>
    <w:p>
      <w:pPr>
        <w:pStyle w:val="ListBullet"/>
      </w:pPr>
      <w:r>
        <w:t>NIST SP 800-161 Rev. 1, Cybersecurity Supply Chain Risk Management Practices: https://csrc.nist.gov/pubs/sp/800/161/r1/upd1/final</w:t>
      </w:r>
    </w:p>
    <w:p>
      <w:pPr>
        <w:pStyle w:val="ListBullet"/>
      </w:pPr>
      <w:r>
        <w:t>NIST SP 1326, C-SCRM Due Diligence Assessment Quick-Start Guide: https://csrc.nist.gov/pubs/sp/1326/final</w:t>
      </w:r>
    </w:p>
    <w:p>
      <w:pPr>
        <w:pStyle w:val="ListBullet"/>
      </w:pPr>
      <w:r>
        <w:t>NIST Cybersecurity Framework 2.0: https://www.nist.gov/cyberframework</w:t>
      </w:r>
    </w:p>
    <w:p>
      <w:pPr>
        <w:pStyle w:val="ListBullet"/>
      </w:pPr>
      <w:r>
        <w:t>CISA Supply Chain Resources: https://www.cisa.gov/topics/cyber-threats-and-advisories/information-and-communications-technology-supply-chain-security</w:t>
      </w:r>
    </w:p>
    <w:p>
      <w:pPr>
        <w:pStyle w:val="ListBullet"/>
      </w:pPr>
      <w:r>
        <w:t>ISO/IEC 27036-1:2021 Supplier Relationships: https://www.iso.org/standard/82905.html</w:t>
      </w:r>
    </w:p>
    <w:p>
      <w:pPr>
        <w:pStyle w:val="ListBullet"/>
      </w:pPr>
      <w:r>
        <w:t>ISO/IEC 27036-2:2022 Supplier Relationship Requirements: https://www.iso.org/standard/82060.html</w:t>
      </w:r>
    </w:p>
    <w:p>
      <w:pPr>
        <w:pStyle w:val="ListBullet"/>
      </w:pPr>
      <w:r>
        <w:t>ISO/IEC 27036-3:2023 Hardware, Software, and Services Supply Chain Security: https://www.iso.org/standard/82890.html</w:t>
      </w:r>
    </w:p>
    <w:p>
      <w:pPr>
        <w:pStyle w:val="Heading1"/>
      </w:pPr>
      <w:r>
        <w:t>License</w:t>
      </w:r>
    </w:p>
    <w:p>
      <w:r>
        <w:t>Copyright © 2026 Alberto (Al) Leiva. Licensed under CC BY-NC-SA 4.0.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Third-Party Vendor Risk Assessments • Alberto (Al) Leiva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