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CÓMO CREAR MÉTRICAS DE CIBERSEGURIDAD E INFORMES EJECUTIVOS</w:t>
      </w:r>
    </w:p>
    <w:p>
      <w:pPr>
        <w:jc w:val="center"/>
      </w:pPr>
      <w:r>
        <w:rPr>
          <w:i/>
        </w:rPr>
        <w:t>Manual práctico y conciso de implementación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Versión 1.0 - Julio de 2026</w:t>
      </w:r>
    </w:p>
    <w:p>
      <w:r>
        <w:br w:type="page"/>
      </w:r>
    </w:p>
    <w:p>
      <w:pPr>
        <w:pStyle w:val="Heading1"/>
      </w:pPr>
      <w:r>
        <w:t>Propósito</w:t>
      </w:r>
    </w:p>
    <w:p>
      <w:r>
        <w:t>Use este manual para trabajo legal, autorizado y defensivo. Adapte los controles al riesgo, las obligaciones legales, la accesibilidad y los recursos disponibles.</w:t>
      </w:r>
    </w:p>
    <w:p>
      <w:pPr>
        <w:pStyle w:val="Heading1"/>
      </w:pPr>
      <w:r>
        <w:t>Estrategia de medición</w:t>
      </w:r>
    </w:p>
    <w:p>
      <w:pPr>
        <w:pStyle w:val="ListBullet"/>
      </w:pPr>
      <w:r>
        <w:t>Comience con decisiones empresariales, preguntas de riesgo y resultados.</w:t>
      </w:r>
    </w:p>
    <w:p>
      <w:pPr>
        <w:pStyle w:val="ListBullet"/>
      </w:pPr>
      <w:r>
        <w:t>Defina audiencia, propósito, propietario, fórmula, fuente, frecuencia, meta, umbral y limitaciones.</w:t>
      </w:r>
    </w:p>
    <w:p>
      <w:pPr>
        <w:pStyle w:val="ListBullet"/>
      </w:pPr>
      <w:r>
        <w:t>Use medidas adelantadas, históricas, cobertura, calidad, riesgo y resiliencia.</w:t>
      </w:r>
    </w:p>
    <w:p>
      <w:pPr>
        <w:pStyle w:val="Heading1"/>
      </w:pPr>
      <w:r>
        <w:t>Calidad y gobierno de datos</w:t>
      </w:r>
    </w:p>
    <w:p>
      <w:pPr>
        <w:pStyle w:val="ListBullet"/>
      </w:pPr>
      <w:r>
        <w:t>Asigne propietarios y valide integridad, consistencia, oportunidad y linaje.</w:t>
      </w:r>
    </w:p>
    <w:p>
      <w:pPr>
        <w:pStyle w:val="ListBullet"/>
      </w:pPr>
      <w:r>
        <w:t>Automatice cuando sea práctico con revisión humana.</w:t>
      </w:r>
    </w:p>
    <w:p>
      <w:pPr>
        <w:pStyle w:val="ListBullet"/>
      </w:pPr>
      <w:r>
        <w:t>No compare cuando cambien definiciones sin explicarlo.</w:t>
      </w:r>
    </w:p>
    <w:p>
      <w:pPr>
        <w:pStyle w:val="Heading1"/>
      </w:pPr>
      <w:r>
        <w:t>Métricas operativas</w:t>
      </w:r>
    </w:p>
    <w:p>
      <w:pPr>
        <w:pStyle w:val="ListBullet"/>
      </w:pPr>
      <w:r>
        <w:t>Mida cobertura de controles, vulnerabilidades, identidad, detecciones, incidentes, recuperación, proveedores, nube, capacitación y excepciones.</w:t>
      </w:r>
    </w:p>
    <w:p>
      <w:pPr>
        <w:pStyle w:val="ListBullet"/>
      </w:pPr>
      <w:r>
        <w:t>Use tasas y denominadores, no solo conteos.</w:t>
      </w:r>
    </w:p>
    <w:p>
      <w:pPr>
        <w:pStyle w:val="ListBullet"/>
      </w:pPr>
      <w:r>
        <w:t>Segmente por criticidad, exposición, servicio y tendencia.</w:t>
      </w:r>
    </w:p>
    <w:p>
      <w:pPr>
        <w:pStyle w:val="Heading1"/>
      </w:pPr>
      <w:r>
        <w:t>Métricas de riesgo y resultados</w:t>
      </w:r>
    </w:p>
    <w:p>
      <w:pPr>
        <w:pStyle w:val="ListBullet"/>
      </w:pPr>
      <w:r>
        <w:t>Relacione condiciones técnicas con impacto empresarial probable.</w:t>
      </w:r>
    </w:p>
    <w:p>
      <w:pPr>
        <w:pStyle w:val="ListBullet"/>
      </w:pPr>
      <w:r>
        <w:t>Muestre riesgo residual, concentración, eficacia y recuperación demostrada.</w:t>
      </w:r>
    </w:p>
    <w:p>
      <w:pPr>
        <w:pStyle w:val="ListBullet"/>
      </w:pPr>
      <w:r>
        <w:t>Evite precisión falsa.</w:t>
      </w:r>
    </w:p>
    <w:p>
      <w:pPr>
        <w:pStyle w:val="Heading1"/>
      </w:pPr>
      <w:r>
        <w:t>Informes ejecutivos</w:t>
      </w:r>
    </w:p>
    <w:p>
      <w:pPr>
        <w:pStyle w:val="ListBullet"/>
      </w:pPr>
      <w:r>
        <w:t>Comience con decisiones necesarias, cambios de exposición, excepciones y recursos.</w:t>
      </w:r>
    </w:p>
    <w:p>
      <w:pPr>
        <w:pStyle w:val="ListBullet"/>
      </w:pPr>
      <w:r>
        <w:t>Use tendencias, umbrales y lenguaje claro.</w:t>
      </w:r>
    </w:p>
    <w:p>
      <w:pPr>
        <w:pStyle w:val="ListBullet"/>
      </w:pPr>
      <w:r>
        <w:t>Separe hechos, estimaciones, supuestos y aceptación.</w:t>
      </w:r>
    </w:p>
    <w:p>
      <w:pPr>
        <w:pStyle w:val="Heading1"/>
      </w:pPr>
      <w:r>
        <w:t>Metas e incentivos</w:t>
      </w:r>
    </w:p>
    <w:p>
      <w:pPr>
        <w:pStyle w:val="ListBullet"/>
      </w:pPr>
      <w:r>
        <w:t>Defina metas según apetito de riesgo y capacidad.</w:t>
      </w:r>
    </w:p>
    <w:p>
      <w:pPr>
        <w:pStyle w:val="ListBullet"/>
      </w:pPr>
      <w:r>
        <w:t>Evite metas que incentiven ocultar incidentes o cerrar hallazgos antes de tiempo.</w:t>
      </w:r>
    </w:p>
    <w:p>
      <w:pPr>
        <w:pStyle w:val="ListBullet"/>
      </w:pPr>
      <w:r>
        <w:t>Revise el comportamiento que produce cada métrica.</w:t>
      </w:r>
    </w:p>
    <w:p>
      <w:pPr>
        <w:pStyle w:val="Heading1"/>
      </w:pPr>
      <w:r>
        <w:t>Hoja de ruta y tablero</w:t>
      </w:r>
    </w:p>
    <w:p>
      <w:pPr>
        <w:pStyle w:val="ListBullet"/>
      </w:pPr>
      <w:r>
        <w:t>Días 1-30: audiencias, preguntas, propietarios y diez medidas. Días 31-60: fuentes, umbrales e informes. Días 61-90: automatización, revisión y retiro de métricas sin valor.</w:t>
      </w:r>
    </w:p>
    <w:p>
      <w:pPr>
        <w:pStyle w:val="ListBullet"/>
      </w:pPr>
      <w:r>
        <w:t>Tablero recomendado: riesgos principales, tendencia, cobertura crítica, incidentes, acciones vencidas, pruebas de recuperación, concentración de proveedores y decisiones.</w:t>
      </w:r>
    </w:p>
    <w:p>
      <w:pPr>
        <w:pStyle w:val="Heading1"/>
      </w:pPr>
      <w:r>
        <w:t>Lista de implementación</w:t>
      </w:r>
    </w:p>
    <w:p>
      <w:r>
        <w:rPr>
          <w:b/>
        </w:rPr>
        <w:t xml:space="preserve">☐ </w:t>
      </w:r>
      <w:r>
        <w:t>Responsable asignado</w:t>
      </w:r>
    </w:p>
    <w:p>
      <w:r>
        <w:rPr>
          <w:b/>
        </w:rPr>
        <w:t xml:space="preserve">☐ </w:t>
      </w:r>
      <w:r>
        <w:t>Alcance aprobado</w:t>
      </w:r>
    </w:p>
    <w:p>
      <w:r>
        <w:rPr>
          <w:b/>
        </w:rPr>
        <w:t xml:space="preserve">☐ </w:t>
      </w:r>
      <w:r>
        <w:t>Inventario completo</w:t>
      </w:r>
    </w:p>
    <w:p>
      <w:r>
        <w:rPr>
          <w:b/>
        </w:rPr>
        <w:t xml:space="preserve">☐ </w:t>
      </w:r>
      <w:r>
        <w:t>Riesgos priorizados</w:t>
      </w:r>
    </w:p>
    <w:p>
      <w:r>
        <w:rPr>
          <w:b/>
        </w:rPr>
        <w:t xml:space="preserve">☐ </w:t>
      </w:r>
      <w:r>
        <w:t>Políticas documentadas</w:t>
      </w:r>
    </w:p>
    <w:p>
      <w:r>
        <w:rPr>
          <w:b/>
        </w:rPr>
        <w:t xml:space="preserve">☐ </w:t>
      </w:r>
      <w:r>
        <w:t>Controles implementados</w:t>
      </w:r>
    </w:p>
    <w:p>
      <w:r>
        <w:rPr>
          <w:b/>
        </w:rPr>
        <w:t xml:space="preserve">☐ </w:t>
      </w:r>
      <w:r>
        <w:t>Evidencia conservada</w:t>
      </w:r>
    </w:p>
    <w:p>
      <w:r>
        <w:rPr>
          <w:b/>
        </w:rPr>
        <w:t xml:space="preserve">☐ </w:t>
      </w:r>
      <w:r>
        <w:t>Excepciones con vencimiento</w:t>
      </w:r>
    </w:p>
    <w:p>
      <w:r>
        <w:rPr>
          <w:b/>
        </w:rPr>
        <w:t xml:space="preserve">☐ </w:t>
      </w:r>
      <w:r>
        <w:t>Pruebas completadas</w:t>
      </w:r>
    </w:p>
    <w:p>
      <w:r>
        <w:rPr>
          <w:b/>
        </w:rPr>
        <w:t xml:space="preserve">☐ </w:t>
      </w:r>
      <w:r>
        <w:t>Revisión directiva registrada</w:t>
      </w:r>
    </w:p>
    <w:p>
      <w:pPr>
        <w:pStyle w:val="Heading1"/>
      </w:pPr>
      <w:r>
        <w:t>Referencias oficiales</w:t>
      </w:r>
    </w:p>
    <w:p>
      <w:pPr>
        <w:pStyle w:val="ListBullet"/>
      </w:pPr>
      <w:r>
        <w:t>NIST SP 800-55 Volume 2: https://csrc.nist.gov/pubs/sp/800/55/v2/final</w:t>
      </w:r>
    </w:p>
    <w:p>
      <w:pPr>
        <w:pStyle w:val="ListBullet"/>
      </w:pPr>
      <w:r>
        <w:t>NIST Cybersecurity Measurement: https://www.nist.gov/cybersecurity-measurement</w:t>
      </w:r>
    </w:p>
    <w:p>
      <w:pPr>
        <w:pStyle w:val="ListBullet"/>
      </w:pPr>
      <w:r>
        <w:t>NIST CSF 2.0: https://www.nist.gov/cyberframework</w:t>
      </w:r>
    </w:p>
    <w:p>
      <w:pPr>
        <w:pStyle w:val="Heading1"/>
      </w:pPr>
      <w:r>
        <w:t>Licencia</w:t>
      </w:r>
    </w:p>
    <w:p>
      <w:r>
        <w:t>Copyright © 2026 Alberto (Al) Leiva. Licencia CC BY-NC-SA 4.0.</w:t>
      </w:r>
    </w:p>
    <w:sectPr w:rsidR="00FC693F" w:rsidRPr="0006063C" w:rsidSect="00034616">
      <w:footerReference w:type="default" r:id="rId9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Cómo crear métricas de ciberseguridad e informes ejecutivos •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