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posal-for-cie6032-final-project-2026"/>
    <w:p>
      <w:pPr>
        <w:pStyle w:val="Heading1"/>
      </w:pPr>
      <w:r>
        <w:t xml:space="preserve">Proposal for CIE6032 Final Project 2026</w:t>
      </w:r>
    </w:p>
    <w:p>
      <w:pPr>
        <w:pStyle w:val="FirstParagraph"/>
      </w:pPr>
      <w:r>
        <w:rPr>
          <w:b/>
          <w:bCs/>
        </w:rPr>
        <w:t xml:space="preserve">Names &amp; IDs:</w:t>
      </w:r>
      <w:r>
        <w:t xml:space="preserve"> </w:t>
      </w:r>
      <w:r>
        <w:t xml:space="preserve">Rongshuo Wen (Leader, 124020369), Bihua Wen (124090670), Ruiming Liu (124090375)</w:t>
      </w:r>
    </w:p>
    <w:p>
      <w:pPr>
        <w:pStyle w:val="BodyText"/>
      </w:pPr>
      <w:r>
        <w:rPr>
          <w:b/>
          <w:bCs/>
        </w:rPr>
        <w:t xml:space="preserve">Title:</w:t>
      </w:r>
      <w:r>
        <w:t xml:space="preserve"> </w:t>
      </w:r>
      <w:r>
        <w:t xml:space="preserve">Screen Capture Rectification and Temporal Stabilization for Real-world Captured-screen Videos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Existing screen demoiréing and screen-image restoration studies show that captured-screen content is a meaningful image processing problem. However, many public datasets are collected in controlled settings, where the screen region is already cropped, aligned, or paired with a clean reference. In real phone-captured videos, the input usually contains background regions, perspective distortion, hand-held camera shake, weak or missing screen borders, moiré patterns, glare, and dynamic screen content. This project focuses on this missing preprocessing stage: converting a full captured-screen video into a rectified and temporally stable screen-coordinate video before downstream demoiréing, OCR, or archival restoration.</w:t>
      </w:r>
    </w:p>
    <w:p>
      <w:pPr>
        <w:pStyle w:val="BodyText"/>
      </w:pPr>
      <w:r>
        <w:rPr>
          <w:b/>
          <w:bCs/>
        </w:rPr>
        <w:t xml:space="preserve">Task and goal:</w:t>
      </w:r>
      <w:r>
        <w:t xml:space="preserve"> </w:t>
      </w:r>
      <w:r>
        <w:t xml:space="preserve">The input is a hand-held video of a computer screen. The output is a fixed-ratio, front-facing, temporally stable video of the screen content. The goal is to remove most non-screen background, correct perspective distortion, reduce frame-to-frame jitter, and provide a reliable normalized input for later restoration tasks.</w:t>
      </w:r>
    </w:p>
    <w:p>
      <w:pPr>
        <w:pStyle w:val="BodyText"/>
      </w:pPr>
      <w:r>
        <w:rPr>
          <w:b/>
          <w:bCs/>
        </w:rPr>
        <w:t xml:space="preserve">Method:</w:t>
      </w:r>
      <w:r>
        <w:t xml:space="preserve"> </w:t>
      </w:r>
      <w:r>
        <w:t xml:space="preserve">The proposed pipeline first obtains the first-frame screen quadrilateral by automatic detection or manual annotation. A homography is then used to rectify the screen plane to a 16:9 output canvas. To avoid the jitter caused by independent frame-wise corner detection, reference-plane feature points are tracked using Lucas-Kanade optical flow, and a robust homography is estimated with RANSAC. Unreliable updates are rejected by geometric constraints, while missing or unstable trajectory segments are interpolated and smoothed before rendering the normalized video.</w:t>
      </w:r>
    </w:p>
    <w:p>
      <w:pPr>
        <w:pStyle w:val="BodyText"/>
      </w:pPr>
      <w:r>
        <w:rPr>
          <w:b/>
          <w:bCs/>
        </w:rPr>
        <w:t xml:space="preserve">Dataset and experiment:</w:t>
      </w:r>
      <w:r>
        <w:t xml:space="preserve"> </w:t>
      </w:r>
      <w:r>
        <w:t xml:space="preserve">The final evaluation will use a self-collected test set with 5 scenario classes, 10 clips per class, and about 5 seconds per clip. The classes are static webpages/documents, scrolling webpages, in-screen video playback, PPT or weak-border low-texture pages, and 4K/moiré/glare hard cases. Public demoiréing datasets will be discussed as related-work evidence because they mostly evaluate restoration after alignment, while this project evaluates the preceding video rectification and stabilization step.</w:t>
      </w:r>
    </w:p>
    <w:p>
      <w:pPr>
        <w:pStyle w:val="BodyText"/>
      </w:pPr>
      <w:r>
        <w:rPr>
          <w:b/>
          <w:bCs/>
        </w:rPr>
        <w:t xml:space="preserve">Evaluation metrics:</w:t>
      </w:r>
      <w:r>
        <w:t xml:space="preserve"> </w:t>
      </w:r>
      <w:r>
        <w:t xml:space="preserve">The main quantitative metrics are residual adjacent-frame translation p95, rotation p95, and scale-delta p95 measured in the normalized output video. Tracker accept ratio, RANSAC inlier count, inlier ratio, and feature coverage will be used to explain failure cases. In an initial 317-frame local test video, reference-plane tracking reduced the last-two-second residual motion to 0.118 px translation p95 and 0.0044 deg rotation p95, compared with 1.927 px and 0.0425 deg for frame-wise detection.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The expected result is a classical image-processing and geometric-vision pipeline that produces stable, rectified screen videos from realistic captured-screen inputs. The final report will compare frame-wise detection, ordinary optical-flow tracking, and reference-plane tracking; summarize successful and failed cases; and discuss when this preprocessing is sufficient for downstream screen video restoration.</w:t>
      </w:r>
    </w:p>
    <w:p>
      <w:pPr>
        <w:pStyle w:val="BodyText"/>
      </w:pPr>
      <w:r>
        <w:rPr>
          <w:b/>
          <w:bCs/>
        </w:rPr>
        <w:t xml:space="preserve">Tentative timeline/to-do list:</w:t>
      </w:r>
      <w:r>
        <w:t xml:space="preserve"> </w:t>
      </w:r>
      <w:r>
        <w:t xml:space="preserve">Jun. 22–24: finalize proposal and presentation. Jun. 25–30: complete the 50-clip self-collected test set. Jul. 1–7: run method ablations and metric evaluation. Jul. 8–12: prepare visual comparisons, failure analysis, and final report. Jul. 13–15: finalize code, sample data, and presentation.</w:t>
      </w:r>
    </w:p>
    <w:bookmarkEnd w:id="20"/>
    <w:sectPr w:rsidR="00CA7E97" w:rsidRPr="00CA7E97" w:rsidSect="001F2B63">
      <w:pgSz w:h="15840" w:w="12240"/>
      <w:pgMar w:bottom="806" w:footer="720" w:gutter="0" w:header="720" w:left="1440" w:right="1440" w:top="1440"/>
      <w:cols w:space="720"/>
      <w:docGrid w:linePitch="4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31302A8B"/>
    <w:multiLevelType w:val="hybridMultilevel"/>
    <w:tmpl w:val="3DA8E350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356B0742"/>
    <w:multiLevelType w:val="hybridMultilevel"/>
    <w:tmpl w:val="E32C9986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">
    <w:nsid w:val="38F136DD"/>
    <w:multiLevelType w:val="hybridMultilevel"/>
    <w:tmpl w:val="DEB2EF56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44181B5D"/>
    <w:multiLevelType w:val="hybridMultilevel"/>
    <w:tmpl w:val="E8BC0838"/>
    <w:lvl w:ilvl="0" w:tplc="04090019">
      <w:start w:val="1"/>
      <w:numFmt w:val="lowerLetter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4B2A6105"/>
    <w:multiLevelType w:val="hybridMultilevel"/>
    <w:tmpl w:val="83664946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6F113782"/>
    <w:multiLevelType w:val="hybridMultilevel"/>
    <w:tmpl w:val="C44060B4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6F1549FE"/>
    <w:multiLevelType w:val="hybridMultilevel"/>
    <w:tmpl w:val="C57A943C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739E3A3A"/>
    <w:multiLevelType w:val="hybridMultilevel"/>
    <w:tmpl w:val="AB267C84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206334220" w:numId="1">
    <w:abstractNumId w:val="0"/>
  </w:num>
  <w:num w16cid:durableId="1352607658" w:numId="2">
    <w:abstractNumId w:val="1"/>
  </w:num>
  <w:num w16cid:durableId="1388408719" w:numId="3">
    <w:abstractNumId w:val="2"/>
  </w:num>
  <w:num w16cid:durableId="105465836" w:numId="4">
    <w:abstractNumId w:val="5"/>
  </w:num>
  <w:num w16cid:durableId="429937694" w:numId="5">
    <w:abstractNumId w:val="7"/>
  </w:num>
  <w:num w16cid:durableId="367492238" w:numId="6">
    <w:abstractNumId w:val="6"/>
  </w:num>
  <w:num w16cid:durableId="216744945" w:numId="7">
    <w:abstractNumId w:val="3"/>
  </w:num>
  <w:num w16cid:durableId="783234275" w:numId="8">
    <w:abstractNumId w:val="4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2D7"/>
    <w:rsid w:val="000B10A1"/>
    <w:rsid w:val="001142B2"/>
    <w:rsid w:val="001B562A"/>
    <w:rsid w:val="001D55F7"/>
    <w:rsid w:val="001D5C57"/>
    <w:rsid w:val="001F2B63"/>
    <w:rsid w:val="0021673C"/>
    <w:rsid w:val="002333F6"/>
    <w:rsid w:val="00264ECF"/>
    <w:rsid w:val="00280A8C"/>
    <w:rsid w:val="002930DB"/>
    <w:rsid w:val="00343372"/>
    <w:rsid w:val="0036082B"/>
    <w:rsid w:val="003A4A65"/>
    <w:rsid w:val="00461509"/>
    <w:rsid w:val="0047787A"/>
    <w:rsid w:val="00570C3E"/>
    <w:rsid w:val="005C6B6E"/>
    <w:rsid w:val="0063640D"/>
    <w:rsid w:val="007555F3"/>
    <w:rsid w:val="00766CD5"/>
    <w:rsid w:val="00816889"/>
    <w:rsid w:val="008221B9"/>
    <w:rsid w:val="0083430C"/>
    <w:rsid w:val="008E158B"/>
    <w:rsid w:val="009128C2"/>
    <w:rsid w:val="009E01B8"/>
    <w:rsid w:val="00A064AD"/>
    <w:rsid w:val="00A572FF"/>
    <w:rsid w:val="00A914FD"/>
    <w:rsid w:val="00B46F03"/>
    <w:rsid w:val="00C111C8"/>
    <w:rsid w:val="00CA7E97"/>
    <w:rsid w:val="00D03DFD"/>
    <w:rsid w:val="00D14509"/>
    <w:rsid w:val="00D902D7"/>
    <w:rsid w:val="00DB172E"/>
    <w:rsid w:val="00E30DFE"/>
    <w:rsid w:val="00EB2188"/>
    <w:rsid w:val="00F53E5B"/>
    <w:rsid w:val="00F852EE"/>
    <w:rsid w:val="00F94798"/>
    <w:rsid w:val="00FF13E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table">
    <w:name w:val="Table Grid"/>
    <w:basedOn w:val="a1"/>
    <w:uiPriority w:val="39"/>
    <w:rsid w:val="00D902D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4" w:type="paragraph">
    <w:name w:val="List Paragraph"/>
    <w:basedOn w:val="a"/>
    <w:uiPriority w:val="34"/>
    <w:qFormat/>
    <w:rsid w:val="00816889"/>
    <w:pPr>
      <w:ind w:left="720"/>
      <w:contextualSpacing/>
    </w:pPr>
  </w:style>
  <w:style w:styleId="a5" w:type="paragraph">
    <w:name w:val="header"/>
    <w:basedOn w:val="a"/>
    <w:link w:val="a6"/>
    <w:uiPriority w:val="99"/>
    <w:unhideWhenUsed/>
    <w:rsid w:val="00816889"/>
    <w:pPr>
      <w:tabs>
        <w:tab w:pos="4680" w:val="center"/>
        <w:tab w:pos="9360" w:val="right"/>
      </w:tabs>
    </w:pPr>
  </w:style>
  <w:style w:customStyle="1" w:styleId="a6" w:type="character">
    <w:name w:val="页眉 字符"/>
    <w:basedOn w:val="a0"/>
    <w:link w:val="a5"/>
    <w:uiPriority w:val="99"/>
    <w:rsid w:val="00816889"/>
  </w:style>
  <w:style w:styleId="a7" w:type="paragraph">
    <w:name w:val="footer"/>
    <w:basedOn w:val="a"/>
    <w:link w:val="a8"/>
    <w:uiPriority w:val="99"/>
    <w:unhideWhenUsed/>
    <w:rsid w:val="00816889"/>
    <w:pPr>
      <w:tabs>
        <w:tab w:pos="4680" w:val="center"/>
        <w:tab w:pos="9360" w:val="right"/>
      </w:tabs>
    </w:pPr>
  </w:style>
  <w:style w:customStyle="1" w:styleId="a8" w:type="character">
    <w:name w:val="页脚 字符"/>
    <w:basedOn w:val="a0"/>
    <w:link w:val="a7"/>
    <w:uiPriority w:val="99"/>
    <w:rsid w:val="00816889"/>
  </w:style>
  <w:style w:styleId="a9" w:type="character">
    <w:name w:val="annotation reference"/>
    <w:basedOn w:val="a0"/>
    <w:uiPriority w:val="99"/>
    <w:semiHidden/>
    <w:unhideWhenUsed/>
    <w:rsid w:val="00816889"/>
    <w:rPr>
      <w:sz w:val="18"/>
      <w:szCs w:val="18"/>
    </w:rPr>
  </w:style>
  <w:style w:styleId="aa" w:type="paragraph">
    <w:name w:val="annotation text"/>
    <w:basedOn w:val="a"/>
    <w:link w:val="ab"/>
    <w:uiPriority w:val="99"/>
    <w:semiHidden/>
    <w:unhideWhenUsed/>
    <w:rsid w:val="00816889"/>
  </w:style>
  <w:style w:customStyle="1" w:styleId="ab" w:type="character">
    <w:name w:val="批注文字 字符"/>
    <w:basedOn w:val="a0"/>
    <w:link w:val="aa"/>
    <w:uiPriority w:val="99"/>
    <w:semiHidden/>
    <w:rsid w:val="00816889"/>
  </w:style>
  <w:style w:styleId="ac" w:type="paragraph">
    <w:name w:val="annotation subject"/>
    <w:basedOn w:val="aa"/>
    <w:next w:val="aa"/>
    <w:link w:val="ad"/>
    <w:uiPriority w:val="99"/>
    <w:semiHidden/>
    <w:unhideWhenUsed/>
    <w:rsid w:val="00816889"/>
    <w:rPr>
      <w:b/>
      <w:bCs/>
      <w:sz w:val="20"/>
      <w:szCs w:val="20"/>
    </w:rPr>
  </w:style>
  <w:style w:customStyle="1" w:styleId="ad" w:type="character">
    <w:name w:val="批注主题 字符"/>
    <w:basedOn w:val="ab"/>
    <w:link w:val="ac"/>
    <w:uiPriority w:val="99"/>
    <w:semiHidden/>
    <w:rsid w:val="00816889"/>
    <w:rPr>
      <w:b/>
      <w:bCs/>
      <w:sz w:val="20"/>
      <w:szCs w:val="20"/>
    </w:rPr>
  </w:style>
  <w:style w:styleId="ae" w:type="paragraph">
    <w:name w:val="Balloon Text"/>
    <w:basedOn w:val="a"/>
    <w:link w:val="af"/>
    <w:uiPriority w:val="99"/>
    <w:semiHidden/>
    <w:unhideWhenUsed/>
    <w:rsid w:val="00816889"/>
    <w:rPr>
      <w:rFonts w:ascii="Times New Roman" w:cs="Times New Roman" w:hAnsi="Times New Roman"/>
      <w:sz w:val="18"/>
      <w:szCs w:val="18"/>
    </w:rPr>
  </w:style>
  <w:style w:customStyle="1" w:styleId="af" w:type="character">
    <w:name w:val="批注框文本 字符"/>
    <w:basedOn w:val="a0"/>
    <w:link w:val="ae"/>
    <w:uiPriority w:val="99"/>
    <w:semiHidden/>
    <w:rsid w:val="00816889"/>
    <w:rPr>
      <w:rFonts w:ascii="Times New Roman" w:cs="Times New Roman" w:hAnsi="Times New Roman"/>
      <w:sz w:val="18"/>
      <w:szCs w:val="18"/>
    </w:rPr>
  </w:style>
  <w:style w:styleId="af0" w:type="paragraph">
    <w:name w:val="Revision"/>
    <w:hidden/>
    <w:uiPriority w:val="99"/>
    <w:semiHidden/>
    <w:rsid w:val="00816889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106</Words>
  <Characters>592</Characters>
  <Application>Microsoft Office Word</Application>
  <DocSecurity>0</DocSecurity>
  <Lines>49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2026-06-22T07:07:21Z</dcterms:created>
  <dcterms:modified xsi:type="dcterms:W3CDTF">2026-06-22T07:07:21Z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