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2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Agent输出日志设计及可能的运行接口</w:t>
      </w:r>
    </w:p>
    <w:p>
      <w:pPr>
        <w:spacing w:after="120"/>
        <w:jc w:val="center"/>
      </w:pPr>
      <w:r>
        <w:rPr>
          <w:rFonts w:ascii="Arial Unicode MS" w:hAnsi="Arial Unicode MS" w:eastAsia="Arial Unicode MS"/>
          <w:color w:val="2E74B5"/>
          <w:sz w:val="28"/>
        </w:rPr>
        <w:t>面向不同 KG Agent 架构的统一评测输出设计</w:t>
      </w:r>
    </w:p>
    <w:p>
      <w:pPr>
        <w:spacing w:before="520"/>
        <w:jc w:val="center"/>
      </w:pPr>
      <w:r>
        <w:rPr>
          <w:rFonts w:ascii="Arial Unicode MS" w:hAnsi="Arial Unicode MS" w:eastAsia="Arial Unicode MS"/>
          <w:color w:val="666666"/>
          <w:sz w:val="21"/>
        </w:rPr>
        <w:t>统一日志 · 结构化答案 · Graph Grounding · 可选 KG 工具封装层</w:t>
      </w:r>
    </w:p>
    <w:p>
      <w:pPr>
        <w:spacing w:after="160"/>
      </w:pPr>
    </w:p>
    <w:p>
      <w:pPr>
        <w:pStyle w:val="Heading1"/>
      </w:pPr>
      <w:r>
        <w:t>1. 设计目标与统一原则</w:t>
      </w:r>
    </w:p>
    <w:p>
      <w:pPr/>
      <w:r>
        <w:rPr>
          <w:rFonts w:ascii="Arial Unicode MS" w:hAnsi="Arial Unicode MS" w:eastAsia="Arial Unicode MS"/>
          <w:sz w:val="22"/>
        </w:rPr>
        <w:t>本设计规定 Agent 在评测运行期间需要保存的统一输出和日志信息，用于连接数据集标注、Agent 实际执行结果与评测指标。它不限制 Agent 必须采用某一种推理架构或查询语言，而是统一结构化答案、运行状态和 KG 检索结果的记录方式。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KG Agent 面向用户只输出正常、可读的自然语言回答。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所有 Agent 在自然语言回答生成之前增加统一的结构化答案输出节点。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结构化答案、规范化答案、回答状态、图查询、检索结果和错误信息统一保存在后台运行日志中，不直接展示给用户。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数据集保存问题及标准标注；运行日志保存 Agent 的实际运行结果。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评测程序根据不同测试任务和指标，从数据集和统一运行日志中读取所需字段。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Problem Understanding 以及分支、交叉或复杂关系组合等情况仅选择少量代表性案例进行分析，不逐题进行人工检查。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不要求 Agent 输出完整自然语言推理过程，也不要求数据集为每道问题标注标准证据链或 supporting_triples。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identified_entities、selected_relations 和 subquestions 仅在 Agent 工作流本身实际产生这些信息时记录，不为评测而额外要求 Agent 生成。</w:t>
      </w:r>
    </w:p>
    <w:p>
      <w:pPr>
        <w:pStyle w:val="Heading1"/>
      </w:pPr>
      <w:r>
        <w:t>2. 统一运行日志最小字段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00"/>
        <w:gridCol w:w="1050"/>
        <w:gridCol w:w="3500"/>
        <w:gridCol w:w="211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必要性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2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无内容时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sample_id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单值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与数据集中的题目 ID 对应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不应为空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answer_payload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单值或列表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自然语言生成前得到的原始结构化最终答案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无答案为 null；有效空集合为 []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predicted_answer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单值或列表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由 answer_payload 按数据集答案形式规范化，用于自动匹配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无答案为 null；有效空集合为 []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final_answer_text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单值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面向用户输出的自然语言回答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无输出为 null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answer_status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单值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回答状态，如 answered、unanswerable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不应为空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execution_status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单值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执行状态，如 success、partial、failed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不应为空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tool_calls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列表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条件记录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实际工具调用及其输入、检索结果和执行状态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未调用工具为 []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identified_entities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列表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可选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工作流中实际识别出的实体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未记录为 []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selected_relations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列表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可选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工作流中实际选择的关系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未记录为 []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subquestions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列表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可选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显式生成的子问题或子任务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未分解为 []</w:t>
            </w:r>
          </w:p>
        </w:tc>
      </w:tr>
      <w:tr>
        <w:trPr/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error_type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单值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条件记录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查询、工具、解析或其他主要失败类型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无错误为 null</w:t>
            </w:r>
          </w:p>
        </w:tc>
      </w:tr>
    </w:tbl>
    <w:p>
      <w:pPr>
        <w:spacing w:after="0"/>
      </w:pPr>
    </w:p>
    <w:p>
      <w:pPr/>
      <w:r>
        <w:rPr>
          <w:rFonts w:ascii="Arial Unicode MS" w:hAnsi="Arial Unicode MS" w:eastAsia="Arial Unicode MS"/>
          <w:sz w:val="22"/>
        </w:rPr>
        <w:t>answer_status 与 execution_status 应分开记录。例如，KG 中不存在答案属于 unanswerable；查询语法错误、工具调用失败或达到最大步骤数属于执行失败，不能直接视为正确拒答。</w:t>
      </w:r>
    </w:p>
    <w:p>
      <w:pPr>
        <w:pStyle w:val="Heading1"/>
      </w:pPr>
      <w:r>
        <w:t>3. tool_calls 的统一记录方式</w:t>
      </w:r>
    </w:p>
    <w:p>
      <w:pPr/>
      <w:r>
        <w:rPr>
          <w:rFonts w:ascii="Arial Unicode MS" w:hAnsi="Arial Unicode MS" w:eastAsia="Arial Unicode MS"/>
          <w:sz w:val="22"/>
        </w:rPr>
        <w:t>tool_calls 用于保存 Agent 实际访问 KG 或调用其他工具的过程。每次工具调用建议至少记录以下字段：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56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必要性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含义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tool_name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被调用工具的名称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input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传给工具的结构化输入参数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result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工具实际返回的原始结果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retrieved_entities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条件记录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从该次 KG 检索结果中规范化得到的实体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retrieved_facts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可选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工具能够返回或恢复 KG 事实时记录规范化三元组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success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必需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该次调用是否成功</w:t>
            </w:r>
          </w:p>
        </w:tc>
      </w:tr>
      <w:tr>
        <w:trPr/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error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条件记录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sz w:val="18"/>
              </w:rPr>
              <w:t>工具调用失败时的错误信息</w:t>
            </w:r>
          </w:p>
        </w:tc>
      </w:tr>
    </w:tbl>
    <w:p>
      <w:pPr>
        <w:spacing w:after="0"/>
      </w:pPr>
    </w:p>
    <w:p>
      <w:pPr>
        <w:pStyle w:val="Heading2"/>
      </w:pPr>
      <w:r>
        <w:t>3.1 查询语言架构示例</w:t>
      </w:r>
    </w:p>
    <w:p>
      <w:pPr/>
      <w:r>
        <w:rPr>
          <w:rFonts w:ascii="Arial Unicode MS" w:hAnsi="Arial Unicode MS" w:eastAsia="Arial Unicode MS"/>
          <w:sz w:val="22"/>
        </w:rPr>
        <w:t>如果 Agent 使用 SPARQL、Cypher 或 SQL 等查询语言，实际查询语句可直接保存在 input 中：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"tool_name": "sparql_query",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"input": {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"query": "SELECT ?x WHERE { ?x :communicates_with :Agent_A . }"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},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"result": [{"x": "Agent_B"}],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"retrieved_entities": ["Agent_B"],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"retrieved_facts": [],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"error": null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3.2 图遍历或函数调用架构示例</w:t>
      </w:r>
    </w:p>
    <w:p>
      <w:pPr/>
      <w:r>
        <w:rPr>
          <w:rFonts w:ascii="Arial Unicode MS" w:hAnsi="Arial Unicode MS" w:eastAsia="Arial Unicode MS"/>
          <w:sz w:val="22"/>
        </w:rPr>
        <w:t>如果 Agent 使用图遍历、邻居查询或自定义 Python 函数，则 input 保存相应参数，不要求存在查询语言：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"tool_name": "get_incoming_neighbors",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"input": {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"entity": "Agent_A",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"relation": "communicates_with"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},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"result": ["Agent_B"],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"retrieved_entities": ["Agent_B"],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"retrieved_facts": [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["Agent_B", "communicates_with", "Agent_A"]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"error": null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}</w:t>
            </w:r>
          </w:p>
        </w:tc>
      </w:tr>
    </w:tbl>
    <w:p>
      <w:pPr>
        <w:spacing w:after="0"/>
      </w:pPr>
    </w:p>
    <w:p>
      <w:pPr/>
      <w:r>
        <w:rPr>
          <w:rFonts w:ascii="Arial Unicode MS" w:hAnsi="Arial Unicode MS" w:eastAsia="Arial Unicode MS"/>
          <w:sz w:val="22"/>
        </w:rPr>
        <w:t>input 表示 Agent 向工具提出的请求，result 表示工具执行后实际返回的内容，两者不能混合记录。</w:t>
      </w:r>
    </w:p>
    <w:p>
      <w:pPr>
        <w:pStyle w:val="Heading1"/>
      </w:pPr>
      <w:r>
        <w:t>4. 统一结构化答案输出节点</w:t>
      </w:r>
    </w:p>
    <w:p>
      <w:pPr/>
      <w:r>
        <w:rPr>
          <w:rFonts w:ascii="Arial Unicode MS" w:hAnsi="Arial Unicode MS" w:eastAsia="Arial Unicode MS"/>
          <w:sz w:val="22"/>
        </w:rPr>
        <w:t>不同 Agent 可以采用不同的推理、规划和 KG 查询方式，但都应在自然语言回答生成前增加统一的结构化答案输出节点。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问题理解与 KG 检索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结果整合与答案确定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结构化答案输出节点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answer_payload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答案规范化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predicted_answer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自然语言答案生成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    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final_answer_text</w:t>
            </w:r>
          </w:p>
        </w:tc>
      </w:tr>
    </w:tbl>
    <w:p>
      <w:pPr>
        <w:spacing w:after="0"/>
      </w:pPr>
    </w:p>
    <w:p>
      <w:pPr/>
      <w:r>
        <w:rPr>
          <w:rFonts w:ascii="Arial Unicode MS" w:hAnsi="Arial Unicode MS" w:eastAsia="Arial Unicode MS"/>
          <w:sz w:val="22"/>
        </w:rPr>
        <w:t>示例：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"answer_payload": ["Agent_B"],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"predicted_answer": ["Agent_B"],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"final_answer_text": "Agent B can communicate with Agent A."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4.1 加入结构化答案输出节点的原因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结构化答案可以直接用于 Final Answer 自动评价。评测程序可直接比较 predicted_answer 与 gold_answer，无需先从自然语言回答中重新解析答案，从而减少表达差异、句式变化或答案提取错误造成的误判。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结构化答案能够统一不同 Agent 架构的最终输出。无论内部结果是实体、实体集合、数值、布尔值、日期或其他形式，都可以在该节点转换为统一的答案结构。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结构化答案为 Graph Grounding 提供最终答案侧的统一输入。评测程序可以将 predicted_answer 与实际 KG 检索结果进行比较，而不依赖自然语言文本。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结构化答案节点不要求改变 Agent 的推理架构，只需在最终答案生成阶段增加一个轻量输出步骤，因此适用于不同类型的 KG Agent。</w:t>
      </w:r>
    </w:p>
    <w:p>
      <w:pPr/>
      <w:r>
        <w:rPr>
          <w:rFonts w:ascii="Arial Unicode MS" w:hAnsi="Arial Unicode MS" w:eastAsia="Arial Unicode MS"/>
          <w:sz w:val="22"/>
        </w:rPr>
        <w:t>predicted_answer 应优先由 answer_payload 规范化得到。只有在某个 Agent 无法提供结构化最终答案时，才将从 final_answer_text 中解析答案作为后备方案。</w:t>
      </w:r>
    </w:p>
    <w:p>
      <w:pPr>
        <w:pStyle w:val="Heading1"/>
      </w:pPr>
      <w:r>
        <w:t>5. 结构化答案与 Graph Grounding 评价</w:t>
      </w:r>
    </w:p>
    <w:p>
      <w:pPr/>
      <w:r>
        <w:rPr>
          <w:rFonts w:ascii="Arial Unicode MS" w:hAnsi="Arial Unicode MS" w:eastAsia="Arial Unicode MS"/>
          <w:sz w:val="22"/>
        </w:rPr>
        <w:t>结构化答案节点与统一检索日志结合后，可支持以下轻量 Graph Grounding 指标。</w:t>
      </w:r>
    </w:p>
    <w:p>
      <w:pPr>
        <w:pStyle w:val="Heading2"/>
      </w:pPr>
      <w:r>
        <w:t>5.1 Answer–Retrieved Result Consistency</w:t>
      </w:r>
    </w:p>
    <w:p>
      <w:pPr/>
      <w:r>
        <w:rPr>
          <w:rFonts w:ascii="Arial Unicode MS" w:hAnsi="Arial Unicode MS" w:eastAsia="Arial Unicode MS"/>
          <w:sz w:val="22"/>
        </w:rPr>
        <w:t>检查 Agent 的结构化最终答案是否能够从其实际获得的 KG 检索结果中找到或直接得到支持。该指标为所有架构 Agent 的通用指标。</w:t>
      </w:r>
    </w:p>
    <w:p>
      <w:pPr/>
      <w:r>
        <w:rPr>
          <w:rFonts w:ascii="Arial Unicode MS" w:hAnsi="Arial Unicode MS" w:eastAsia="Arial Unicode MS"/>
          <w:sz w:val="22"/>
        </w:rPr>
        <w:t>评测程序可将 predicted_answer 与全部 KG 工具调用中记录的 retrieved_entities 进行比较。例如：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"predicted_answer": ["Agent_B"],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"retrieved_entities": ["Agent_A", "Agent_B"]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}</w:t>
            </w:r>
          </w:p>
        </w:tc>
      </w:tr>
    </w:tbl>
    <w:p>
      <w:pPr>
        <w:spacing w:after="0"/>
      </w:pPr>
    </w:p>
    <w:p>
      <w:pPr/>
      <w:r>
        <w:rPr>
          <w:rFonts w:ascii="Arial Unicode MS" w:hAnsi="Arial Unicode MS" w:eastAsia="Arial Unicode MS"/>
          <w:sz w:val="22"/>
        </w:rPr>
        <w:t>此时最终答案与实际检索结果一致。该指标要求所有 Agent 记录实际 KG 检索结果，但不要求不同 Agent 使用相同查询语言或返回相同形式的原始结果。</w:t>
      </w:r>
    </w:p>
    <w:p>
      <w:pPr>
        <w:pStyle w:val="Heading2"/>
      </w:pPr>
      <w:r>
        <w:t>5.2 Retrieved Fact Validity Rate</w:t>
      </w:r>
    </w:p>
    <w:p>
      <w:pPr/>
      <w:r>
        <w:rPr>
          <w:rFonts w:ascii="Arial Unicode MS" w:hAnsi="Arial Unicode MS" w:eastAsia="Arial Unicode MS"/>
          <w:sz w:val="22"/>
        </w:rPr>
        <w:t>检查 Agent 实际检索或记录的事实中，有多少三元组真实存在于目标 KG：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Retrieved Fact Validity Rate = 存在于目标 KG 中的检索事实数 / 记录的检索事实总数</w:t>
            </w:r>
          </w:p>
        </w:tc>
      </w:tr>
    </w:tbl>
    <w:p>
      <w:pPr>
        <w:spacing w:after="0"/>
      </w:pPr>
    </w:p>
    <w:p>
      <w:pPr/>
      <w:r>
        <w:rPr>
          <w:rFonts w:ascii="Arial Unicode MS" w:hAnsi="Arial Unicode MS" w:eastAsia="Arial Unicode MS"/>
          <w:sz w:val="22"/>
        </w:rPr>
        <w:t>该指标仅在 retrieved_facts 中存在规范化三元组时计算。如果某个 Agent 或 KG 工具只返回实体而不返回事实，则不强制计算该指标，可仅使用 Answer–Retrieved Result Consistency，并通过少量案例补充分析。</w:t>
      </w:r>
    </w:p>
    <w:p>
      <w:pPr/>
      <w:r>
        <w:rPr>
          <w:rFonts w:ascii="Arial Unicode MS" w:hAnsi="Arial Unicode MS" w:eastAsia="Arial Unicode MS"/>
          <w:sz w:val="22"/>
        </w:rPr>
        <w:t>结构化答案节点能够统一最终答案，但不能单独证明答案来源于 KG。Graph Grounding 仍需要结合 Agent 实际保存的 KG 检索结果。</w:t>
      </w:r>
    </w:p>
    <w:p>
      <w:pPr>
        <w:pStyle w:val="Heading1"/>
      </w:pPr>
      <w:r>
        <w:t>6. 可选的统一 KG 工具封装层</w:t>
      </w:r>
    </w:p>
    <w:p>
      <w:pPr/>
      <w:r>
        <w:rPr>
          <w:rFonts w:ascii="Arial Unicode MS" w:hAnsi="Arial Unicode MS" w:eastAsia="Arial Unicode MS"/>
          <w:sz w:val="22"/>
        </w:rPr>
        <w:t>为了进一步统一不同 Agent 架构和不同 KG 后端的检索日志，未来可在 Agent 与实际 KG 之间增加统一的 KG 工具封装层：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Agent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KG 工具封装层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↓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RDF、三元组文件、Neo4j 或其他 KG 后端</w:t>
            </w:r>
          </w:p>
        </w:tc>
      </w:tr>
    </w:tbl>
    <w:p>
      <w:pPr>
        <w:spacing w:after="0"/>
      </w:pPr>
    </w:p>
    <w:p>
      <w:pPr/>
      <w:r>
        <w:rPr>
          <w:rFonts w:ascii="Arial Unicode MS" w:hAnsi="Arial Unicode MS" w:eastAsia="Arial Unicode MS"/>
          <w:sz w:val="22"/>
        </w:rPr>
        <w:t>该封装层不修改 KGQA 数据集本身，也不要求所有 Agent 使用相同查询方法。它主要负责：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接收 Agent 的 KG 访问请求；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调用实际数据库、查询工具或图遍历函数；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保存原始输入和原始返回结果；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从不同形式的返回结果中提取统一的实体；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条件允许时，将实际访问的边转换为规范化三元组；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统一写入 tool_calls 和后台运行日志。</w:t>
      </w:r>
    </w:p>
    <w:p>
      <w:pPr/>
      <w:r>
        <w:rPr>
          <w:rFonts w:ascii="Arial Unicode MS" w:hAnsi="Arial Unicode MS" w:eastAsia="Arial Unicode MS"/>
          <w:sz w:val="22"/>
        </w:rPr>
        <w:t>统一返回结构可设计为：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6F8FA"/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"tool_name": "kg_search",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"input": {},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"result": null,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"retrieved_entities": [],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"retrieved_facts": [],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"success": true,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 xml:space="preserve">  "error": null</w:t>
            </w:r>
            <w:r>
              <w:br/>
            </w:r>
            <w:r>
              <w:rPr>
                <w:rFonts w:ascii="Arial Unicode MS" w:hAnsi="Arial Unicode MS" w:eastAsia="Arial Unicode MS"/>
                <w:color w:val="24292F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6.1 增加 KG 工具封装层的原因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不同 Agent 可能分别使用 SPARQL、Cypher、图遍历、邻居查询或自定义 Python 函数，其原始输入和返回格式可能不同。统一封装层可以把这些差异限制在数据库接入位置，而不需要为每种 Agent 单独设计评测程序。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统一封装层可以稳定记录 Agent 实际获得的 KG 信息，为 Answer–Retrieved Result Consistency 提供统一的 retrieved_entities。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当数据库接口能够暴露实际访问的图边时，封装层可以自动生成 retrieved_facts，从而支持 Retrieved Fact Validity Rate，而无需为每道问题人工标注标准证据链。</w:t>
      </w:r>
    </w:p>
    <w:p>
      <w:pPr>
        <w:pStyle w:val="ListNumber"/>
      </w:pPr>
      <w:r>
        <w:rPr>
          <w:rFonts w:ascii="Arial Unicode MS" w:hAnsi="Arial Unicode MS" w:eastAsia="Arial Unicode MS"/>
          <w:sz w:val="22"/>
        </w:rPr>
        <w:t>统一封装层能够将 Agent 推理架构与 KG 后端解耦。更换 RDF、Neo4j 或三元组文件时，只需替换对应 Adapter，而不必修改上层评测逻辑。</w:t>
      </w:r>
    </w:p>
    <w:p>
      <w:pPr>
        <w:pStyle w:val="Heading2"/>
      </w:pPr>
      <w:r>
        <w:t>6.2 使用范围与最低实现</w:t>
      </w:r>
    </w:p>
    <w:p>
      <w:pPr/>
      <w:r>
        <w:rPr>
          <w:rFonts w:ascii="Arial Unicode MS" w:hAnsi="Arial Unicode MS" w:eastAsia="Arial Unicode MS"/>
          <w:sz w:val="22"/>
        </w:rPr>
        <w:t>KG 工具封装层属于未来可选实现，不是当前最小评价框架的强制要求。当前最低实现可仅要求：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所有 Agent 增加结构化答案输出节点；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所有 KG 工具记录 input、result 和 retrieved_entities；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能够记录三元组时再增加 retrieved_facts；</w:t>
      </w:r>
    </w:p>
    <w:p>
      <w:pPr>
        <w:pStyle w:val="ListBullet"/>
      </w:pPr>
      <w:r>
        <w:rPr>
          <w:rFonts w:ascii="Arial Unicode MS" w:hAnsi="Arial Unicode MS" w:eastAsia="Arial Unicode MS"/>
          <w:sz w:val="22"/>
        </w:rPr>
        <w:t>评测程序统一使用 predicted_answer 和 retrieved_entities 计算 Answer–Retrieved Result Consistency。</w:t>
      </w:r>
    </w:p>
    <w:p>
      <w:pPr/>
      <w:r>
        <w:rPr>
          <w:rFonts w:ascii="Arial Unicode MS" w:hAnsi="Arial Unicode MS" w:eastAsia="Arial Unicode MS"/>
          <w:sz w:val="22"/>
        </w:rPr>
        <w:t>当后续需要比较更多 Agent 架构或接入多个 KG 后端时，再实现统一 KG 工具封装层。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66666"/>
        <w:sz w:val="18"/>
      </w:rPr>
      <w:t>Agent 评测运行接口与日志设计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Agent输出日志设计及可能的运行接口</dc:title>
  <dc:subject>KG Agent 统一评测输出、日志与可选运行接口设计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