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Hiragino Sans GB" w:hAnsi="Hiragino Sans GB" w:eastAsia="Hiragino Sans GB"/>
          <w:b/>
          <w:color w:val="2E74B5"/>
          <w:sz w:val="26"/>
        </w:rPr>
        <w:t>FIRST MEETING</w:t>
      </w:r>
    </w:p>
    <w:p>
      <w:pPr>
        <w:spacing w:after="160"/>
        <w:jc w:val="center"/>
      </w:pPr>
      <w:r>
        <w:rPr>
          <w:rFonts w:ascii="Hiragino Sans GB" w:hAnsi="Hiragino Sans GB" w:eastAsia="Hiragino Sans GB"/>
          <w:b/>
          <w:color w:val="1F4D78"/>
          <w:sz w:val="54"/>
        </w:rPr>
        <w:t>Detailed Bilingual Thesis Summary</w:t>
      </w:r>
    </w:p>
    <w:p>
      <w:pPr>
        <w:spacing w:after="440"/>
        <w:jc w:val="center"/>
      </w:pPr>
      <w:r>
        <w:rPr>
          <w:rFonts w:ascii="Hiragino Sans GB" w:hAnsi="Hiragino Sans GB" w:eastAsia="Hiragino Sans GB"/>
          <w:b/>
          <w:color w:val="1F2C39"/>
          <w:sz w:val="40"/>
        </w:rPr>
        <w:t>第一次毕设会议详细中英文对照总结</w:t>
      </w:r>
    </w:p>
    <w:p>
      <w:pPr>
        <w:spacing w:after="520"/>
        <w:jc w:val="center"/>
      </w:pPr>
      <w:r>
        <w:rPr>
          <w:rFonts w:ascii="Hiragino Sans GB" w:hAnsi="Hiragino Sans GB" w:eastAsia="Hiragino Sans GB"/>
          <w:color w:val="5C6770"/>
          <w:sz w:val="22"/>
        </w:rPr>
        <w:t>Based strictly on the reviewed meeting transcript · 00:00–38:31</w:t>
        <w:br/>
        <w:t>严格依据校订版会议转录 · 00:00–38:31</w:t>
      </w:r>
    </w:p>
    <w:p>
      <w:pPr>
        <w:spacing w:before="240" w:after="160"/>
        <w:ind w:left="792" w:right="792"/>
        <w:shd w:fill="E8EEF5"/>
      </w:pPr>
      <w:r>
        <w:rPr>
          <w:rFonts w:ascii="Hiragino Sans GB" w:hAnsi="Hiragino Sans GB" w:eastAsia="Hiragino Sans GB"/>
          <w:color w:val="1F4D78"/>
          <w:sz w:val="20"/>
        </w:rPr>
        <w:t>Scope note / 范围说明</w:t>
        <w:br/>
        <w:t>This document summarizes only statements contained in the transcript. Ideas discussed as possibilities remain possibilities; uncertain names and terms retain their source markers.</w:t>
        <w:br/>
        <w:t>本文仅总结转录中出现的信息。讨论中的设想仍按设想表述；无法确认的姓名、机构和模型名称继续保留源文件标记。</w:t>
      </w:r>
    </w:p>
    <w:p>
      <w:r>
        <w:br w:type="page"/>
      </w:r>
    </w:p>
    <w:p>
      <w:pPr>
        <w:pStyle w:val="Heading1"/>
      </w:pPr>
      <w:r>
        <w:rPr>
          <w:rFonts w:ascii="Hiragino Sans GB" w:hAnsi="Hiragino Sans GB" w:eastAsia="Hiragino Sans GB"/>
          <w:b/>
          <w:color w:val="2E74B5"/>
          <w:sz w:val="32"/>
        </w:rPr>
        <w:t>Document Map / 文档结构</w:t>
      </w:r>
    </w:p>
    <w:p>
      <w:pPr>
        <w:pStyle w:val="BodyTextCustom"/>
      </w:pPr>
      <w:r>
        <w:rPr>
          <w:rFonts w:ascii="Hiragino Sans GB" w:hAnsi="Hiragino Sans GB" w:eastAsia="Hiragino Sans GB"/>
          <w:color w:val="1F2C39"/>
          <w:sz w:val="22"/>
        </w:rPr>
        <w:t>The meeting established a possible master’s-thesis direction around a knowledge-graph agent for specialized industrial and multi-agent production-logistics settings. The proposed work combines dataset review and possible redesign, development of a stronger second agent version, baseline comparisons, and a quantitative experimental evaluation. It also covered model-access options, registration prerequisites, supervision, and meeting arrangements.</w:t>
      </w:r>
    </w:p>
    <w:p>
      <w:pPr>
        <w:pStyle w:val="BodyTextCustom"/>
      </w:pPr>
      <w:r>
        <w:rPr>
          <w:rFonts w:ascii="Hiragino Sans GB" w:hAnsi="Hiragino Sans GB" w:eastAsia="Hiragino Sans GB"/>
          <w:color w:val="1F2C39"/>
          <w:sz w:val="22"/>
        </w:rPr>
        <w:t>会议围绕面向专业工业场景及多智能体生产物流系统的知识图谱智能体，提出了一个可能的硕士论文方向。拟开展的工作包括知识图谱问答数据集的调研与可能的重新设计、第二版智能体开发、基线比较和定量实验评估。会议还说明了模型访问方案、注册前提、指导分工与例会安排。</w:t>
      </w:r>
    </w:p>
    <w:p>
      <w:pPr>
        <w:spacing w:after="80"/>
        <w:ind w:left="259"/>
      </w:pPr>
      <w:r>
        <w:rPr>
          <w:rFonts w:ascii="Hiragino Sans GB" w:hAnsi="Hiragino Sans GB" w:eastAsia="Hiragino Sans GB"/>
          <w:b/>
          <w:color w:val="1F4D78"/>
          <w:sz w:val="20"/>
        </w:rPr>
        <w:t>01  Topic background and research positioning / 课题背景与研究定位</w:t>
      </w:r>
      <w:r>
        <w:rPr>
          <w:rFonts w:ascii="Hiragino Sans GB" w:hAnsi="Hiragino Sans GB" w:eastAsia="Hiragino Sans GB"/>
          <w:color w:val="5C6770"/>
          <w:sz w:val="18"/>
        </w:rPr>
        <w:t xml:space="preserve">   [00:00–12:39]</w:t>
      </w:r>
    </w:p>
    <w:p>
      <w:pPr>
        <w:spacing w:after="80"/>
        <w:ind w:left="259"/>
      </w:pPr>
      <w:r>
        <w:rPr>
          <w:rFonts w:ascii="Hiragino Sans GB" w:hAnsi="Hiragino Sans GB" w:eastAsia="Hiragino Sans GB"/>
          <w:b/>
          <w:color w:val="1F4D78"/>
          <w:sz w:val="20"/>
        </w:rPr>
        <w:t>02  Concrete thesis implementation / 具体要实施的毕设内容</w:t>
      </w:r>
      <w:r>
        <w:rPr>
          <w:rFonts w:ascii="Hiragino Sans GB" w:hAnsi="Hiragino Sans GB" w:eastAsia="Hiragino Sans GB"/>
          <w:color w:val="5C6770"/>
          <w:sz w:val="18"/>
        </w:rPr>
        <w:t xml:space="preserve">   [07:56–13:31]</w:t>
      </w:r>
    </w:p>
    <w:p>
      <w:pPr>
        <w:spacing w:after="80"/>
        <w:ind w:left="259"/>
      </w:pPr>
      <w:r>
        <w:rPr>
          <w:rFonts w:ascii="Hiragino Sans GB" w:hAnsi="Hiragino Sans GB" w:eastAsia="Hiragino Sans GB"/>
          <w:b/>
          <w:color w:val="1F4D78"/>
          <w:sz w:val="20"/>
        </w:rPr>
        <w:t>03  Implementation stages and methodology / 实施阶段与研究方法</w:t>
      </w:r>
      <w:r>
        <w:rPr>
          <w:rFonts w:ascii="Hiragino Sans GB" w:hAnsi="Hiragino Sans GB" w:eastAsia="Hiragino Sans GB"/>
          <w:color w:val="5C6770"/>
          <w:sz w:val="18"/>
        </w:rPr>
        <w:t xml:space="preserve">   [07:56–13:31; 24:25–26:28]</w:t>
      </w:r>
    </w:p>
    <w:p>
      <w:pPr>
        <w:spacing w:after="80"/>
        <w:ind w:left="259"/>
      </w:pPr>
      <w:r>
        <w:rPr>
          <w:rFonts w:ascii="Hiragino Sans GB" w:hAnsi="Hiragino Sans GB" w:eastAsia="Hiragino Sans GB"/>
          <w:b/>
          <w:color w:val="1F4D78"/>
          <w:sz w:val="20"/>
        </w:rPr>
        <w:t>04  Model deployment options / 模型部署方案</w:t>
      </w:r>
      <w:r>
        <w:rPr>
          <w:rFonts w:ascii="Hiragino Sans GB" w:hAnsi="Hiragino Sans GB" w:eastAsia="Hiragino Sans GB"/>
          <w:color w:val="5C6770"/>
          <w:sz w:val="18"/>
        </w:rPr>
        <w:t xml:space="preserve">   [26:30–33:48]</w:t>
      </w:r>
    </w:p>
    <w:p>
      <w:pPr>
        <w:spacing w:after="80"/>
        <w:ind w:left="259"/>
      </w:pPr>
      <w:r>
        <w:rPr>
          <w:rFonts w:ascii="Hiragino Sans GB" w:hAnsi="Hiragino Sans GB" w:eastAsia="Hiragino Sans GB"/>
          <w:b/>
          <w:color w:val="1F4D78"/>
          <w:sz w:val="20"/>
        </w:rPr>
        <w:t>05  Experimental design and evaluation / 实验设计与评估</w:t>
      </w:r>
      <w:r>
        <w:rPr>
          <w:rFonts w:ascii="Hiragino Sans GB" w:hAnsi="Hiragino Sans GB" w:eastAsia="Hiragino Sans GB"/>
          <w:color w:val="5C6770"/>
          <w:sz w:val="18"/>
        </w:rPr>
        <w:t xml:space="preserve">   [11:29–13:31; 28:31–31:31]</w:t>
      </w:r>
    </w:p>
    <w:p>
      <w:pPr>
        <w:spacing w:after="80"/>
        <w:ind w:left="259"/>
      </w:pPr>
      <w:r>
        <w:rPr>
          <w:rFonts w:ascii="Hiragino Sans GB" w:hAnsi="Hiragino Sans GB" w:eastAsia="Hiragino Sans GB"/>
          <w:b/>
          <w:color w:val="1F4D78"/>
          <w:sz w:val="20"/>
        </w:rPr>
        <w:t>06  Administrative registration process / 行政注册流程</w:t>
      </w:r>
      <w:r>
        <w:rPr>
          <w:rFonts w:ascii="Hiragino Sans GB" w:hAnsi="Hiragino Sans GB" w:eastAsia="Hiragino Sans GB"/>
          <w:color w:val="5C6770"/>
          <w:sz w:val="18"/>
        </w:rPr>
        <w:t xml:space="preserve">   [14:16–24:10; 34:58–36:14]</w:t>
      </w:r>
    </w:p>
    <w:p>
      <w:pPr>
        <w:spacing w:after="80"/>
        <w:ind w:left="259"/>
      </w:pPr>
      <w:r>
        <w:rPr>
          <w:rFonts w:ascii="Hiragino Sans GB" w:hAnsi="Hiragino Sans GB" w:eastAsia="Hiragino Sans GB"/>
          <w:b/>
          <w:color w:val="1F4D78"/>
          <w:sz w:val="20"/>
        </w:rPr>
        <w:t>07  Supervision and communication / 指导与沟通安排</w:t>
      </w:r>
      <w:r>
        <w:rPr>
          <w:rFonts w:ascii="Hiragino Sans GB" w:hAnsi="Hiragino Sans GB" w:eastAsia="Hiragino Sans GB"/>
          <w:color w:val="5C6770"/>
          <w:sz w:val="18"/>
        </w:rPr>
        <w:t xml:space="preserve">   [14:42–15:13; 24:25–25:40; 33:57–38:08]</w:t>
      </w:r>
    </w:p>
    <w:p>
      <w:pPr>
        <w:spacing w:after="80"/>
        <w:ind w:left="259"/>
      </w:pPr>
      <w:r>
        <w:rPr>
          <w:rFonts w:ascii="Hiragino Sans GB" w:hAnsi="Hiragino Sans GB" w:eastAsia="Hiragino Sans GB"/>
          <w:b/>
          <w:color w:val="1F4D78"/>
          <w:sz w:val="20"/>
        </w:rPr>
        <w:t>08  Risks and items requiring confirmation / 风险与待确认事项</w:t>
      </w:r>
      <w:r>
        <w:rPr>
          <w:rFonts w:ascii="Hiragino Sans GB" w:hAnsi="Hiragino Sans GB" w:eastAsia="Hiragino Sans GB"/>
          <w:color w:val="5C6770"/>
          <w:sz w:val="18"/>
        </w:rPr>
        <w:t xml:space="preserve">   [Throughout / 全程]</w:t>
      </w:r>
    </w:p>
    <w:p>
      <w:pPr>
        <w:pStyle w:val="Heading1"/>
        <w:keepNext/>
        <w:pageBreakBefore w:val="0"/>
      </w:pPr>
      <w:r>
        <w:rPr>
          <w:rFonts w:ascii="Hiragino Sans GB" w:hAnsi="Hiragino Sans GB" w:eastAsia="Hiragino Sans GB"/>
          <w:b/>
          <w:color w:val="2E74B5"/>
          <w:sz w:val="32"/>
        </w:rPr>
        <w:t>1. Topic Background and Research Positioning / 课题背景与研究定位</w:t>
      </w:r>
    </w:p>
    <w:p>
      <w:pPr>
        <w:keepNext/>
        <w:spacing w:after="140"/>
        <w:shd w:fill="E8EEF5"/>
      </w:pPr>
      <w:r>
        <w:rPr>
          <w:rFonts w:ascii="Hiragino Sans GB" w:hAnsi="Hiragino Sans GB" w:eastAsia="Hiragino Sans GB"/>
          <w:b/>
          <w:color w:val="1F4D78"/>
          <w:sz w:val="19"/>
        </w:rPr>
        <w:t xml:space="preserve">  Main transcript interval / 主要会议时间段: 00:00–12:39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thesis topic grows out of the supervisor’s earlier work on a knowledge graph for the “factory of the future” and a first knowledge-graph agent prototype. Although the supervisor is no longer part of the earlier project and is now conducting postdoctoral research at KTH in Stockholm, the agent remains relevant to a current multi-agent project on self-organizing production logistics. In that setting, the knowledge-graph agent would form part of a larger multi-agent system.</w:t>
      </w:r>
    </w:p>
    <w:p>
      <w:pPr>
        <w:pStyle w:val="BodyTextCustom"/>
      </w:pPr>
      <w:r>
        <w:rPr>
          <w:rFonts w:ascii="Hiragino Sans GB" w:hAnsi="Hiragino Sans GB" w:eastAsia="Hiragino Sans GB"/>
          <w:color w:val="1F2C39"/>
          <w:sz w:val="22"/>
        </w:rPr>
        <w:t>The intended graph is domain-specific. It may describe the production-logistics system, its agents, their capabilities, and how they can communicate. Example questions would concern what Agent A can do or how another agent can interact with it. This is materially different from general-knowledge questions about well-known people, because the underlying facts should be specialized and absent from the language model’s training data.</w:t>
      </w:r>
    </w:p>
    <w:p>
      <w:pPr>
        <w:pStyle w:val="BodyTextCustom"/>
      </w:pPr>
      <w:r>
        <w:rPr>
          <w:rFonts w:ascii="Hiragino Sans GB" w:hAnsi="Hiragino Sans GB" w:eastAsia="Hiragino Sans GB"/>
          <w:color w:val="1F2C39"/>
          <w:sz w:val="22"/>
        </w:rPr>
        <w:t>The first agent version was described as a quick prototype and no longer representative of current possibilities. Its value is that it provides a working starting point. The research position is therefore not to begin from zero, but to rethink both the agent and the way such an agent should be evaluated in an LLM-era, specialized-domain setting.</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该课题源于导师此前参与的“未来工厂”知识图谱项目以及由此开发的第一版知识图谱智能体原型。虽然导师已不再参与原项目，目前在斯德哥尔摩 KTH 开展博士后研究，但该智能体仍与当前的“自组织生产物流”多智能体项目相关。在这一场景中，知识图谱智能体将作为更大规模多智能体系统的一部分。</w:t>
      </w:r>
    </w:p>
    <w:p>
      <w:pPr>
        <w:pStyle w:val="BodyTextCustom"/>
      </w:pPr>
      <w:r>
        <w:rPr>
          <w:rFonts w:ascii="Hiragino Sans GB" w:hAnsi="Hiragino Sans GB" w:eastAsia="Hiragino Sans GB"/>
          <w:color w:val="1F2C39"/>
          <w:sz w:val="22"/>
        </w:rPr>
        <w:t>目标知识图谱具有明显的专业领域属性，可能用于描述生产物流系统、系统内的智能体、各智能体的能力以及通信方式。例如，系统需要回答“智能体 A 能做什么”或“如何与它通信”等问题。这与有关知名人物的通用知识问答有本质区别，因为这些专业事实原则上不应包含在语言模型的训练数据中。</w:t>
      </w:r>
    </w:p>
    <w:p>
      <w:pPr>
        <w:pStyle w:val="BodyTextCustom"/>
      </w:pPr>
      <w:r>
        <w:rPr>
          <w:rFonts w:ascii="Hiragino Sans GB" w:hAnsi="Hiragino Sans GB" w:eastAsia="Hiragino Sans GB"/>
          <w:color w:val="1F2C39"/>
          <w:sz w:val="22"/>
        </w:rPr>
        <w:t>第一版智能体被明确描述为快速原型，已不能代表当前可采用的方法，但它提供了一个可运行的起点。因此，本课题不是从零开始，而是要在 LLM 时代和专业应用背景下，同时重新思考智能体设计与评估方式。</w:t>
      </w:r>
    </w:p>
    <w:p>
      <w:pPr>
        <w:pStyle w:val="Heading1"/>
        <w:keepNext/>
        <w:pageBreakBefore w:val="0"/>
      </w:pPr>
      <w:r>
        <w:rPr>
          <w:rFonts w:ascii="Hiragino Sans GB" w:hAnsi="Hiragino Sans GB" w:eastAsia="Hiragino Sans GB"/>
          <w:b/>
          <w:color w:val="2E74B5"/>
          <w:sz w:val="32"/>
        </w:rPr>
        <w:t>2. Concrete Thesis Implementation / 具体要实施的毕设内容</w:t>
      </w:r>
    </w:p>
    <w:p>
      <w:pPr>
        <w:keepNext/>
        <w:spacing w:after="140"/>
        <w:shd w:fill="E8EEF5"/>
      </w:pPr>
      <w:r>
        <w:rPr>
          <w:rFonts w:ascii="Hiragino Sans GB" w:hAnsi="Hiragino Sans GB" w:eastAsia="Hiragino Sans GB"/>
          <w:b/>
          <w:color w:val="1F4D78"/>
          <w:sz w:val="19"/>
        </w:rPr>
        <w:t xml:space="preserve">  Main transcript interval / 主要会议时间段: 07:56–13:31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First, review existing knowledge-graph question-answering datasets: identify what datasets exist, how they are structured, how they are used, and whether they genuinely require graph-based reasoning. The central concern is that widely used datasets may contain questions that an LLM can answer from pretraining alone, making it unclear whether the graph was used correctly.</w:t>
      </w:r>
    </w:p>
    <w:p>
      <w:pPr>
        <w:pStyle w:val="BodyTextCustom"/>
      </w:pPr>
      <w:r>
        <w:rPr>
          <w:rFonts w:ascii="Hiragino Sans GB" w:hAnsi="Hiragino Sans GB" w:eastAsia="Hiragino Sans GB"/>
          <w:color w:val="1F2C39"/>
          <w:sz w:val="22"/>
        </w:rPr>
        <w:t>Second, define what an appropriate dataset for the intended specialized application should look like. The work may include proposing a new structure and considering how corresponding data could be generated. The discussion leaves open whether a complete new dataset must be produced; at minimum, the thesis should articulate the required structure and evaluation properties.</w:t>
      </w:r>
    </w:p>
    <w:p>
      <w:pPr>
        <w:pStyle w:val="BodyTextCustom"/>
      </w:pPr>
      <w:r>
        <w:rPr>
          <w:rFonts w:ascii="Hiragino Sans GB" w:hAnsi="Hiragino Sans GB" w:eastAsia="Hiragino Sans GB"/>
          <w:color w:val="1F2C39"/>
          <w:sz w:val="22"/>
        </w:rPr>
        <w:t>Third, design one or more improved agent versions based on the first prototype and compare them. “Better” must be operationally defined rather than assumed. Fourth, consider fair baselines, including a RAG approach that stores the same information in a vector database, while recognizing that the suitability and fairness of this comparison require careful design.</w:t>
      </w:r>
    </w:p>
    <w:p>
      <w:pPr>
        <w:pStyle w:val="BodyTextCustom"/>
      </w:pPr>
      <w:r>
        <w:rPr>
          <w:rFonts w:ascii="Hiragino Sans GB" w:hAnsi="Hiragino Sans GB" w:eastAsia="Hiragino Sans GB"/>
          <w:color w:val="1F2C39"/>
          <w:sz w:val="22"/>
        </w:rPr>
        <w:t>Finally, produce an experimental design, execute evaluations on appropriate old and/or newly designed data, and obtain quantitative results. The resulting thesis structure would connect dataset analysis, agent redesign, baseline selection, experiment design, and measured outcomes.</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第一，调研现有知识图谱问答数据集：识别有哪些数据集、它们如何组织、如何被使用，以及问题是否真正要求基于图进行推理。核心问题在于，常用数据集中的问题可能仅凭 LLM 的预训练知识就能回答，因此无法判断模型是否正确使用了知识图谱。</w:t>
      </w:r>
    </w:p>
    <w:p>
      <w:pPr>
        <w:pStyle w:val="BodyTextCustom"/>
      </w:pPr>
      <w:r>
        <w:rPr>
          <w:rFonts w:ascii="Hiragino Sans GB" w:hAnsi="Hiragino Sans GB" w:eastAsia="Hiragino Sans GB"/>
          <w:color w:val="1F2C39"/>
          <w:sz w:val="22"/>
        </w:rPr>
        <w:t>第二，定义适合目标专业应用的数据集应具有什么形式。工作可能包括提出新的数据结构，并进一步考虑如何生成相应数据。会议没有最终确定是否必须完整构建一个新数据集；至少需要说明数据集应具备的结构与评估属性。</w:t>
      </w:r>
    </w:p>
    <w:p>
      <w:pPr>
        <w:pStyle w:val="BodyTextCustom"/>
      </w:pPr>
      <w:r>
        <w:rPr>
          <w:rFonts w:ascii="Hiragino Sans GB" w:hAnsi="Hiragino Sans GB" w:eastAsia="Hiragino Sans GB"/>
          <w:color w:val="1F2C39"/>
          <w:sz w:val="22"/>
        </w:rPr>
        <w:t>第三，在第一版原型基础上设计一个或多个改进版智能体，并进行比较。“更好”的含义必须转化为可测量的定义，而不能直接假定。第四，考虑公平的基线方法，其中包括把同样的信息存入向量数据库并运行 RAG；但这种比较是否合适、怎样保证公平，仍需在实验设计中解决。</w:t>
      </w:r>
    </w:p>
    <w:p>
      <w:pPr>
        <w:pStyle w:val="BodyTextCustom"/>
      </w:pPr>
      <w:r>
        <w:rPr>
          <w:rFonts w:ascii="Hiragino Sans GB" w:hAnsi="Hiragino Sans GB" w:eastAsia="Hiragino Sans GB"/>
          <w:color w:val="1F2C39"/>
          <w:sz w:val="22"/>
        </w:rPr>
        <w:t>最后，形成正式实验方案，在合适的旧数据集和/或新设计的数据上执行评估，并获得定量结果。论文可由数据集分析、智能体重设计、基线选择、实验设计和结果评价串联成完整结构。</w:t>
      </w:r>
    </w:p>
    <w:p>
      <w:pPr>
        <w:pStyle w:val="Heading1"/>
        <w:keepNext/>
        <w:pageBreakBefore/>
      </w:pPr>
      <w:r>
        <w:rPr>
          <w:rFonts w:ascii="Hiragino Sans GB" w:hAnsi="Hiragino Sans GB" w:eastAsia="Hiragino Sans GB"/>
          <w:b/>
          <w:color w:val="2E74B5"/>
          <w:sz w:val="32"/>
        </w:rPr>
        <w:t>3. Implementation Stages and Research Methodology / 实施阶段与研究方法</w:t>
      </w:r>
    </w:p>
    <w:p>
      <w:pPr>
        <w:keepNext/>
        <w:spacing w:after="140"/>
        <w:shd w:fill="E8EEF5"/>
      </w:pPr>
      <w:r>
        <w:rPr>
          <w:rFonts w:ascii="Hiragino Sans GB" w:hAnsi="Hiragino Sans GB" w:eastAsia="Hiragino Sans GB"/>
          <w:b/>
          <w:color w:val="1F4D78"/>
          <w:sz w:val="19"/>
        </w:rPr>
        <w:t xml:space="preserve">  Main transcript interval / 主要会议时间段: 07:56–13:31; 24:25–26:28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work should begin with problem framing rather than large-scale implementation. The immediate research task is a structured review of knowledge-graph QA datasets and their evaluation logic. This review should determine whether current datasets isolate graph use from LLM memorization and should extract design requirements for a specialized, post-LLM evaluation dataset.</w:t>
      </w:r>
    </w:p>
    <w:p>
      <w:pPr>
        <w:pStyle w:val="BodyTextCustom"/>
      </w:pPr>
      <w:r>
        <w:rPr>
          <w:rFonts w:ascii="Hiragino Sans GB" w:hAnsi="Hiragino Sans GB" w:eastAsia="Hiragino Sans GB"/>
          <w:color w:val="1F2C39"/>
          <w:sz w:val="22"/>
        </w:rPr>
        <w:t>The next stage is concept and prototype design. The student should formulate the thesis scope and expected outcomes in the one-page Exposé and a general roadmap or time plan. Based on the existing version-one code and workflow already reproduced by the student, version two can then be designed deliberately. During this stage, inexpensive cloud calls or available local models can be used to verify functionality, not to run the final experimental campaign.</w:t>
      </w:r>
    </w:p>
    <w:p>
      <w:pPr>
        <w:pStyle w:val="BodyTextCustom"/>
      </w:pPr>
      <w:r>
        <w:rPr>
          <w:rFonts w:ascii="Hiragino Sans GB" w:hAnsi="Hiragino Sans GB" w:eastAsia="Hiragino Sans GB"/>
          <w:color w:val="1F2C39"/>
          <w:sz w:val="22"/>
        </w:rPr>
        <w:t>The methodology then moves to controlled comparison. Candidate agent variants and baselines should receive equivalent information and be tested on questions whose answers depend on the supplied graph or database. Metrics, repetitions, model choices, datasets, and comparison conditions must be specified before the final run. The final stage is quantitative evaluation, including repeated executions to obtain a result distribution rather than relying on one answer per question.</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实施应从问题界定开始，而不是直接进入大规模开发。近期研究任务是系统调研知识图谱问答数据集及其评估逻辑，判断现有数据集能否把“使用知识图谱”与“依靠 LLM 记忆”区分开，并提炼适用于专业场景、面向 LLM 时代的新评估数据集设计要求。</w:t>
      </w:r>
    </w:p>
    <w:p>
      <w:pPr>
        <w:pStyle w:val="BodyTextCustom"/>
      </w:pPr>
      <w:r>
        <w:rPr>
          <w:rFonts w:ascii="Hiragino Sans GB" w:hAnsi="Hiragino Sans GB" w:eastAsia="Hiragino Sans GB"/>
          <w:color w:val="1F2C39"/>
          <w:sz w:val="22"/>
        </w:rPr>
        <w:t>下一阶段是概念与原型设计。学生需要通过一页 Exposé、总体路线图或时间计划明确论文范围与预期产出。在已经复现第一版代码并理解其工作流程的基础上，再有针对性地设计第二版。原型阶段可使用低成本云端调用或可获得的本地模型验证功能，但不进行最终的大规模实验。</w:t>
      </w:r>
    </w:p>
    <w:p>
      <w:pPr>
        <w:pStyle w:val="BodyTextCustom"/>
      </w:pPr>
      <w:r>
        <w:rPr>
          <w:rFonts w:ascii="Hiragino Sans GB" w:hAnsi="Hiragino Sans GB" w:eastAsia="Hiragino Sans GB"/>
          <w:color w:val="1F2C39"/>
          <w:sz w:val="22"/>
        </w:rPr>
        <w:t>随后进入受控比较阶段。候选智能体版本与基线应获得等价的信息输入，并在确实需要依赖所给知识图谱或数据库的问题上测试。最终运行之前，需要确定指标、重复次数、模型、数据集和比较条件。最后开展定量评估；同一问题应重复运行，以获得结果分布，而不是只依据单次回答。</w:t>
      </w:r>
    </w:p>
    <w:p>
      <w:pPr>
        <w:pStyle w:val="Heading1"/>
        <w:keepNext/>
        <w:pageBreakBefore w:val="0"/>
      </w:pPr>
      <w:r>
        <w:rPr>
          <w:rFonts w:ascii="Hiragino Sans GB" w:hAnsi="Hiragino Sans GB" w:eastAsia="Hiragino Sans GB"/>
          <w:b/>
          <w:color w:val="2E74B5"/>
          <w:sz w:val="32"/>
        </w:rPr>
        <w:t>4. Model Deployment Options / 模型部署方案</w:t>
      </w:r>
    </w:p>
    <w:p>
      <w:pPr>
        <w:keepNext/>
        <w:spacing w:after="140"/>
        <w:shd w:fill="E8EEF5"/>
      </w:pPr>
      <w:r>
        <w:rPr>
          <w:rFonts w:ascii="Hiragino Sans GB" w:hAnsi="Hiragino Sans GB" w:eastAsia="Hiragino Sans GB"/>
          <w:b/>
          <w:color w:val="1F4D78"/>
          <w:sz w:val="19"/>
        </w:rPr>
        <w:t xml:space="preserve">  Main transcript interval / 主要会议时间段: 26:30–33:48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primary proposed route for prototyping is cloud access through an OpenRouter API key supplied by the supervisor. According to the meeting, OpenRouter can be integrated easily with LangGraph and LangChain, routes requests to multiple hosted models, and makes model switching simple. The supervisor would provide initial credits for low-volume prototype work. Final model selection is intentionally deferred because available models may change during the six-month thesis period.</w:t>
      </w:r>
    </w:p>
    <w:p>
      <w:pPr>
        <w:pStyle w:val="BodyTextCustom"/>
      </w:pPr>
      <w:r>
        <w:rPr>
          <w:rFonts w:ascii="Hiragino Sans GB" w:hAnsi="Hiragino Sans GB" w:eastAsia="Hiragino Sans GB"/>
          <w:color w:val="1F2C39"/>
          <w:sz w:val="22"/>
        </w:rPr>
        <w:t>Cloud use is paid by usage. After the experimental design is fixed, prototype token usage and model prices can be used to estimate the scale and cost of the full evaluation, after which additional credits may be allocated. The first-version evaluation reportedly cost about USD 10, but this figure is only historical context and not a budget prediction for the thesis.</w:t>
      </w:r>
    </w:p>
    <w:p>
      <w:pPr>
        <w:pStyle w:val="BodyTextCustom"/>
      </w:pPr>
      <w:r>
        <w:rPr>
          <w:rFonts w:ascii="Hiragino Sans GB" w:hAnsi="Hiragino Sans GB" w:eastAsia="Hiragino Sans GB"/>
          <w:color w:val="1F2C39"/>
          <w:sz w:val="22"/>
        </w:rPr>
        <w:t>A second, still unverified option is remote use of the supervisor’s KIT workstation with an NVIDIA RTX 4090 through Ollama. The supervisor needs to check whether only the Ollama endpoint can be exposed through the KIT network; SSH was mentioned but would provide broader system access. The machine reportedly ran a roughly 30-billion-parameter Qwen model [uncertain], close to the practical single-GPU memory limit. If feasible, this route could support local-model tests without cloud call charges.</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原型阶段的首选建议是使用导师提供的 OpenRouter API Key 访问云端模型。根据会议内容，OpenRouter 可较方便地与 LangGraph、LangChain 集成，能够把请求路由到多种托管模型，并便于切换模型。导师计划提供少量初始额度，用于低调用量的原型开发。由于六个月内模型生态可能变化，正式实验采用的模型暂不提前锁定。</w:t>
      </w:r>
    </w:p>
    <w:p>
      <w:pPr>
        <w:pStyle w:val="BodyTextCustom"/>
      </w:pPr>
      <w:r>
        <w:rPr>
          <w:rFonts w:ascii="Hiragino Sans GB" w:hAnsi="Hiragino Sans GB" w:eastAsia="Hiragino Sans GB"/>
          <w:color w:val="1F2C39"/>
          <w:sz w:val="22"/>
        </w:rPr>
        <w:t>云端使用按调用量计费。实验设计确定后，可根据原型测试中的 Token 用量与模型价格估算正式评估的规模和费用，再决定追加额度。导师提到第一版智能体的评估约花费 10 美元，但该数字只是历史背景，不能视为本课题的预算预测。</w:t>
      </w:r>
    </w:p>
    <w:p>
      <w:pPr>
        <w:pStyle w:val="BodyTextCustom"/>
      </w:pPr>
      <w:r>
        <w:rPr>
          <w:rFonts w:ascii="Hiragino Sans GB" w:hAnsi="Hiragino Sans GB" w:eastAsia="Hiragino Sans GB"/>
          <w:color w:val="1F2C39"/>
          <w:sz w:val="22"/>
        </w:rPr>
        <w:t>第二种尚未验证的方案，是通过 Ollama 远程使用导师位于 KIT、配备 NVIDIA RTX 4090 的工作站。导师需要确认能否仅通过 KIT 网络开放 Ollama API Endpoint；SSH 也被提及，但会提供更广泛的系统访问权限。该机器据称曾运行约 300 亿参数的 Qwen 模型〔待确认〕，并已接近单卡显存上限。如果配置可行，此方案可用于无需支付云端调用费用的本地模型测试。</w:t>
      </w:r>
    </w:p>
    <w:p>
      <w:pPr>
        <w:pStyle w:val="Heading1"/>
        <w:keepNext/>
        <w:pageBreakBefore/>
      </w:pPr>
      <w:r>
        <w:rPr>
          <w:rFonts w:ascii="Hiragino Sans GB" w:hAnsi="Hiragino Sans GB" w:eastAsia="Hiragino Sans GB"/>
          <w:b/>
          <w:color w:val="2E74B5"/>
          <w:sz w:val="32"/>
        </w:rPr>
        <w:t>5. Experimental Design and Evaluation / 实验设计与评估</w:t>
      </w:r>
    </w:p>
    <w:p>
      <w:pPr>
        <w:keepNext/>
        <w:spacing w:after="140"/>
        <w:shd w:fill="E8EEF5"/>
      </w:pPr>
      <w:r>
        <w:rPr>
          <w:rFonts w:ascii="Hiragino Sans GB" w:hAnsi="Hiragino Sans GB" w:eastAsia="Hiragino Sans GB"/>
          <w:b/>
          <w:color w:val="1F4D78"/>
          <w:sz w:val="19"/>
        </w:rPr>
        <w:t xml:space="preserve">  Main transcript interval / 主要会议时间段: 11:29–13:31; 28:31–31:31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experiment must answer two linked questions: whether the agent actually uses the supplied knowledge graph, and whether a redesigned agent performs better than the first version and relevant baselines. Evaluation on a legacy pre-LLM dataset was proposed as one comparison, potentially complemented by a newly structured or generated dataset designed for unknown, specialized entities.</w:t>
      </w:r>
    </w:p>
    <w:p>
      <w:pPr>
        <w:pStyle w:val="BodyTextCustom"/>
      </w:pPr>
      <w:r>
        <w:rPr>
          <w:rFonts w:ascii="Hiragino Sans GB" w:hAnsi="Hiragino Sans GB" w:eastAsia="Hiragino Sans GB"/>
          <w:color w:val="1F2C39"/>
          <w:sz w:val="22"/>
        </w:rPr>
        <w:t>The design should explicitly define the compared systems, metrics, datasets, model configurations, repetition count, and fairness conditions. A RAG baseline may place the same information in a vector database and attempt the same questions. The transcript does not prescribe final metrics; selecting them is part of the thesis. Likewise, the specific models for the final experiment remain undecided.</w:t>
      </w:r>
    </w:p>
    <w:p>
      <w:pPr>
        <w:pStyle w:val="BodyTextCustom"/>
      </w:pPr>
      <w:r>
        <w:rPr>
          <w:rFonts w:ascii="Hiragino Sans GB" w:hAnsi="Hiragino Sans GB" w:eastAsia="Hiragino Sans GB"/>
          <w:color w:val="1F2C39"/>
          <w:sz w:val="22"/>
        </w:rPr>
        <w:t>Repeated runs are necessary because each question should not be executed only once; distributions are needed. This increases the number of LLM calls and makes the evaluation phase substantially more expensive than prototyping. Cost control should therefore be part of the design: estimate tokens and calls from prototype traces, calculate the projected full-run cost, and scale the experiment to an appropriate level before adding credits and executing it.</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实验需要回答两个相互关联的问题：智能体是否真正使用了提供的知识图谱，以及重新设计的智能体是否优于第一版和相关基线。会议提出，可在 LLM 出现前创建的旧数据集上进行一组比较，并可能增加一个针对未知专业实体重新设计或生成的数据集。</w:t>
      </w:r>
    </w:p>
    <w:p>
      <w:pPr>
        <w:pStyle w:val="BodyTextCustom"/>
      </w:pPr>
      <w:r>
        <w:rPr>
          <w:rFonts w:ascii="Hiragino Sans GB" w:hAnsi="Hiragino Sans GB" w:eastAsia="Hiragino Sans GB"/>
          <w:color w:val="1F2C39"/>
          <w:sz w:val="22"/>
        </w:rPr>
        <w:t>实验方案需要明确比较对象、评价指标、数据集、模型配置、重复次数和公平性条件。RAG 基线可以把相同信息放入向量数据库，再回答相同问题。转录没有规定最终指标，指标选择本身属于论文工作；正式实验使用哪些具体模型同样尚未决定。</w:t>
      </w:r>
    </w:p>
    <w:p>
      <w:pPr>
        <w:pStyle w:val="BodyTextCustom"/>
      </w:pPr>
      <w:r>
        <w:rPr>
          <w:rFonts w:ascii="Hiragino Sans GB" w:hAnsi="Hiragino Sans GB" w:eastAsia="Hiragino Sans GB"/>
          <w:color w:val="1F2C39"/>
          <w:sz w:val="22"/>
        </w:rPr>
        <w:t>每个问题不能只运行一次，而应重复执行并获得结果分布。这会显著增加 LLM 调用次数，使评估阶段的成本远高于原型阶段。因此，成本控制应纳入实验设计：利用原型运行记录估计 Token 和调用数量，计算完整实验的预期费用，在追加额度和正式运行前把实验规模调整到合理水平。</w:t>
      </w:r>
    </w:p>
    <w:p>
      <w:pPr>
        <w:pStyle w:val="Heading1"/>
        <w:keepNext/>
        <w:pageBreakBefore w:val="0"/>
      </w:pPr>
      <w:r>
        <w:rPr>
          <w:rFonts w:ascii="Hiragino Sans GB" w:hAnsi="Hiragino Sans GB" w:eastAsia="Hiragino Sans GB"/>
          <w:b/>
          <w:color w:val="2E74B5"/>
          <w:sz w:val="32"/>
        </w:rPr>
        <w:t>6. Administrative Registration Process / 行政注册流程</w:t>
      </w:r>
    </w:p>
    <w:p>
      <w:pPr>
        <w:keepNext/>
        <w:spacing w:after="140"/>
        <w:shd w:fill="E8EEF5"/>
      </w:pPr>
      <w:r>
        <w:rPr>
          <w:rFonts w:ascii="Hiragino Sans GB" w:hAnsi="Hiragino Sans GB" w:eastAsia="Hiragino Sans GB"/>
          <w:b/>
          <w:color w:val="1F4D78"/>
          <w:sz w:val="19"/>
        </w:rPr>
        <w:t xml:space="preserve">  Main transcript interval / 主要会议时间段: 14:16–24:10; 34:58–36:14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supervisor will guide the technical content, while a former KIT colleague is expected to handle more of the organizational setup. Professor Furmans [uncertain] was identified as the examiner at the institute. The supervisor stated that Professor Furmans [uncertain] can supervise students in Mechatronics and Information Technology, so an additional supervisor from the student’s own faculty was not considered necessary in the meeting.</w:t>
      </w:r>
    </w:p>
    <w:p>
      <w:pPr>
        <w:pStyle w:val="BodyTextCustom"/>
      </w:pPr>
      <w:r>
        <w:rPr>
          <w:rFonts w:ascii="Hiragino Sans GB" w:hAnsi="Hiragino Sans GB" w:eastAsia="Hiragino Sans GB"/>
          <w:color w:val="1F2C39"/>
          <w:sz w:val="22"/>
        </w:rPr>
        <w:t>Two institute-level requirements were described. First, every thesis student at the IFL [uncertain] must attend the in-person Scientific Writing Workshop. The next session mentioned in the transcript is 19 August, 1:00–4:00 p.m. It cannot be attended online. The transcript says there is no separate registration process and the student should simply attend; an ILIAS course and an institute help page contain further information. The exact room name is not present in the text, only that it is at the IFL [uncertain].</w:t>
      </w:r>
    </w:p>
    <w:p>
      <w:pPr>
        <w:pStyle w:val="BodyTextCustom"/>
      </w:pPr>
      <w:r>
        <w:rPr>
          <w:rFonts w:ascii="Hiragino Sans GB" w:hAnsi="Hiragino Sans GB" w:eastAsia="Hiragino Sans GB"/>
          <w:color w:val="1F2C39"/>
          <w:sz w:val="22"/>
        </w:rPr>
        <w:t>Second, the student must prepare a one-page Exposé describing the planned thesis. The supervisor will send a previous student’s template. The Exposé is submitted to Professor Furmans [uncertain] for review and signature, which confirms approval of the topic. After signature, the thesis is created in the Campus system and assigned to the student. The system checks eligibility, including sufficient master’s credits and other applicable criteria. The student then receives an email and must accept the thesis; acceptance completes the formal registration.</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导师负责论文技术内容的直接指导，导师的一位前 KIT 同事预计更多承担组织与行政设置工作。研究所的考试负责人被表述为 Furmans 教授〔待确认〕。导师表示，Furmans 教授〔待确认〕可以指导“机电一体化与信息技术”专业学生，因此会议认为无需再从学生本院系另找一位导师。</w:t>
      </w:r>
    </w:p>
    <w:p>
      <w:pPr>
        <w:pStyle w:val="BodyTextCustom"/>
      </w:pPr>
      <w:r>
        <w:rPr>
          <w:rFonts w:ascii="Hiragino Sans GB" w:hAnsi="Hiragino Sans GB" w:eastAsia="Hiragino Sans GB"/>
          <w:color w:val="1F2C39"/>
          <w:sz w:val="22"/>
        </w:rPr>
        <w:t>会议说明了两项研究所层面的要求。第一，所有在 IFL〔待确认〕完成毕业论文的学生都必须线下参加 Scientific Writing Workshop。转录中提到的最近一期为 8 月 19 日 13:00–16:00，不能线上参加。根据转录，无需单独报名，直接到场即可；ILIAS 课程和研究所帮助页面会提供更多信息。正文未记录具体房间名称，只说明地点位于 IFL〔待确认〕。</w:t>
      </w:r>
    </w:p>
    <w:p>
      <w:pPr>
        <w:pStyle w:val="BodyTextCustom"/>
      </w:pPr>
      <w:r>
        <w:rPr>
          <w:rFonts w:ascii="Hiragino Sans GB" w:hAnsi="Hiragino Sans GB" w:eastAsia="Hiragino Sans GB"/>
          <w:color w:val="1F2C39"/>
          <w:sz w:val="22"/>
        </w:rPr>
        <w:t>第二，学生必须准备一页 Exposé，说明论文计划。导师会发送此前学生使用的模板。Exposé 提交给 Furmans 教授〔待确认〕审阅和签字，签字表示课题获准开展。随后在 Campus 系统中创建论文并把学生分配到该课题；系统将自动检查硕士学分等资格条件。学生之后会收到邮件，并需要确认接受该论文；完成接受后即正式注册。</w:t>
      </w:r>
    </w:p>
    <w:p>
      <w:pPr>
        <w:pStyle w:val="Heading1"/>
        <w:keepNext/>
        <w:pageBreakBefore/>
      </w:pPr>
      <w:r>
        <w:rPr>
          <w:rFonts w:ascii="Hiragino Sans GB" w:hAnsi="Hiragino Sans GB" w:eastAsia="Hiragino Sans GB"/>
          <w:b/>
          <w:color w:val="2E74B5"/>
          <w:sz w:val="32"/>
        </w:rPr>
        <w:t>7. Supervision and Communication Arrangements / 指导与沟通安排</w:t>
      </w:r>
    </w:p>
    <w:p>
      <w:pPr>
        <w:keepNext/>
        <w:spacing w:after="140"/>
        <w:shd w:fill="E8EEF5"/>
      </w:pPr>
      <w:r>
        <w:rPr>
          <w:rFonts w:ascii="Hiragino Sans GB" w:hAnsi="Hiragino Sans GB" w:eastAsia="Hiragino Sans GB"/>
          <w:b/>
          <w:color w:val="1F4D78"/>
          <w:sz w:val="19"/>
        </w:rPr>
        <w:t xml:space="preserve">  Main transcript interval / 主要会议时间段: 14:42–15:13; 24:25–25:40; 33:57–38:08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The Stockholm-based supervisor will be the main supervisor for what the thesis should do and how the work should proceed. A KIT colleague will support organizational matters, and Professor Furmans [uncertain] will serve as examiner. The supervisor cited previous successful remote-supervision arrangements with KIT students as evidence that this structure can work.</w:t>
      </w:r>
    </w:p>
    <w:p>
      <w:pPr>
        <w:pStyle w:val="BodyTextCustom"/>
      </w:pPr>
      <w:r>
        <w:rPr>
          <w:rFonts w:ascii="Hiragino Sans GB" w:hAnsi="Hiragino Sans GB" w:eastAsia="Hiragino Sans GB"/>
          <w:color w:val="1F2C39"/>
          <w:sz w:val="22"/>
        </w:rPr>
        <w:t>The proposed supervision rhythm is a one-hour meeting every two weeks, normally online through Microsoft Teams. An in-person meeting may be possible if the supervisor visits Karlsruhe, but the normal arrangement is remote because the supervisor is based in Sweden. A recurring meeting series will be proposed. Monday was discussed as an initial option, subject to later adjustment around the student’s seminar timetable and the supervisor’s commitments.</w:t>
      </w:r>
    </w:p>
    <w:p>
      <w:pPr>
        <w:pStyle w:val="BodyTextCustom"/>
      </w:pPr>
      <w:r>
        <w:rPr>
          <w:rFonts w:ascii="Hiragino Sans GB" w:hAnsi="Hiragino Sans GB" w:eastAsia="Hiragino Sans GB"/>
          <w:color w:val="1F2C39"/>
          <w:sz w:val="22"/>
        </w:rPr>
        <w:t>Teams chat is the preferred channel for questions and ongoing communication. The supervisor does not regularly check the current KIT email account, and the older KIT email address is no longer reachable. The supervisor also planned to send a follow-up email containing the discussed materials, the Exposé template, and a proposal for the recurring meetings.</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常驻斯德哥尔摩的导师将负责“论文具体做什么、如何开展”等核心指导工作；一位 KIT 同事负责组织事务，Furmans 教授〔待确认〕担任考试负责人。导师提到，此前已经以类似方式远程指导 KIT 学生，并且安排运行良好。</w:t>
      </w:r>
    </w:p>
    <w:p>
      <w:pPr>
        <w:pStyle w:val="BodyTextCustom"/>
      </w:pPr>
      <w:r>
        <w:rPr>
          <w:rFonts w:ascii="Hiragino Sans GB" w:hAnsi="Hiragino Sans GB" w:eastAsia="Hiragino Sans GB"/>
          <w:color w:val="1F2C39"/>
          <w:sz w:val="22"/>
        </w:rPr>
        <w:t>建议的指导频率是每两周一次、每次一小时，通常通过 Microsoft Teams 在线进行。如果导师回到卡尔斯鲁厄，可能安排线下见面，但由于导师常驻瑞典，常态仍是远程指导。导师会提出系列会议邀请。会议讨论过把星期一作为初始选项，但可根据学生下学期研讨课安排和导师其他固定事务再调整。</w:t>
      </w:r>
    </w:p>
    <w:p>
      <w:pPr>
        <w:pStyle w:val="BodyTextCustom"/>
      </w:pPr>
      <w:r>
        <w:rPr>
          <w:rFonts w:ascii="Hiragino Sans GB" w:hAnsi="Hiragino Sans GB" w:eastAsia="Hiragino Sans GB"/>
          <w:color w:val="1F2C39"/>
          <w:sz w:val="22"/>
        </w:rPr>
        <w:t>日常问题和持续沟通优先使用 Teams 聊天。导师不经常查看目前的 KIT 邮箱，原 KIT 邮箱地址已无法联系。导师还计划通过后续邮件发送会议中提到的材料、Exposé 模板以及系列会议的初步安排。</w:t>
      </w:r>
    </w:p>
    <w:p>
      <w:pPr>
        <w:pStyle w:val="Heading1"/>
        <w:keepNext/>
        <w:pageBreakBefore w:val="0"/>
      </w:pPr>
      <w:r>
        <w:rPr>
          <w:rFonts w:ascii="Hiragino Sans GB" w:hAnsi="Hiragino Sans GB" w:eastAsia="Hiragino Sans GB"/>
          <w:b/>
          <w:color w:val="2E74B5"/>
          <w:sz w:val="32"/>
        </w:rPr>
        <w:t>8. Risks and Items Requiring Confirmation / 风险与待确认事项</w:t>
      </w:r>
    </w:p>
    <w:p>
      <w:pPr>
        <w:keepNext/>
        <w:spacing w:after="140"/>
        <w:shd w:fill="E8EEF5"/>
      </w:pPr>
      <w:r>
        <w:rPr>
          <w:rFonts w:ascii="Hiragino Sans GB" w:hAnsi="Hiragino Sans GB" w:eastAsia="Hiragino Sans GB"/>
          <w:b/>
          <w:color w:val="1F4D78"/>
          <w:sz w:val="19"/>
        </w:rPr>
        <w:t xml:space="preserve">  Main transcript interval / 主要会议时间段: Throughout / 全程  </w:t>
      </w:r>
    </w:p>
    <w:p>
      <w:pPr>
        <w:keepNext/>
        <w:spacing w:before="100" w:after="80"/>
      </w:pPr>
      <w:r>
        <w:rPr>
          <w:rFonts w:ascii="Hiragino Sans GB" w:hAnsi="Hiragino Sans GB" w:eastAsia="Hiragino Sans GB"/>
          <w:b/>
          <w:color w:val="2E74B5"/>
          <w:sz w:val="20"/>
        </w:rPr>
        <w:t>ENGLISH SUMMARY</w:t>
      </w:r>
    </w:p>
    <w:p>
      <w:pPr>
        <w:pStyle w:val="BodyTextCustom"/>
      </w:pPr>
      <w:r>
        <w:rPr>
          <w:rFonts w:ascii="Hiragino Sans GB" w:hAnsi="Hiragino Sans GB" w:eastAsia="Hiragino Sans GB"/>
          <w:color w:val="1F2C39"/>
          <w:sz w:val="22"/>
        </w:rPr>
        <w:t>Research-scope risk: the meeting presents a set of ideas, not a fully frozen specification. It remains to be decided whether the thesis will only define a new dataset structure or also generate a complete dataset; how many agent variants will be built; which baselines are fair; and what “better” means in measurable terms. These decisions should be settled in the Exposé and experimental design.</w:t>
      </w:r>
    </w:p>
    <w:p>
      <w:pPr>
        <w:pStyle w:val="BodyTextCustom"/>
      </w:pPr>
      <w:r>
        <w:rPr>
          <w:rFonts w:ascii="Hiragino Sans GB" w:hAnsi="Hiragino Sans GB" w:eastAsia="Hiragino Sans GB"/>
          <w:color w:val="1F2C39"/>
          <w:sz w:val="22"/>
        </w:rPr>
        <w:t>Evaluation risk: existing QA datasets may allow answers from LLM pretraining rather than graph use, undermining validity. Final metrics, datasets, models, run counts, and cost limits are not yet fixed. Model availability may also change during the six-month period. The remote KIT Ollama endpoint is only a possible option and requires a network and access check.</w:t>
      </w:r>
    </w:p>
    <w:p>
      <w:pPr>
        <w:pStyle w:val="BodyTextCustom"/>
      </w:pPr>
      <w:r>
        <w:rPr>
          <w:rFonts w:ascii="Hiragino Sans GB" w:hAnsi="Hiragino Sans GB" w:eastAsia="Hiragino Sans GB"/>
          <w:color w:val="1F2C39"/>
          <w:sz w:val="22"/>
        </w:rPr>
        <w:t>Source-level uncertainties retained from the transcript are: Qwen 3.7 Plus [uncertain], which may refer to another cloud model; Professor Furmans [uncertain], whose name had several inconsistent speech-recognition forms; IFL [uncertain], which appeared inconsistently as IFL/EFL; the student’s faculty name, which was not reliably recoverable; and the exact 30B Qwen model [uncertain]. The workshop room name and the exact identity of the organizational KIT colleague are also not stated in the transcript.</w:t>
      </w:r>
    </w:p>
    <w:p>
      <w:pPr>
        <w:pStyle w:val="BodyTextCustom"/>
      </w:pPr>
      <w:r>
        <w:rPr>
          <w:rFonts w:ascii="Hiragino Sans GB" w:hAnsi="Hiragino Sans GB" w:eastAsia="Hiragino Sans GB"/>
          <w:color w:val="1F2C39"/>
          <w:sz w:val="22"/>
        </w:rPr>
        <w:t>Administrative dependencies include completing and signing the Exposé, eligibility verification in Campus, acceptance of the automated thesis email, and in-person workshop attendance. The student said the thesis could start immediately but was then interning in Munich and expected to return to Karlsruhe before the workshop; actual timing should therefore be aligned with these dependencies.</w:t>
      </w:r>
    </w:p>
    <w:p>
      <w:pPr>
        <w:keepNext/>
        <w:spacing w:before="100" w:after="80"/>
      </w:pPr>
      <w:r>
        <w:rPr>
          <w:rFonts w:ascii="Hiragino Sans GB" w:hAnsi="Hiragino Sans GB" w:eastAsia="Hiragino Sans GB"/>
          <w:b/>
          <w:color w:val="2E74B5"/>
          <w:sz w:val="20"/>
        </w:rPr>
        <w:t>中文总结</w:t>
      </w:r>
    </w:p>
    <w:p>
      <w:pPr>
        <w:pStyle w:val="BodyTextCustom"/>
      </w:pPr>
      <w:r>
        <w:rPr>
          <w:rFonts w:ascii="Hiragino Sans GB" w:hAnsi="Hiragino Sans GB" w:eastAsia="Hiragino Sans GB"/>
          <w:color w:val="1F2C39"/>
          <w:sz w:val="22"/>
        </w:rPr>
        <w:t>研究范围风险：会议提出的是一组课题设想，而不是已经冻结的任务书。仍需确定论文是只定义新数据集结构，还是还要生成完整数据集；开发多少个智能体版本；哪些基线才算公平；以及如何用指标定义“更好”。这些决定应在 Exposé 和实验设计中明确。</w:t>
      </w:r>
    </w:p>
    <w:p>
      <w:pPr>
        <w:pStyle w:val="BodyTextCustom"/>
      </w:pPr>
      <w:r>
        <w:rPr>
          <w:rFonts w:ascii="Hiragino Sans GB" w:hAnsi="Hiragino Sans GB" w:eastAsia="Hiragino Sans GB"/>
          <w:color w:val="1F2C39"/>
          <w:sz w:val="22"/>
        </w:rPr>
        <w:t>评估风险：现有问答数据集可能允许模型依靠预训练知识作答，而不真正使用知识图谱，从而削弱评估有效性。最终指标、数据集、模型、重复次数和成本上限均未确定；六个月内可用模型也可能变化。远程使用 KIT Ollama Endpoint 只是可能方案，仍需进行网络和权限测试。</w:t>
      </w:r>
    </w:p>
    <w:p>
      <w:pPr>
        <w:pStyle w:val="BodyTextCustom"/>
      </w:pPr>
      <w:r>
        <w:rPr>
          <w:rFonts w:ascii="Hiragino Sans GB" w:hAnsi="Hiragino Sans GB" w:eastAsia="Hiragino Sans GB"/>
          <w:color w:val="1F2C39"/>
          <w:sz w:val="22"/>
        </w:rPr>
        <w:t>源文件中继续保留的待确认项包括：Qwen 3.7 Plus〔待确认〕，可能对应另一云端模型；Furmans 教授〔待确认〕，原语音识别出现多种形式；IFL〔待确认〕，原文在 IFL/EFL 间不一致；无法可靠还原的学生院系名称；以及具体的 30B Qwen 模型〔待确认〕。工作坊房间名称和负责组织事务的 KIT 同事身份也未在转录正文中写明。</w:t>
      </w:r>
    </w:p>
    <w:p>
      <w:pPr>
        <w:pStyle w:val="BodyTextCustom"/>
      </w:pPr>
      <w:r>
        <w:rPr>
          <w:rFonts w:ascii="Hiragino Sans GB" w:hAnsi="Hiragino Sans GB" w:eastAsia="Hiragino Sans GB"/>
          <w:color w:val="1F2C39"/>
          <w:sz w:val="22"/>
        </w:rPr>
        <w:t>行政依赖包括：完成并签署 Exposé、通过 Campus 资格检查、在系统邮件中接受论文，以及线下参加工作坊。学生表示可以立即开始论文，但当时正在慕尼黑实习，并预计在工作坊前返回卡尔斯鲁厄；实际启动时间需与这些条件协调。</w:t>
      </w:r>
    </w:p>
    <w:p>
      <w:pPr>
        <w:spacing w:before="280" w:after="0"/>
        <w:shd w:fill="E8EEF5"/>
      </w:pPr>
      <w:r>
        <w:rPr>
          <w:rFonts w:ascii="Hiragino Sans GB" w:hAnsi="Hiragino Sans GB" w:eastAsia="Hiragino Sans GB"/>
          <w:color w:val="1F4D78"/>
          <w:sz w:val="18"/>
        </w:rPr>
        <w:t>Source basis / 依据：First Meeting Transcript.docx, reviewed bilingual transcript, continuous time range 00:00–38:31. No external factual correction was introduced.</w:t>
        <w:br/>
        <w:t>《First Meeting Transcript.docx》校订版中英对照转录，连续时间范围 00:00–38:31；未引入外部事实纠正。</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C67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b/>
        <w:color w:val="5C6770"/>
        <w:sz w:val="17"/>
      </w:rPr>
      <w:t>FIRST MEETING · BILINGUAL THESIS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color w:val="1F2C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Hiragino Sans GB" w:hAnsi="Hiragino Sans GB" w:eastAsia="Hiragino Sans GB"/>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widowControl/>
      <w:spacing w:before="0" w:after="100" w:line="271" w:lineRule="auto"/>
    </w:pPr>
    <w:rPr>
      <w:rFonts w:ascii="Hiragino Sans GB" w:hAnsi="Hiragino Sans GB" w:eastAsia="Hiragino Sans GB"/>
      <w:color w:val="1F2C3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Meeting — Detailed Bilingual Thesis Summary</dc:title>
  <dc:subject>Master's thesis meeting summary</dc:subject>
  <dc:creator>Prepared from the supplied meeting transcript</dc:creator>
  <cp:keywords/>
  <dc:description>generated by python-docx</dc:description>
  <cp:lastModifiedBy/>
  <cp:revision>1</cp:revision>
  <dcterms:created xsi:type="dcterms:W3CDTF">2013-12-23T23:15:00Z</dcterms:created>
  <dcterms:modified xsi:type="dcterms:W3CDTF">2013-12-23T23:15:00Z</dcterms:modified>
  <cp:category/>
</cp:coreProperties>
</file>