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before="360" w:after="360" w:line="240" w:lineRule="auto"/>
        <w:ind w:left="0" w:right="0"/>
        <w:jc w:val="center"/>
      </w:pPr>
      <w:r>
        <w:rPr>
          <w:rFonts w:ascii="Georgia" w:hAnsi="Georgia" w:eastAsia="Georgia"/>
          <w:b/>
          <w:i w:val="0"/>
          <w:color w:val="2F75B5"/>
          <w:sz w:val="30"/>
        </w:rPr>
        <w:t>THIRD MEETING</w:t>
      </w:r>
    </w:p>
    <w:p>
      <w:pPr>
        <w:keepNext w:val="0"/>
        <w:pageBreakBefore w:val="0"/>
        <w:spacing w:before="0" w:after="280" w:line="240" w:lineRule="auto"/>
        <w:ind w:left="0" w:right="0"/>
        <w:jc w:val="center"/>
      </w:pPr>
      <w:r>
        <w:rPr>
          <w:rFonts w:ascii="Georgia" w:hAnsi="Georgia" w:eastAsia="Georgia"/>
          <w:b/>
          <w:i w:val="0"/>
          <w:color w:val="1F4E79"/>
          <w:sz w:val="56"/>
        </w:rPr>
        <w:t>Detailed Bilingual Thesis Summary</w:t>
      </w:r>
    </w:p>
    <w:p>
      <w:pPr>
        <w:keepNext w:val="0"/>
        <w:pageBreakBefore w:val="0"/>
        <w:spacing w:before="0" w:after="480" w:line="240" w:lineRule="auto"/>
        <w:ind w:left="0" w:right="0"/>
        <w:jc w:val="center"/>
      </w:pPr>
      <w:r>
        <w:rPr>
          <w:rFonts w:ascii="Arial Unicode MS" w:hAnsi="Arial Unicode MS" w:eastAsia="Arial Unicode MS"/>
          <w:b/>
          <w:i w:val="0"/>
          <w:color w:val="1F4E79"/>
          <w:sz w:val="36"/>
        </w:rPr>
        <w:t>第三次毕设会议详细中英文对照总结</w:t>
      </w:r>
    </w:p>
    <w:p>
      <w:pPr>
        <w:keepNext w:val="0"/>
        <w:pageBreakBefore w:val="0"/>
        <w:spacing w:before="0" w:after="40" w:line="240" w:lineRule="auto"/>
        <w:ind w:left="0" w:right="0"/>
        <w:jc w:val="center"/>
      </w:pPr>
      <w:r>
        <w:rPr>
          <w:rFonts w:ascii="Georgia" w:hAnsi="Georgia" w:eastAsia="Georgia"/>
          <w:b w:val="0"/>
          <w:i w:val="0"/>
          <w:color w:val="6B7280"/>
          <w:sz w:val="22"/>
        </w:rPr>
        <w:t>Based strictly on the reviewed meeting transcript · 00:00–55:08</w:t>
      </w:r>
    </w:p>
    <w:p>
      <w:pPr>
        <w:keepNext w:val="0"/>
        <w:pageBreakBefore w:val="0"/>
        <w:spacing w:before="0" w:after="400" w:line="240" w:lineRule="auto"/>
        <w:ind w:left="0" w:right="0"/>
        <w:jc w:val="center"/>
      </w:pPr>
      <w:r>
        <w:rPr>
          <w:rFonts w:ascii="Arial Unicode MS" w:hAnsi="Arial Unicode MS" w:eastAsia="Arial Unicode MS"/>
          <w:b w:val="0"/>
          <w:i w:val="0"/>
          <w:color w:val="6B7280"/>
          <w:sz w:val="21"/>
        </w:rPr>
        <w:t>严格依据会议转录</w:t>
      </w:r>
      <w:r>
        <w:rPr>
          <w:rFonts w:ascii="Georgia" w:hAnsi="Georgia" w:eastAsia="Georgia"/>
          <w:b w:val="0"/>
          <w:i w:val="0"/>
          <w:color w:val="6B7280"/>
          <w:sz w:val="21"/>
        </w:rPr>
        <w:t xml:space="preserve"> · 00:00–55:08</w:t>
      </w:r>
    </w:p>
    <w:tbl>
      <w:tblPr>
        <w:tblW w:type="auto" w:w="0"/>
        <w:tblLayout w:type="fixed"/>
        <w:tblLook w:firstColumn="1" w:firstRow="1" w:lastColumn="0" w:lastRow="0" w:noHBand="0" w:noVBand="1" w:val="04A0"/>
      </w:tblPr>
      <w:tblGrid>
        <w:gridCol w:w="9648"/>
      </w:tblGrid>
      <w:tr>
        <w:tc>
          <w:tcPr>
            <w:tcW w:type="dxa" w:w="9648"/>
            <w:shd w:fill="DCE6F1"/>
            <w:tcMar>
              <w:top w:w="130" w:type="dxa"/>
              <w:start w:w="140" w:type="dxa"/>
              <w:bottom w:w="130" w:type="dxa"/>
              <w:end w:w="140" w:type="dxa"/>
            </w:tcMar>
          </w:tcPr>
          <w:p>
            <w:pPr>
              <w:keepNext w:val="0"/>
              <w:pageBreakBefore w:val="0"/>
              <w:spacing w:before="0" w:after="80" w:line="240" w:lineRule="auto"/>
              <w:ind w:left="0" w:right="0"/>
            </w:pPr>
            <w:r>
              <w:rPr>
                <w:rFonts w:ascii="Georgia" w:hAnsi="Georgia" w:eastAsia="Georgia"/>
                <w:b/>
                <w:i w:val="0"/>
                <w:color w:val="1F4E79"/>
                <w:sz w:val="20"/>
              </w:rPr>
              <w:t xml:space="preserve">Scope note / </w:t>
            </w:r>
            <w:r>
              <w:rPr>
                <w:rFonts w:ascii="Arial Unicode MS" w:hAnsi="Arial Unicode MS" w:eastAsia="Arial Unicode MS"/>
                <w:b/>
                <w:i w:val="0"/>
                <w:color w:val="1F4E79"/>
                <w:sz w:val="20"/>
              </w:rPr>
              <w:t>范围说明</w:t>
            </w:r>
          </w:p>
          <w:p>
            <w:pPr>
              <w:keepNext w:val="0"/>
              <w:pageBreakBefore w:val="0"/>
              <w:spacing w:before="0" w:after="80" w:line="276" w:lineRule="auto"/>
              <w:ind w:left="0" w:right="0"/>
            </w:pPr>
            <w:r>
              <w:rPr>
                <w:rFonts w:ascii="Georgia" w:hAnsi="Georgia" w:eastAsia="Georgia"/>
                <w:b w:val="0"/>
                <w:i w:val="0"/>
                <w:color w:val="1F4E79"/>
                <w:sz w:val="20"/>
              </w:rPr>
              <w:t>This document summarizes only information supported by the meeting transcript. Provisional directions remain provisional; unresolved implementation choices are not presented as settled decisions.</w:t>
            </w:r>
          </w:p>
          <w:p>
            <w:pPr>
              <w:keepNext w:val="0"/>
              <w:pageBreakBefore w:val="0"/>
              <w:spacing w:before="0" w:after="0" w:line="276" w:lineRule="auto"/>
              <w:ind w:left="0" w:right="0"/>
            </w:pPr>
            <w:r>
              <w:rPr>
                <w:rFonts w:ascii="Arial Unicode MS" w:hAnsi="Arial Unicode MS" w:eastAsia="Arial Unicode MS"/>
                <w:b w:val="0"/>
                <w:i w:val="0"/>
                <w:color w:val="1F4E79"/>
                <w:sz w:val="20"/>
              </w:rPr>
              <w:t>本文仅总结会议转录能够支持的信息。阶段性方向仍按阶段性方向表述；尚未解决的实现选择不会写成既定决定。</w:t>
            </w:r>
          </w:p>
        </w:tc>
      </w:tr>
    </w:tbl>
    <w:p>
      <w:r>
        <w:br w:type="page"/>
      </w:r>
    </w:p>
    <w:p>
      <w:pPr>
        <w:keepNext/>
        <w:pageBreakBefore w:val="0"/>
        <w:spacing w:before="0" w:after="200" w:line="240" w:lineRule="auto"/>
        <w:ind w:left="0" w:right="0"/>
      </w:pPr>
      <w:r>
        <w:rPr>
          <w:rFonts w:ascii="Georgia" w:hAnsi="Georgia" w:eastAsia="Georgia"/>
          <w:b/>
          <w:i w:val="0"/>
          <w:color w:val="2F75B5"/>
          <w:sz w:val="44"/>
        </w:rPr>
        <w:t xml:space="preserve">Document Map / </w:t>
      </w:r>
      <w:r>
        <w:rPr>
          <w:rFonts w:ascii="Arial Unicode MS" w:hAnsi="Arial Unicode MS" w:eastAsia="Arial Unicode MS"/>
          <w:b/>
          <w:i w:val="0"/>
          <w:color w:val="2F75B5"/>
          <w:sz w:val="44"/>
        </w:rPr>
        <w:t>文档结构</w:t>
      </w:r>
    </w:p>
    <w:p>
      <w:pPr>
        <w:keepNext w:val="0"/>
        <w:pageBreakBefore w:val="0"/>
        <w:spacing w:before="0" w:after="80" w:line="283" w:lineRule="auto"/>
        <w:ind w:left="0" w:right="0"/>
        <w:jc w:val="both"/>
      </w:pPr>
      <w:r>
        <w:rPr>
          <w:rFonts w:ascii="Georgia" w:hAnsi="Georgia" w:eastAsia="Georgia"/>
          <w:b w:val="0"/>
          <w:i w:val="0"/>
          <w:color w:val="374151"/>
          <w:sz w:val="22"/>
        </w:rPr>
        <w:t>The meeting translated the dataset review into a staged implementation strategy: KQA Pro as the main capability dataset, controlled unanswerability for refusal testing, GTSQA for evidence-level grounding, a minimally adapted baseline, and a small end-to-end evaluation pipeline before the new Agent is designed.</w:t>
      </w:r>
    </w:p>
    <w:p>
      <w:pPr>
        <w:keepNext w:val="0"/>
        <w:pageBreakBefore w:val="0"/>
        <w:spacing w:before="0" w:after="200" w:line="283" w:lineRule="auto"/>
        <w:ind w:left="0" w:right="0"/>
        <w:jc w:val="both"/>
      </w:pPr>
      <w:r>
        <w:rPr>
          <w:rFonts w:ascii="Arial Unicode MS" w:hAnsi="Arial Unicode MS" w:eastAsia="Arial Unicode MS"/>
          <w:b w:val="0"/>
          <w:i w:val="0"/>
          <w:color w:val="374151"/>
          <w:sz w:val="21"/>
        </w:rPr>
        <w:t>本次会议把数据集调研转化为分阶段实施策略：以</w:t>
      </w:r>
      <w:r>
        <w:rPr>
          <w:rFonts w:ascii="Georgia" w:hAnsi="Georgia" w:eastAsia="Georgia"/>
          <w:b w:val="0"/>
          <w:i w:val="0"/>
          <w:color w:val="374151"/>
          <w:sz w:val="21"/>
        </w:rPr>
        <w:t xml:space="preserve"> KQA Pro </w:t>
      </w:r>
      <w:r>
        <w:rPr>
          <w:rFonts w:ascii="Arial Unicode MS" w:hAnsi="Arial Unicode MS" w:eastAsia="Arial Unicode MS"/>
          <w:b w:val="0"/>
          <w:i w:val="0"/>
          <w:color w:val="374151"/>
          <w:sz w:val="21"/>
        </w:rPr>
        <w:t>作为主要能力数据集，以受控不可回答样本测试拒答，以</w:t>
      </w:r>
      <w:r>
        <w:rPr>
          <w:rFonts w:ascii="Georgia" w:hAnsi="Georgia" w:eastAsia="Georgia"/>
          <w:b w:val="0"/>
          <w:i w:val="0"/>
          <w:color w:val="374151"/>
          <w:sz w:val="21"/>
        </w:rPr>
        <w:t xml:space="preserve"> GTSQA </w:t>
      </w:r>
      <w:r>
        <w:rPr>
          <w:rFonts w:ascii="Arial Unicode MS" w:hAnsi="Arial Unicode MS" w:eastAsia="Arial Unicode MS"/>
          <w:b w:val="0"/>
          <w:i w:val="0"/>
          <w:color w:val="374151"/>
          <w:sz w:val="21"/>
        </w:rPr>
        <w:t>评测证据层图依据；先建立最小适配基线和小型端到端评测工作流，再设计新版</w:t>
      </w:r>
      <w:r>
        <w:rPr>
          <w:rFonts w:ascii="Georgia" w:hAnsi="Georgia" w:eastAsia="Georgia"/>
          <w:b w:val="0"/>
          <w:i w:val="0"/>
          <w:color w:val="374151"/>
          <w:sz w:val="21"/>
        </w:rPr>
        <w:t xml:space="preserve"> Agent</w:t>
      </w:r>
      <w:r>
        <w:rPr>
          <w:rFonts w:ascii="Arial Unicode MS" w:hAnsi="Arial Unicode MS" w:eastAsia="Arial Unicode MS"/>
          <w:b w:val="0"/>
          <w:i w:val="0"/>
          <w:color w:val="374151"/>
          <w:sz w:val="21"/>
        </w:rPr>
        <w:t>。</w:t>
      </w:r>
    </w:p>
    <w:p>
      <w:pPr>
        <w:keepNext/>
        <w:pageBreakBefore w:val="0"/>
        <w:spacing w:before="0" w:after="60" w:line="240" w:lineRule="auto"/>
        <w:ind w:left="0" w:right="0"/>
      </w:pPr>
      <w:r>
        <w:rPr>
          <w:rFonts w:ascii="Georgia" w:hAnsi="Georgia" w:eastAsia="Georgia"/>
          <w:b/>
          <w:i w:val="0"/>
          <w:color w:val="1F4E79"/>
          <w:sz w:val="18"/>
        </w:rPr>
        <w:t xml:space="preserve">01  Meeting Focus and Progress Since the Second Meeting / </w:t>
      </w:r>
      <w:r>
        <w:rPr>
          <w:rFonts w:ascii="Arial Unicode MS" w:hAnsi="Arial Unicode MS" w:eastAsia="Arial Unicode MS"/>
          <w:b/>
          <w:i w:val="0"/>
          <w:color w:val="1F4E79"/>
          <w:sz w:val="18"/>
        </w:rPr>
        <w:t>会议重点与第二次会议后的进展</w:t>
      </w:r>
    </w:p>
    <w:p>
      <w:pPr>
        <w:keepNext/>
        <w:pageBreakBefore w:val="0"/>
        <w:spacing w:before="0" w:after="60" w:line="240" w:lineRule="auto"/>
        <w:ind w:left="0" w:right="0"/>
      </w:pPr>
      <w:r>
        <w:rPr>
          <w:rFonts w:ascii="Georgia" w:hAnsi="Georgia" w:eastAsia="Georgia"/>
          <w:b/>
          <w:i w:val="0"/>
          <w:color w:val="1F4E79"/>
          <w:sz w:val="18"/>
        </w:rPr>
        <w:t>02  KQA Pro: Capability Coverage and Property-Graph Requirements / KQA Pro</w:t>
      </w:r>
      <w:r>
        <w:rPr>
          <w:rFonts w:ascii="Arial Unicode MS" w:hAnsi="Arial Unicode MS" w:eastAsia="Arial Unicode MS"/>
          <w:b/>
          <w:i w:val="0"/>
          <w:color w:val="1F4E79"/>
          <w:sz w:val="18"/>
        </w:rPr>
        <w:t>：能力覆盖与属性图要求</w:t>
      </w:r>
    </w:p>
    <w:p>
      <w:pPr>
        <w:keepNext/>
        <w:pageBreakBefore w:val="0"/>
        <w:spacing w:before="0" w:after="60" w:line="240" w:lineRule="auto"/>
        <w:ind w:left="0" w:right="0"/>
      </w:pPr>
      <w:r>
        <w:rPr>
          <w:rFonts w:ascii="Georgia" w:hAnsi="Georgia" w:eastAsia="Georgia"/>
          <w:b/>
          <w:i w:val="0"/>
          <w:color w:val="1F4E79"/>
          <w:sz w:val="18"/>
        </w:rPr>
        <w:t xml:space="preserve">03  Controlled Unanswerability and Refusal Evaluation / </w:t>
      </w:r>
      <w:r>
        <w:rPr>
          <w:rFonts w:ascii="Arial Unicode MS" w:hAnsi="Arial Unicode MS" w:eastAsia="Arial Unicode MS"/>
          <w:b/>
          <w:i w:val="0"/>
          <w:color w:val="1F4E79"/>
          <w:sz w:val="18"/>
        </w:rPr>
        <w:t>受控不可回答问题与拒答评测</w:t>
      </w:r>
    </w:p>
    <w:p>
      <w:pPr>
        <w:keepNext/>
        <w:pageBreakBefore w:val="0"/>
        <w:spacing w:before="0" w:after="60" w:line="240" w:lineRule="auto"/>
        <w:ind w:left="0" w:right="0"/>
      </w:pPr>
      <w:r>
        <w:rPr>
          <w:rFonts w:ascii="Georgia" w:hAnsi="Georgia" w:eastAsia="Georgia"/>
          <w:b/>
          <w:i w:val="0"/>
          <w:color w:val="1F4E79"/>
          <w:sz w:val="18"/>
        </w:rPr>
        <w:t xml:space="preserve">04  Missing Graph Knowledge Versus External Commonsense / </w:t>
      </w:r>
      <w:r>
        <w:rPr>
          <w:rFonts w:ascii="Arial Unicode MS" w:hAnsi="Arial Unicode MS" w:eastAsia="Arial Unicode MS"/>
          <w:b/>
          <w:i w:val="0"/>
          <w:color w:val="1F4E79"/>
          <w:sz w:val="18"/>
        </w:rPr>
        <w:t>图中缺失知识与外部常识的区分</w:t>
      </w:r>
    </w:p>
    <w:p>
      <w:pPr>
        <w:keepNext/>
        <w:pageBreakBefore w:val="0"/>
        <w:spacing w:before="0" w:after="60" w:line="240" w:lineRule="auto"/>
        <w:ind w:left="0" w:right="0"/>
      </w:pPr>
      <w:r>
        <w:rPr>
          <w:rFonts w:ascii="Georgia" w:hAnsi="Georgia" w:eastAsia="Georgia"/>
          <w:b/>
          <w:i w:val="0"/>
          <w:color w:val="1F4E79"/>
          <w:sz w:val="18"/>
        </w:rPr>
        <w:t xml:space="preserve">05  GTSQA and Evidence-Level Graph Grounding / GTSQA </w:t>
      </w:r>
      <w:r>
        <w:rPr>
          <w:rFonts w:ascii="Arial Unicode MS" w:hAnsi="Arial Unicode MS" w:eastAsia="Arial Unicode MS"/>
          <w:b/>
          <w:i w:val="0"/>
          <w:color w:val="1F4E79"/>
          <w:sz w:val="18"/>
        </w:rPr>
        <w:t>与证据层面的</w:t>
      </w:r>
      <w:r>
        <w:rPr>
          <w:rFonts w:ascii="Georgia" w:hAnsi="Georgia" w:eastAsia="Georgia"/>
          <w:b/>
          <w:i w:val="0"/>
          <w:color w:val="1F4E79"/>
          <w:sz w:val="18"/>
        </w:rPr>
        <w:t xml:space="preserve"> Graph Grounding</w:t>
      </w:r>
    </w:p>
    <w:p>
      <w:pPr>
        <w:keepNext/>
        <w:pageBreakBefore w:val="0"/>
        <w:spacing w:before="0" w:after="60" w:line="240" w:lineRule="auto"/>
        <w:ind w:left="0" w:right="0"/>
      </w:pPr>
      <w:r>
        <w:rPr>
          <w:rFonts w:ascii="Georgia" w:hAnsi="Georgia" w:eastAsia="Georgia"/>
          <w:b/>
          <w:i w:val="0"/>
          <w:color w:val="1F4E79"/>
          <w:sz w:val="18"/>
        </w:rPr>
        <w:t xml:space="preserve">06  Dataset Strategy Agreed in the Meeting / </w:t>
      </w:r>
      <w:r>
        <w:rPr>
          <w:rFonts w:ascii="Arial Unicode MS" w:hAnsi="Arial Unicode MS" w:eastAsia="Arial Unicode MS"/>
          <w:b/>
          <w:i w:val="0"/>
          <w:color w:val="1F4E79"/>
          <w:sz w:val="18"/>
        </w:rPr>
        <w:t>会议形成的数据集使用策略</w:t>
      </w:r>
    </w:p>
    <w:p>
      <w:pPr>
        <w:keepNext/>
        <w:pageBreakBefore w:val="0"/>
        <w:spacing w:before="0" w:after="60" w:line="240" w:lineRule="auto"/>
        <w:ind w:left="0" w:right="0"/>
      </w:pPr>
      <w:r>
        <w:rPr>
          <w:rFonts w:ascii="Georgia" w:hAnsi="Georgia" w:eastAsia="Georgia"/>
          <w:b/>
          <w:i w:val="0"/>
          <w:color w:val="1F4E79"/>
          <w:sz w:val="18"/>
        </w:rPr>
        <w:t xml:space="preserve">07  Baseline Adaptation and Fair Comparison / </w:t>
      </w:r>
      <w:r>
        <w:rPr>
          <w:rFonts w:ascii="Arial Unicode MS" w:hAnsi="Arial Unicode MS" w:eastAsia="Arial Unicode MS"/>
          <w:b/>
          <w:i w:val="0"/>
          <w:color w:val="1F4E79"/>
          <w:sz w:val="18"/>
        </w:rPr>
        <w:t>基线适配与公平比较</w:t>
      </w:r>
    </w:p>
    <w:p>
      <w:pPr>
        <w:keepNext/>
        <w:pageBreakBefore w:val="0"/>
        <w:spacing w:before="0" w:after="60" w:line="240" w:lineRule="auto"/>
        <w:ind w:left="0" w:right="0"/>
      </w:pPr>
      <w:r>
        <w:rPr>
          <w:rFonts w:ascii="Georgia" w:hAnsi="Georgia" w:eastAsia="Georgia"/>
          <w:b/>
          <w:i w:val="0"/>
          <w:color w:val="1F4E79"/>
          <w:sz w:val="18"/>
        </w:rPr>
        <w:t xml:space="preserve">08  Minimum Viable Dataset and End-to-End Evaluation Pipeline / </w:t>
      </w:r>
      <w:r>
        <w:rPr>
          <w:rFonts w:ascii="Arial Unicode MS" w:hAnsi="Arial Unicode MS" w:eastAsia="Arial Unicode MS"/>
          <w:b/>
          <w:i w:val="0"/>
          <w:color w:val="1F4E79"/>
          <w:sz w:val="18"/>
        </w:rPr>
        <w:t>最小可行数据集与端到端评测工作流</w:t>
      </w:r>
    </w:p>
    <w:p>
      <w:pPr>
        <w:keepNext/>
        <w:pageBreakBefore w:val="0"/>
        <w:spacing w:before="0" w:after="60" w:line="240" w:lineRule="auto"/>
        <w:ind w:left="0" w:right="0"/>
      </w:pPr>
      <w:r>
        <w:rPr>
          <w:rFonts w:ascii="Georgia" w:hAnsi="Georgia" w:eastAsia="Georgia"/>
          <w:b/>
          <w:i w:val="0"/>
          <w:color w:val="1F4E79"/>
          <w:sz w:val="18"/>
        </w:rPr>
        <w:t xml:space="preserve">09  Unified Logging, Tracing, and Efficiency Metrics / </w:t>
      </w:r>
      <w:r>
        <w:rPr>
          <w:rFonts w:ascii="Arial Unicode MS" w:hAnsi="Arial Unicode MS" w:eastAsia="Arial Unicode MS"/>
          <w:b/>
          <w:i w:val="0"/>
          <w:color w:val="1F4E79"/>
          <w:sz w:val="18"/>
        </w:rPr>
        <w:t>统一日志、</w:t>
      </w:r>
      <w:r>
        <w:rPr>
          <w:rFonts w:ascii="Georgia" w:hAnsi="Georgia" w:eastAsia="Georgia"/>
          <w:b/>
          <w:i w:val="0"/>
          <w:color w:val="1F4E79"/>
          <w:sz w:val="18"/>
        </w:rPr>
        <w:t xml:space="preserve">Tracing </w:t>
      </w:r>
      <w:r>
        <w:rPr>
          <w:rFonts w:ascii="Arial Unicode MS" w:hAnsi="Arial Unicode MS" w:eastAsia="Arial Unicode MS"/>
          <w:b/>
          <w:i w:val="0"/>
          <w:color w:val="1F4E79"/>
          <w:sz w:val="18"/>
        </w:rPr>
        <w:t>与效率指标</w:t>
      </w:r>
    </w:p>
    <w:p>
      <w:pPr>
        <w:keepNext/>
        <w:pageBreakBefore w:val="0"/>
        <w:spacing w:before="0" w:after="60" w:line="240" w:lineRule="auto"/>
        <w:ind w:left="0" w:right="0"/>
      </w:pPr>
      <w:r>
        <w:rPr>
          <w:rFonts w:ascii="Georgia" w:hAnsi="Georgia" w:eastAsia="Georgia"/>
          <w:b/>
          <w:i w:val="0"/>
          <w:color w:val="1F4E79"/>
          <w:sz w:val="18"/>
        </w:rPr>
        <w:t xml:space="preserve">10  Model Access and Cost-Control Strategy / </w:t>
      </w:r>
      <w:r>
        <w:rPr>
          <w:rFonts w:ascii="Arial Unicode MS" w:hAnsi="Arial Unicode MS" w:eastAsia="Arial Unicode MS"/>
          <w:b/>
          <w:i w:val="0"/>
          <w:color w:val="1F4E79"/>
          <w:sz w:val="18"/>
        </w:rPr>
        <w:t>模型访问与成本控制方案</w:t>
      </w:r>
    </w:p>
    <w:p>
      <w:pPr>
        <w:keepNext/>
        <w:pageBreakBefore w:val="0"/>
        <w:spacing w:before="0" w:after="60" w:line="240" w:lineRule="auto"/>
        <w:ind w:left="0" w:right="0"/>
      </w:pPr>
      <w:r>
        <w:rPr>
          <w:rFonts w:ascii="Georgia" w:hAnsi="Georgia" w:eastAsia="Georgia"/>
          <w:b/>
          <w:i w:val="0"/>
          <w:color w:val="1F4E79"/>
          <w:sz w:val="18"/>
        </w:rPr>
        <w:t xml:space="preserve">11  Batch Execution and Scope Boundary / </w:t>
      </w:r>
      <w:r>
        <w:rPr>
          <w:rFonts w:ascii="Arial Unicode MS" w:hAnsi="Arial Unicode MS" w:eastAsia="Arial Unicode MS"/>
          <w:b/>
          <w:i w:val="0"/>
          <w:color w:val="1F4E79"/>
          <w:sz w:val="18"/>
        </w:rPr>
        <w:t>批量执行方式与范围边界</w:t>
      </w:r>
    </w:p>
    <w:tbl>
      <w:tblPr>
        <w:tblW w:type="auto" w:w="0"/>
        <w:tblLook w:firstColumn="1" w:firstRow="1" w:lastColumn="0" w:lastRow="0" w:noHBand="0" w:noVBand="1" w:val="04A0"/>
      </w:tblPr>
      <w:tblGrid>
        <w:gridCol w:w="9648"/>
      </w:tblGrid>
      <w:tr>
        <w:tc>
          <w:tcPr>
            <w:tcW w:type="dxa" w:w="9648"/>
            <w:shd w:fill="DCE6F1"/>
            <w:tcMar>
              <w:top w:w="90" w:type="dxa"/>
              <w:start w:w="100" w:type="dxa"/>
              <w:bottom w:w="90" w:type="dxa"/>
              <w:end w:w="100" w:type="dxa"/>
            </w:tcMar>
          </w:tcPr>
          <w:p>
            <w:pPr>
              <w:keepNext w:val="0"/>
              <w:pageBreakBefore w:val="0"/>
              <w:spacing w:before="0" w:after="60" w:line="240" w:lineRule="auto"/>
              <w:ind w:left="0" w:right="0"/>
            </w:pPr>
            <w:r>
              <w:rPr>
                <w:rFonts w:ascii="Georgia" w:hAnsi="Georgia" w:eastAsia="Georgia"/>
                <w:b/>
                <w:i w:val="0"/>
                <w:color w:val="1F4E79"/>
                <w:sz w:val="19"/>
              </w:rPr>
              <w:t xml:space="preserve">Agreed near-term direction / </w:t>
            </w:r>
            <w:r>
              <w:rPr>
                <w:rFonts w:ascii="Arial Unicode MS" w:hAnsi="Arial Unicode MS" w:eastAsia="Arial Unicode MS"/>
                <w:b/>
                <w:i w:val="0"/>
                <w:color w:val="1F4E79"/>
                <w:sz w:val="19"/>
              </w:rPr>
              <w:t>近期明确方向</w:t>
            </w:r>
          </w:p>
          <w:p>
            <w:pPr>
              <w:keepNext w:val="0"/>
              <w:pageBreakBefore w:val="0"/>
              <w:spacing w:before="0" w:after="40" w:line="264" w:lineRule="auto"/>
              <w:ind w:left="0" w:right="0"/>
            </w:pPr>
            <w:r>
              <w:rPr>
                <w:rFonts w:ascii="Georgia" w:hAnsi="Georgia" w:eastAsia="Georgia"/>
                <w:b/>
                <w:i w:val="0"/>
                <w:color w:val="374151"/>
                <w:sz w:val="19"/>
              </w:rPr>
              <w:t>Small KQA Pro subset → ARK v1.1 adaptation → unified logging and evaluation → baseline failure analysis → new Agent design</w:t>
            </w:r>
          </w:p>
          <w:p>
            <w:pPr>
              <w:keepNext w:val="0"/>
              <w:pageBreakBefore w:val="0"/>
              <w:spacing w:before="0" w:after="0" w:line="264" w:lineRule="auto"/>
              <w:ind w:left="0" w:right="0"/>
            </w:pPr>
            <w:r>
              <w:rPr>
                <w:rFonts w:ascii="Arial Unicode MS" w:hAnsi="Arial Unicode MS" w:eastAsia="Arial Unicode MS"/>
                <w:b/>
                <w:i w:val="0"/>
                <w:color w:val="374151"/>
                <w:sz w:val="19"/>
              </w:rPr>
              <w:t>小型</w:t>
            </w:r>
            <w:r>
              <w:rPr>
                <w:rFonts w:ascii="Georgia" w:hAnsi="Georgia" w:eastAsia="Georgia"/>
                <w:b/>
                <w:i w:val="0"/>
                <w:color w:val="374151"/>
                <w:sz w:val="19"/>
              </w:rPr>
              <w:t xml:space="preserve"> KQA Pro </w:t>
            </w:r>
            <w:r>
              <w:rPr>
                <w:rFonts w:ascii="Arial Unicode MS" w:hAnsi="Arial Unicode MS" w:eastAsia="Arial Unicode MS"/>
                <w:b/>
                <w:i w:val="0"/>
                <w:color w:val="374151"/>
                <w:sz w:val="19"/>
              </w:rPr>
              <w:t>子集</w:t>
            </w:r>
            <w:r>
              <w:rPr>
                <w:rFonts w:ascii="Georgia" w:hAnsi="Georgia" w:eastAsia="Georgia"/>
                <w:b/>
                <w:i w:val="0"/>
                <w:color w:val="374151"/>
                <w:sz w:val="19"/>
              </w:rPr>
              <w:t xml:space="preserve"> → ARK v1.1 </w:t>
            </w:r>
            <w:r>
              <w:rPr>
                <w:rFonts w:ascii="Arial Unicode MS" w:hAnsi="Arial Unicode MS" w:eastAsia="Arial Unicode MS"/>
                <w:b/>
                <w:i w:val="0"/>
                <w:color w:val="374151"/>
                <w:sz w:val="19"/>
              </w:rPr>
              <w:t>适配</w:t>
            </w:r>
            <w:r>
              <w:rPr>
                <w:rFonts w:ascii="Georgia" w:hAnsi="Georgia" w:eastAsia="Georgia"/>
                <w:b/>
                <w:i w:val="0"/>
                <w:color w:val="374151"/>
                <w:sz w:val="19"/>
              </w:rPr>
              <w:t xml:space="preserve"> → </w:t>
            </w:r>
            <w:r>
              <w:rPr>
                <w:rFonts w:ascii="Arial Unicode MS" w:hAnsi="Arial Unicode MS" w:eastAsia="Arial Unicode MS"/>
                <w:b/>
                <w:i w:val="0"/>
                <w:color w:val="374151"/>
                <w:sz w:val="19"/>
              </w:rPr>
              <w:t>统一日志与评测</w:t>
            </w:r>
            <w:r>
              <w:rPr>
                <w:rFonts w:ascii="Georgia" w:hAnsi="Georgia" w:eastAsia="Georgia"/>
                <w:b/>
                <w:i w:val="0"/>
                <w:color w:val="374151"/>
                <w:sz w:val="19"/>
              </w:rPr>
              <w:t xml:space="preserve"> → </w:t>
            </w:r>
            <w:r>
              <w:rPr>
                <w:rFonts w:ascii="Arial Unicode MS" w:hAnsi="Arial Unicode MS" w:eastAsia="Arial Unicode MS"/>
                <w:b/>
                <w:i w:val="0"/>
                <w:color w:val="374151"/>
                <w:sz w:val="19"/>
              </w:rPr>
              <w:t>基线失败分析</w:t>
            </w:r>
            <w:r>
              <w:rPr>
                <w:rFonts w:ascii="Georgia" w:hAnsi="Georgia" w:eastAsia="Georgia"/>
                <w:b/>
                <w:i w:val="0"/>
                <w:color w:val="374151"/>
                <w:sz w:val="19"/>
              </w:rPr>
              <w:t xml:space="preserve"> → </w:t>
            </w:r>
            <w:r>
              <w:rPr>
                <w:rFonts w:ascii="Arial Unicode MS" w:hAnsi="Arial Unicode MS" w:eastAsia="Arial Unicode MS"/>
                <w:b/>
                <w:i w:val="0"/>
                <w:color w:val="374151"/>
                <w:sz w:val="19"/>
              </w:rPr>
              <w:t>新</w:t>
            </w:r>
            <w:r>
              <w:rPr>
                <w:rFonts w:ascii="Georgia" w:hAnsi="Georgia" w:eastAsia="Georgia"/>
                <w:b/>
                <w:i w:val="0"/>
                <w:color w:val="374151"/>
                <w:sz w:val="19"/>
              </w:rPr>
              <w:t xml:space="preserve"> Agent </w:t>
            </w:r>
            <w:r>
              <w:rPr>
                <w:rFonts w:ascii="Arial Unicode MS" w:hAnsi="Arial Unicode MS" w:eastAsia="Arial Unicode MS"/>
                <w:b/>
                <w:i w:val="0"/>
                <w:color w:val="374151"/>
                <w:sz w:val="19"/>
              </w:rPr>
              <w:t>设计</w:t>
            </w:r>
          </w:p>
        </w:tc>
      </w:tr>
    </w:tbl>
    <w:p>
      <w:pPr>
        <w:keepNext/>
        <w:pageBreakBefore/>
        <w:spacing w:before="0" w:after="160" w:line="252" w:lineRule="auto"/>
        <w:ind w:left="0" w:right="0"/>
        <w:jc w:val="left"/>
      </w:pPr>
      <w:r>
        <w:rPr>
          <w:rFonts w:ascii="Georgia" w:hAnsi="Georgia" w:eastAsia="Georgia"/>
          <w:b/>
          <w:i w:val="0"/>
          <w:color w:val="2F75B5"/>
          <w:sz w:val="37"/>
        </w:rPr>
        <w:t xml:space="preserve">1. Meeting Focus and Progress Since the Second Meeting / </w:t>
      </w:r>
      <w:r>
        <w:rPr>
          <w:rFonts w:ascii="Arial Unicode MS" w:hAnsi="Arial Unicode MS" w:eastAsia="Arial Unicode MS"/>
          <w:b/>
          <w:i w:val="0"/>
          <w:color w:val="2F75B5"/>
          <w:sz w:val="37"/>
        </w:rPr>
        <w:t>会议重点与第二次会议后的进展</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00:00–19:24</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The meeting reviewed the student’s deeper analysis of three candidate KGQA resources and moved the project from a general question-type taxonomy toward concrete dataset roles, graph requirements, baseline adaptation, and an executable evaluation workflow. Representative examples were used to test whether the proposed capabilities can actually be observed in data.</w:t>
      </w:r>
    </w:p>
    <w:p>
      <w:pPr>
        <w:keepNext w:val="0"/>
        <w:pageBreakBefore w:val="0"/>
        <w:spacing w:before="0" w:after="140" w:line="283" w:lineRule="auto"/>
        <w:ind w:left="0" w:right="0"/>
        <w:jc w:val="both"/>
      </w:pPr>
      <w:r>
        <w:rPr>
          <w:rFonts w:ascii="Georgia" w:hAnsi="Georgia" w:eastAsia="Georgia"/>
          <w:b w:val="0"/>
          <w:i w:val="0"/>
          <w:color w:val="374151"/>
          <w:sz w:val="22"/>
        </w:rPr>
        <w:t>The discussion confirmed that the Agent architecture is still open. The immediate objective is not to complete a final architecture, but to establish a small dataset and evaluation pipeline that can expose the limitations of the existing Agent and provide evidence for the design of a new version.</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本次会议检查了学生对三个候选</w:t>
      </w:r>
      <w:r>
        <w:rPr>
          <w:rFonts w:ascii="Georgia" w:hAnsi="Georgia" w:eastAsia="Georgia"/>
          <w:b w:val="0"/>
          <w:i w:val="0"/>
          <w:color w:val="374151"/>
          <w:sz w:val="22"/>
        </w:rPr>
        <w:t xml:space="preserve"> KGQA </w:t>
      </w:r>
      <w:r>
        <w:rPr>
          <w:rFonts w:ascii="Arial Unicode MS" w:hAnsi="Arial Unicode MS" w:eastAsia="Arial Unicode MS"/>
          <w:b w:val="0"/>
          <w:i w:val="0"/>
          <w:color w:val="374151"/>
          <w:sz w:val="22"/>
        </w:rPr>
        <w:t>数据资源的进一步分析，并把项目从一般性的问题类型分类推进到更具体的数据集角色、图结构要求、基线适配和可执行评测工作流。会议通过代表性样本检查拟议能力能否在真实数据中被观察和测量。</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讨论再次确认最终</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架构尚未确定。当前目标不是立即完成最终架构，而是先建立一个小型数据集和评测工作流，用实际运行暴露现有</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的限制，并为新版设计提供证据。</w:t>
      </w:r>
    </w:p>
    <w:p>
      <w:pPr>
        <w:keepNext/>
        <w:pageBreakBefore w:val="0"/>
        <w:spacing w:before="280" w:after="160" w:line="252" w:lineRule="auto"/>
        <w:ind w:left="0" w:right="0"/>
        <w:jc w:val="left"/>
      </w:pPr>
      <w:r>
        <w:rPr>
          <w:rFonts w:ascii="Georgia" w:hAnsi="Georgia" w:eastAsia="Georgia"/>
          <w:b/>
          <w:i w:val="0"/>
          <w:color w:val="2F75B5"/>
          <w:sz w:val="37"/>
        </w:rPr>
        <w:t>2. KQA Pro: Capability Coverage and Property-Graph Requirements / KQA Pro</w:t>
      </w:r>
      <w:r>
        <w:rPr>
          <w:rFonts w:ascii="Arial Unicode MS" w:hAnsi="Arial Unicode MS" w:eastAsia="Arial Unicode MS"/>
          <w:b/>
          <w:i w:val="0"/>
          <w:color w:val="2F75B5"/>
          <w:sz w:val="37"/>
        </w:rPr>
        <w:t>：能力覆盖与属性图要求</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00:30–05:19; 18:47–25:33</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KQA Pro was proposed as the main dataset because selected questions cover multiple answer types and solving operations. A T-Pain example requires retrieving a point-in-time qualifier attached to a winner fact rather than traversing only an ordinary entity-to-entity relation. A Guyana example requires relation traversal, attribute retrieval, numerical comparison, and Boolean verification before returning the final answer.</w:t>
      </w:r>
    </w:p>
    <w:p>
      <w:pPr>
        <w:keepNext w:val="0"/>
        <w:pageBreakBefore w:val="0"/>
        <w:spacing w:before="0" w:after="140" w:line="283" w:lineRule="auto"/>
        <w:ind w:left="0" w:right="0"/>
        <w:jc w:val="both"/>
      </w:pPr>
      <w:r>
        <w:rPr>
          <w:rFonts w:ascii="Georgia" w:hAnsi="Georgia" w:eastAsia="Georgia"/>
          <w:b w:val="0"/>
          <w:i w:val="0"/>
          <w:color w:val="374151"/>
          <w:sz w:val="22"/>
        </w:rPr>
        <w:t>These cases reveal a compatibility issue with ARK v1. The current local graph interface appears to expose a basic knowledge graph and may not preserve qualifiers or other metadata attached to relations. Supporting KQA Pro may therefore require a revised graph interface or a conversion that represents property-graph information without changing the baseline’s core search behavior.</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会议建议把</w:t>
      </w:r>
      <w:r>
        <w:rPr>
          <w:rFonts w:ascii="Georgia" w:hAnsi="Georgia" w:eastAsia="Georgia"/>
          <w:b w:val="0"/>
          <w:i w:val="0"/>
          <w:color w:val="374151"/>
          <w:sz w:val="22"/>
        </w:rPr>
        <w:t xml:space="preserve"> KQA Pro </w:t>
      </w:r>
      <w:r>
        <w:rPr>
          <w:rFonts w:ascii="Arial Unicode MS" w:hAnsi="Arial Unicode MS" w:eastAsia="Arial Unicode MS"/>
          <w:b w:val="0"/>
          <w:i w:val="0"/>
          <w:color w:val="374151"/>
          <w:sz w:val="22"/>
        </w:rPr>
        <w:t>作为主要数据集，因为其中选取的问题能够覆盖多种答案类型和解题操作。</w:t>
      </w:r>
      <w:r>
        <w:rPr>
          <w:rFonts w:ascii="Georgia" w:hAnsi="Georgia" w:eastAsia="Georgia"/>
          <w:b w:val="0"/>
          <w:i w:val="0"/>
          <w:color w:val="374151"/>
          <w:sz w:val="22"/>
        </w:rPr>
        <w:t xml:space="preserve">T-Pain </w:t>
      </w:r>
      <w:r>
        <w:rPr>
          <w:rFonts w:ascii="Arial Unicode MS" w:hAnsi="Arial Unicode MS" w:eastAsia="Arial Unicode MS"/>
          <w:b w:val="0"/>
          <w:i w:val="0"/>
          <w:color w:val="374151"/>
          <w:sz w:val="22"/>
        </w:rPr>
        <w:t>示例要求读取附着在获奖事实上的</w:t>
      </w:r>
      <w:r>
        <w:rPr>
          <w:rFonts w:ascii="Georgia" w:hAnsi="Georgia" w:eastAsia="Georgia"/>
          <w:b w:val="0"/>
          <w:i w:val="0"/>
          <w:color w:val="374151"/>
          <w:sz w:val="22"/>
        </w:rPr>
        <w:t xml:space="preserve"> point-in-time qualifier</w:t>
      </w:r>
      <w:r>
        <w:rPr>
          <w:rFonts w:ascii="Arial Unicode MS" w:hAnsi="Arial Unicode MS" w:eastAsia="Arial Unicode MS"/>
          <w:b w:val="0"/>
          <w:i w:val="0"/>
          <w:color w:val="374151"/>
          <w:sz w:val="22"/>
        </w:rPr>
        <w:t>，而不是只沿普通实体</w:t>
      </w:r>
      <w:r>
        <w:rPr>
          <w:rFonts w:ascii="Georgia" w:hAnsi="Georgia" w:eastAsia="Georgia"/>
          <w:b w:val="0"/>
          <w:i w:val="0"/>
          <w:color w:val="374151"/>
          <w:sz w:val="22"/>
        </w:rPr>
        <w:t>—</w:t>
      </w:r>
      <w:r>
        <w:rPr>
          <w:rFonts w:ascii="Arial Unicode MS" w:hAnsi="Arial Unicode MS" w:eastAsia="Arial Unicode MS"/>
          <w:b w:val="0"/>
          <w:i w:val="0"/>
          <w:color w:val="374151"/>
          <w:sz w:val="22"/>
        </w:rPr>
        <w:t>实体关系遍历。</w:t>
      </w:r>
      <w:r>
        <w:rPr>
          <w:rFonts w:ascii="Georgia" w:hAnsi="Georgia" w:eastAsia="Georgia"/>
          <w:b w:val="0"/>
          <w:i w:val="0"/>
          <w:color w:val="374151"/>
          <w:sz w:val="22"/>
        </w:rPr>
        <w:t xml:space="preserve">Guyana </w:t>
      </w:r>
      <w:r>
        <w:rPr>
          <w:rFonts w:ascii="Arial Unicode MS" w:hAnsi="Arial Unicode MS" w:eastAsia="Arial Unicode MS"/>
          <w:b w:val="0"/>
          <w:i w:val="0"/>
          <w:color w:val="374151"/>
          <w:sz w:val="22"/>
        </w:rPr>
        <w:t>示例则要求依次完成关系遍历、属性读取、数值比较和</w:t>
      </w:r>
      <w:r>
        <w:rPr>
          <w:rFonts w:ascii="Georgia" w:hAnsi="Georgia" w:eastAsia="Georgia"/>
          <w:b w:val="0"/>
          <w:i w:val="0"/>
          <w:color w:val="374151"/>
          <w:sz w:val="22"/>
        </w:rPr>
        <w:t xml:space="preserve"> Boolean verification</w:t>
      </w:r>
      <w:r>
        <w:rPr>
          <w:rFonts w:ascii="Arial Unicode MS" w:hAnsi="Arial Unicode MS" w:eastAsia="Arial Unicode MS"/>
          <w:b w:val="0"/>
          <w:i w:val="0"/>
          <w:color w:val="374151"/>
          <w:sz w:val="22"/>
        </w:rPr>
        <w:t>，才能返回最终答案。</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这些案例暴露了</w:t>
      </w:r>
      <w:r>
        <w:rPr>
          <w:rFonts w:ascii="Georgia" w:hAnsi="Georgia" w:eastAsia="Georgia"/>
          <w:b w:val="0"/>
          <w:i w:val="0"/>
          <w:color w:val="374151"/>
          <w:sz w:val="22"/>
        </w:rPr>
        <w:t xml:space="preserve"> ARK v1 </w:t>
      </w:r>
      <w:r>
        <w:rPr>
          <w:rFonts w:ascii="Arial Unicode MS" w:hAnsi="Arial Unicode MS" w:eastAsia="Arial Unicode MS"/>
          <w:b w:val="0"/>
          <w:i w:val="0"/>
          <w:color w:val="374151"/>
          <w:sz w:val="22"/>
        </w:rPr>
        <w:t>的兼容性问题。当前本地图接口似乎只提供基础知识图谱结构，可能没有保留关系上的</w:t>
      </w:r>
      <w:r>
        <w:rPr>
          <w:rFonts w:ascii="Georgia" w:hAnsi="Georgia" w:eastAsia="Georgia"/>
          <w:b w:val="0"/>
          <w:i w:val="0"/>
          <w:color w:val="374151"/>
          <w:sz w:val="22"/>
        </w:rPr>
        <w:t xml:space="preserve"> qualifier </w:t>
      </w:r>
      <w:r>
        <w:rPr>
          <w:rFonts w:ascii="Arial Unicode MS" w:hAnsi="Arial Unicode MS" w:eastAsia="Arial Unicode MS"/>
          <w:b w:val="0"/>
          <w:i w:val="0"/>
          <w:color w:val="374151"/>
          <w:sz w:val="22"/>
        </w:rPr>
        <w:t>或其他元信息。因此，接入</w:t>
      </w:r>
      <w:r>
        <w:rPr>
          <w:rFonts w:ascii="Georgia" w:hAnsi="Georgia" w:eastAsia="Georgia"/>
          <w:b w:val="0"/>
          <w:i w:val="0"/>
          <w:color w:val="374151"/>
          <w:sz w:val="22"/>
        </w:rPr>
        <w:t xml:space="preserve"> KQA Pro </w:t>
      </w:r>
      <w:r>
        <w:rPr>
          <w:rFonts w:ascii="Arial Unicode MS" w:hAnsi="Arial Unicode MS" w:eastAsia="Arial Unicode MS"/>
          <w:b w:val="0"/>
          <w:i w:val="0"/>
          <w:color w:val="374151"/>
          <w:sz w:val="22"/>
        </w:rPr>
        <w:t>可能需要调整图接口，或把属性图信息转换成基线能够处理的表示，同时不改变其核心搜索逻辑。</w:t>
      </w:r>
    </w:p>
    <w:p>
      <w:pPr>
        <w:keepNext/>
        <w:pageBreakBefore w:val="0"/>
        <w:spacing w:before="280" w:after="160" w:line="252" w:lineRule="auto"/>
        <w:ind w:left="0" w:right="0"/>
        <w:jc w:val="left"/>
      </w:pPr>
      <w:r>
        <w:rPr>
          <w:rFonts w:ascii="Georgia" w:hAnsi="Georgia" w:eastAsia="Georgia"/>
          <w:b/>
          <w:i w:val="0"/>
          <w:color w:val="2F75B5"/>
          <w:sz w:val="37"/>
        </w:rPr>
        <w:t xml:space="preserve">3. Controlled Unanswerability and Refusal Evaluation / </w:t>
      </w:r>
      <w:r>
        <w:rPr>
          <w:rFonts w:ascii="Arial Unicode MS" w:hAnsi="Arial Unicode MS" w:eastAsia="Arial Unicode MS"/>
          <w:b/>
          <w:i w:val="0"/>
          <w:color w:val="2F75B5"/>
          <w:sz w:val="37"/>
        </w:rPr>
        <w:t>受控不可回答问题与拒答评测</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05:35–10:43</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GrailQAbility was discussed primarily as a methodology for controlled unanswerability. It begins with answerable GrailQA questions and induces incompleteness by deleting entity types, relations, entities, or facts. A case is unanswerable only after all remaining answer paths have been disrupted; deleting one relevant element is not sufficient if another valid path survives.</w:t>
      </w:r>
    </w:p>
    <w:p>
      <w:pPr>
        <w:keepNext w:val="0"/>
        <w:pageBreakBefore w:val="0"/>
        <w:spacing w:before="0" w:after="140" w:line="283" w:lineRule="auto"/>
        <w:ind w:left="0" w:right="0"/>
        <w:jc w:val="both"/>
      </w:pPr>
      <w:r>
        <w:rPr>
          <w:rFonts w:ascii="Georgia" w:hAnsi="Georgia" w:eastAsia="Georgia"/>
          <w:b w:val="0"/>
          <w:i w:val="0"/>
          <w:color w:val="374151"/>
          <w:sz w:val="22"/>
        </w:rPr>
        <w:t>The examples distinguish missing evidence at different structural levels: deletion of one specific fact, deletion of an explicitly mentioned entity together with its facts, and deletion of an entire relation type at schema level. These controlled cases can test whether an Agent refuses unsupported answers for the correct reason. Reproducing the complete construction procedure, however, may require Gold SPARQL execution and exhaustive answer-path checks, so its implementation should remain bounded by the thesis research questions.</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会议主要把</w:t>
      </w:r>
      <w:r>
        <w:rPr>
          <w:rFonts w:ascii="Georgia" w:hAnsi="Georgia" w:eastAsia="Georgia"/>
          <w:b w:val="0"/>
          <w:i w:val="0"/>
          <w:color w:val="374151"/>
          <w:sz w:val="22"/>
        </w:rPr>
        <w:t xml:space="preserve"> GrailQAbility </w:t>
      </w:r>
      <w:r>
        <w:rPr>
          <w:rFonts w:ascii="Arial Unicode MS" w:hAnsi="Arial Unicode MS" w:eastAsia="Arial Unicode MS"/>
          <w:b w:val="0"/>
          <w:i w:val="0"/>
          <w:color w:val="374151"/>
          <w:sz w:val="22"/>
        </w:rPr>
        <w:t>视为一种构造受控不可回答问题的方法。它从原本可回答的</w:t>
      </w:r>
      <w:r>
        <w:rPr>
          <w:rFonts w:ascii="Georgia" w:hAnsi="Georgia" w:eastAsia="Georgia"/>
          <w:b w:val="0"/>
          <w:i w:val="0"/>
          <w:color w:val="374151"/>
          <w:sz w:val="22"/>
        </w:rPr>
        <w:t xml:space="preserve"> GrailQA </w:t>
      </w:r>
      <w:r>
        <w:rPr>
          <w:rFonts w:ascii="Arial Unicode MS" w:hAnsi="Arial Unicode MS" w:eastAsia="Arial Unicode MS"/>
          <w:b w:val="0"/>
          <w:i w:val="0"/>
          <w:color w:val="374151"/>
          <w:sz w:val="22"/>
        </w:rPr>
        <w:t>问题出发，通过删除</w:t>
      </w:r>
      <w:r>
        <w:rPr>
          <w:rFonts w:ascii="Georgia" w:hAnsi="Georgia" w:eastAsia="Georgia"/>
          <w:b w:val="0"/>
          <w:i w:val="0"/>
          <w:color w:val="374151"/>
          <w:sz w:val="22"/>
        </w:rPr>
        <w:t xml:space="preserve"> entity type</w:t>
      </w:r>
      <w:r>
        <w:rPr>
          <w:rFonts w:ascii="Arial Unicode MS" w:hAnsi="Arial Unicode MS" w:eastAsia="Arial Unicode MS"/>
          <w:b w:val="0"/>
          <w:i w:val="0"/>
          <w:color w:val="374151"/>
          <w:sz w:val="22"/>
        </w:rPr>
        <w:t>、</w:t>
      </w:r>
      <w:r>
        <w:rPr>
          <w:rFonts w:ascii="Georgia" w:hAnsi="Georgia" w:eastAsia="Georgia"/>
          <w:b w:val="0"/>
          <w:i w:val="0"/>
          <w:color w:val="374151"/>
          <w:sz w:val="22"/>
        </w:rPr>
        <w:t>relation</w:t>
      </w:r>
      <w:r>
        <w:rPr>
          <w:rFonts w:ascii="Arial Unicode MS" w:hAnsi="Arial Unicode MS" w:eastAsia="Arial Unicode MS"/>
          <w:b w:val="0"/>
          <w:i w:val="0"/>
          <w:color w:val="374151"/>
          <w:sz w:val="22"/>
        </w:rPr>
        <w:t>、</w:t>
      </w:r>
      <w:r>
        <w:rPr>
          <w:rFonts w:ascii="Georgia" w:hAnsi="Georgia" w:eastAsia="Georgia"/>
          <w:b w:val="0"/>
          <w:i w:val="0"/>
          <w:color w:val="374151"/>
          <w:sz w:val="22"/>
        </w:rPr>
        <w:t xml:space="preserve">entity </w:t>
      </w:r>
      <w:r>
        <w:rPr>
          <w:rFonts w:ascii="Arial Unicode MS" w:hAnsi="Arial Unicode MS" w:eastAsia="Arial Unicode MS"/>
          <w:b w:val="0"/>
          <w:i w:val="0"/>
          <w:color w:val="374151"/>
          <w:sz w:val="22"/>
        </w:rPr>
        <w:t>或</w:t>
      </w:r>
      <w:r>
        <w:rPr>
          <w:rFonts w:ascii="Georgia" w:hAnsi="Georgia" w:eastAsia="Georgia"/>
          <w:b w:val="0"/>
          <w:i w:val="0"/>
          <w:color w:val="374151"/>
          <w:sz w:val="22"/>
        </w:rPr>
        <w:t xml:space="preserve"> fact </w:t>
      </w:r>
      <w:r>
        <w:rPr>
          <w:rFonts w:ascii="Arial Unicode MS" w:hAnsi="Arial Unicode MS" w:eastAsia="Arial Unicode MS"/>
          <w:b w:val="0"/>
          <w:i w:val="0"/>
          <w:color w:val="374151"/>
          <w:sz w:val="22"/>
        </w:rPr>
        <w:t>引入知识缺失。只有在所有剩余答案路径都被破坏后，问题才可标记为不可回答；如果仍有另一条有效路径，仅删除一个相关元素并不足够。</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示例区分了不同结构层次的知识缺失：删除一个具体事实、删除问题中明确提及的实体及其关联事实，以及在</w:t>
      </w:r>
      <w:r>
        <w:rPr>
          <w:rFonts w:ascii="Georgia" w:hAnsi="Georgia" w:eastAsia="Georgia"/>
          <w:b w:val="0"/>
          <w:i w:val="0"/>
          <w:color w:val="374151"/>
          <w:sz w:val="22"/>
        </w:rPr>
        <w:t xml:space="preserve"> schema </w:t>
      </w:r>
      <w:r>
        <w:rPr>
          <w:rFonts w:ascii="Arial Unicode MS" w:hAnsi="Arial Unicode MS" w:eastAsia="Arial Unicode MS"/>
          <w:b w:val="0"/>
          <w:i w:val="0"/>
          <w:color w:val="374151"/>
          <w:sz w:val="22"/>
        </w:rPr>
        <w:t>层删除整个关系类型。这些受控案例能够测试</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是否因为正确的证据缺失而拒答。但完整复现其构造流程可能需要执行</w:t>
      </w:r>
      <w:r>
        <w:rPr>
          <w:rFonts w:ascii="Georgia" w:hAnsi="Georgia" w:eastAsia="Georgia"/>
          <w:b w:val="0"/>
          <w:i w:val="0"/>
          <w:color w:val="374151"/>
          <w:sz w:val="22"/>
        </w:rPr>
        <w:t xml:space="preserve"> Gold SPARQL </w:t>
      </w:r>
      <w:r>
        <w:rPr>
          <w:rFonts w:ascii="Arial Unicode MS" w:hAnsi="Arial Unicode MS" w:eastAsia="Arial Unicode MS"/>
          <w:b w:val="0"/>
          <w:i w:val="0"/>
          <w:color w:val="374151"/>
          <w:sz w:val="22"/>
        </w:rPr>
        <w:t>并检查所有答案路径，因此实现范围应由论文研究问题约束。</w:t>
      </w:r>
    </w:p>
    <w:p>
      <w:pPr>
        <w:keepNext/>
        <w:pageBreakBefore w:val="0"/>
        <w:spacing w:before="280" w:after="160" w:line="252" w:lineRule="auto"/>
        <w:ind w:left="0" w:right="0"/>
        <w:jc w:val="left"/>
      </w:pPr>
      <w:r>
        <w:rPr>
          <w:rFonts w:ascii="Georgia" w:hAnsi="Georgia" w:eastAsia="Georgia"/>
          <w:b/>
          <w:i w:val="0"/>
          <w:color w:val="2F75B5"/>
          <w:sz w:val="37"/>
        </w:rPr>
        <w:t xml:space="preserve">4. Missing Graph Knowledge Versus External Commonsense / </w:t>
      </w:r>
      <w:r>
        <w:rPr>
          <w:rFonts w:ascii="Arial Unicode MS" w:hAnsi="Arial Unicode MS" w:eastAsia="Arial Unicode MS"/>
          <w:b/>
          <w:i w:val="0"/>
          <w:color w:val="2F75B5"/>
          <w:sz w:val="37"/>
        </w:rPr>
        <w:t>图中缺失知识与外部常识的区分</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10:57–13:05</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The Stanford-in-the-USA example exposed an important distinction between graph-grounded answerability and external knowledge. If the relevant relation is removed from the graph, the Agent may still know the answer from pretraining or commonsense. The desired behavior is therefore richer than a simple answer-or-refuse decision.</w:t>
      </w:r>
    </w:p>
    <w:p>
      <w:pPr>
        <w:keepNext w:val="0"/>
        <w:pageBreakBefore w:val="0"/>
        <w:spacing w:before="0" w:after="140" w:line="283" w:lineRule="auto"/>
        <w:ind w:left="0" w:right="0"/>
        <w:jc w:val="both"/>
      </w:pPr>
      <w:r>
        <w:rPr>
          <w:rFonts w:ascii="Georgia" w:hAnsi="Georgia" w:eastAsia="Georgia"/>
          <w:b w:val="0"/>
          <w:i w:val="0"/>
          <w:color w:val="374151"/>
          <w:sz w:val="22"/>
        </w:rPr>
        <w:t>An ideal output would state that the fact is absent from the supplied graph while separately reporting a high-confidence external answer. This implies that the ground truth may need to represent both graph evidence status and final answer source. The idea is research-relevant but would increase annotation and implementation effort, so its role in the main experiment remains open.</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Georgia" w:hAnsi="Georgia" w:eastAsia="Georgia"/>
          <w:b w:val="0"/>
          <w:i w:val="0"/>
          <w:color w:val="374151"/>
          <w:sz w:val="22"/>
        </w:rPr>
        <w:t xml:space="preserve">“Stanford </w:t>
      </w:r>
      <w:r>
        <w:rPr>
          <w:rFonts w:ascii="Arial Unicode MS" w:hAnsi="Arial Unicode MS" w:eastAsia="Arial Unicode MS"/>
          <w:b w:val="0"/>
          <w:i w:val="0"/>
          <w:color w:val="374151"/>
          <w:sz w:val="22"/>
        </w:rPr>
        <w:t>位于美国</w:t>
      </w:r>
      <w:r>
        <w:rPr>
          <w:rFonts w:ascii="Georgia" w:hAnsi="Georgia" w:eastAsia="Georgia"/>
          <w:b w:val="0"/>
          <w:i w:val="0"/>
          <w:color w:val="374151"/>
          <w:sz w:val="22"/>
        </w:rPr>
        <w:t>”</w:t>
      </w:r>
      <w:r>
        <w:rPr>
          <w:rFonts w:ascii="Arial Unicode MS" w:hAnsi="Arial Unicode MS" w:eastAsia="Arial Unicode MS"/>
          <w:b w:val="0"/>
          <w:i w:val="0"/>
          <w:color w:val="374151"/>
          <w:sz w:val="22"/>
        </w:rPr>
        <w:t>的例子揭示了图依据可回答性与外部知识之间的重要区别。如果相关关系已从知识图谱中删除，</w:t>
      </w:r>
      <w:r>
        <w:rPr>
          <w:rFonts w:ascii="Georgia" w:hAnsi="Georgia" w:eastAsia="Georgia"/>
          <w:b w:val="0"/>
          <w:i w:val="0"/>
          <w:color w:val="374151"/>
          <w:sz w:val="22"/>
        </w:rPr>
        <w:t xml:space="preserve">Agent </w:t>
      </w:r>
      <w:r>
        <w:rPr>
          <w:rFonts w:ascii="Arial Unicode MS" w:hAnsi="Arial Unicode MS" w:eastAsia="Arial Unicode MS"/>
          <w:b w:val="0"/>
          <w:i w:val="0"/>
          <w:color w:val="374151"/>
          <w:sz w:val="22"/>
        </w:rPr>
        <w:t>仍可能通过预训练知识或常识知道答案。因此，理想行为不能只表示为</w:t>
      </w:r>
      <w:r>
        <w:rPr>
          <w:rFonts w:ascii="Georgia" w:hAnsi="Georgia" w:eastAsia="Georgia"/>
          <w:b w:val="0"/>
          <w:i w:val="0"/>
          <w:color w:val="374151"/>
          <w:sz w:val="22"/>
        </w:rPr>
        <w:t>“</w:t>
      </w:r>
      <w:r>
        <w:rPr>
          <w:rFonts w:ascii="Arial Unicode MS" w:hAnsi="Arial Unicode MS" w:eastAsia="Arial Unicode MS"/>
          <w:b w:val="0"/>
          <w:i w:val="0"/>
          <w:color w:val="374151"/>
          <w:sz w:val="22"/>
        </w:rPr>
        <w:t>回答或拒答</w:t>
      </w:r>
      <w:r>
        <w:rPr>
          <w:rFonts w:ascii="Georgia" w:hAnsi="Georgia" w:eastAsia="Georgia"/>
          <w:b w:val="0"/>
          <w:i w:val="0"/>
          <w:color w:val="374151"/>
          <w:sz w:val="22"/>
        </w:rPr>
        <w:t>”</w:t>
      </w:r>
      <w:r>
        <w:rPr>
          <w:rFonts w:ascii="Arial Unicode MS" w:hAnsi="Arial Unicode MS" w:eastAsia="Arial Unicode MS"/>
          <w:b w:val="0"/>
          <w:i w:val="0"/>
          <w:color w:val="374151"/>
          <w:sz w:val="22"/>
        </w:rPr>
        <w:t>的二元选择。</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更理想的输出应先说明该事实不在给定知识图谱中，再单独报告一个高置信度的图外答案。这意味着</w:t>
      </w:r>
      <w:r>
        <w:rPr>
          <w:rFonts w:ascii="Georgia" w:hAnsi="Georgia" w:eastAsia="Georgia"/>
          <w:b w:val="0"/>
          <w:i w:val="0"/>
          <w:color w:val="374151"/>
          <w:sz w:val="22"/>
        </w:rPr>
        <w:t xml:space="preserve"> ground truth </w:t>
      </w:r>
      <w:r>
        <w:rPr>
          <w:rFonts w:ascii="Arial Unicode MS" w:hAnsi="Arial Unicode MS" w:eastAsia="Arial Unicode MS"/>
          <w:b w:val="0"/>
          <w:i w:val="0"/>
          <w:color w:val="374151"/>
          <w:sz w:val="22"/>
        </w:rPr>
        <w:t>可能需要同时表达图证据状态和答案来源。该方向具有研究价值，但会增加标注与实现成本，因此是否进入主要实验仍未确定。</w:t>
      </w:r>
    </w:p>
    <w:p>
      <w:pPr>
        <w:keepNext/>
        <w:pageBreakBefore w:val="0"/>
        <w:spacing w:before="280" w:after="160" w:line="252" w:lineRule="auto"/>
        <w:ind w:left="0" w:right="0"/>
        <w:jc w:val="left"/>
      </w:pPr>
      <w:r>
        <w:rPr>
          <w:rFonts w:ascii="Georgia" w:hAnsi="Georgia" w:eastAsia="Georgia"/>
          <w:b/>
          <w:i w:val="0"/>
          <w:color w:val="2F75B5"/>
          <w:sz w:val="37"/>
        </w:rPr>
        <w:t xml:space="preserve">5. GTSQA and Evidence-Level Graph Grounding / GTSQA </w:t>
      </w:r>
      <w:r>
        <w:rPr>
          <w:rFonts w:ascii="Arial Unicode MS" w:hAnsi="Arial Unicode MS" w:eastAsia="Arial Unicode MS"/>
          <w:b/>
          <w:i w:val="0"/>
          <w:color w:val="2F75B5"/>
          <w:sz w:val="37"/>
        </w:rPr>
        <w:t>与证据层面的</w:t>
      </w:r>
      <w:r>
        <w:rPr>
          <w:rFonts w:ascii="Georgia" w:hAnsi="Georgia" w:eastAsia="Georgia"/>
          <w:b/>
          <w:i w:val="0"/>
          <w:color w:val="2F75B5"/>
          <w:sz w:val="37"/>
        </w:rPr>
        <w:t xml:space="preserve"> Graph Grounding</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13:08–18:47</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GTSQA was identified as useful for multi-hop reasoning and graph grounding because questions are associated with answer-subgraph structure derived from WikiKG2. Its graph-pattern metadata distinguishes linear paths, intersections from multiple seed entities, unequal-depth branches, and projection after intersection. Hop count records the maximum seed-to-answer distance but does not by itself describe the full reasoning pattern.</w:t>
      </w:r>
    </w:p>
    <w:p>
      <w:pPr>
        <w:keepNext w:val="0"/>
        <w:pageBreakBefore w:val="0"/>
        <w:spacing w:before="0" w:after="140" w:line="283" w:lineRule="auto"/>
        <w:ind w:left="0" w:right="0"/>
        <w:jc w:val="both"/>
      </w:pPr>
      <w:r>
        <w:rPr>
          <w:rFonts w:ascii="Georgia" w:hAnsi="Georgia" w:eastAsia="Georgia"/>
          <w:b w:val="0"/>
          <w:i w:val="0"/>
          <w:color w:val="374151"/>
          <w:sz w:val="22"/>
        </w:rPr>
        <w:t>The examples include a four-hop linear chain, an intersection of two seed entities followed by projection, and a two-branch intersection whose generated answer subgraph omits one valid answer. In later evaluation, all-answers fields can support final-answer checking, while the full answer subgraph can support evidence-level comparison. GTSQA is therefore better positioned as a separate graph-grounding dataset than as the sole dataset for every Agent capability.</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Georgia" w:hAnsi="Georgia" w:eastAsia="Georgia"/>
          <w:b w:val="0"/>
          <w:i w:val="0"/>
          <w:color w:val="374151"/>
          <w:sz w:val="22"/>
        </w:rPr>
        <w:t xml:space="preserve">GTSQA </w:t>
      </w:r>
      <w:r>
        <w:rPr>
          <w:rFonts w:ascii="Arial Unicode MS" w:hAnsi="Arial Unicode MS" w:eastAsia="Arial Unicode MS"/>
          <w:b w:val="0"/>
          <w:i w:val="0"/>
          <w:color w:val="374151"/>
          <w:sz w:val="22"/>
        </w:rPr>
        <w:t>被认为适合测试多跳推理和</w:t>
      </w:r>
      <w:r>
        <w:rPr>
          <w:rFonts w:ascii="Georgia" w:hAnsi="Georgia" w:eastAsia="Georgia"/>
          <w:b w:val="0"/>
          <w:i w:val="0"/>
          <w:color w:val="374151"/>
          <w:sz w:val="22"/>
        </w:rPr>
        <w:t xml:space="preserve"> Graph Grounding</w:t>
      </w:r>
      <w:r>
        <w:rPr>
          <w:rFonts w:ascii="Arial Unicode MS" w:hAnsi="Arial Unicode MS" w:eastAsia="Arial Unicode MS"/>
          <w:b w:val="0"/>
          <w:i w:val="0"/>
          <w:color w:val="374151"/>
          <w:sz w:val="22"/>
        </w:rPr>
        <w:t>，因为问题配有从</w:t>
      </w:r>
      <w:r>
        <w:rPr>
          <w:rFonts w:ascii="Georgia" w:hAnsi="Georgia" w:eastAsia="Georgia"/>
          <w:b w:val="0"/>
          <w:i w:val="0"/>
          <w:color w:val="374151"/>
          <w:sz w:val="22"/>
        </w:rPr>
        <w:t xml:space="preserve"> WikiKG2 </w:t>
      </w:r>
      <w:r>
        <w:rPr>
          <w:rFonts w:ascii="Arial Unicode MS" w:hAnsi="Arial Unicode MS" w:eastAsia="Arial Unicode MS"/>
          <w:b w:val="0"/>
          <w:i w:val="0"/>
          <w:color w:val="374151"/>
          <w:sz w:val="22"/>
        </w:rPr>
        <w:t>得到的</w:t>
      </w:r>
      <w:r>
        <w:rPr>
          <w:rFonts w:ascii="Georgia" w:hAnsi="Georgia" w:eastAsia="Georgia"/>
          <w:b w:val="0"/>
          <w:i w:val="0"/>
          <w:color w:val="374151"/>
          <w:sz w:val="22"/>
        </w:rPr>
        <w:t xml:space="preserve"> answer-subgraph </w:t>
      </w:r>
      <w:r>
        <w:rPr>
          <w:rFonts w:ascii="Arial Unicode MS" w:hAnsi="Arial Unicode MS" w:eastAsia="Arial Unicode MS"/>
          <w:b w:val="0"/>
          <w:i w:val="0"/>
          <w:color w:val="374151"/>
          <w:sz w:val="22"/>
        </w:rPr>
        <w:t>结构。其图模式元数据可区分线性路径、多</w:t>
      </w:r>
      <w:r>
        <w:rPr>
          <w:rFonts w:ascii="Georgia" w:hAnsi="Georgia" w:eastAsia="Georgia"/>
          <w:b w:val="0"/>
          <w:i w:val="0"/>
          <w:color w:val="374151"/>
          <w:sz w:val="22"/>
        </w:rPr>
        <w:t xml:space="preserve"> seed entity </w:t>
      </w:r>
      <w:r>
        <w:rPr>
          <w:rFonts w:ascii="Arial Unicode MS" w:hAnsi="Arial Unicode MS" w:eastAsia="Arial Unicode MS"/>
          <w:b w:val="0"/>
          <w:i w:val="0"/>
          <w:color w:val="374151"/>
          <w:sz w:val="22"/>
        </w:rPr>
        <w:t>交集、不同深度分支以及交集后的</w:t>
      </w:r>
      <w:r>
        <w:rPr>
          <w:rFonts w:ascii="Georgia" w:hAnsi="Georgia" w:eastAsia="Georgia"/>
          <w:b w:val="0"/>
          <w:i w:val="0"/>
          <w:color w:val="374151"/>
          <w:sz w:val="22"/>
        </w:rPr>
        <w:t xml:space="preserve"> projection</w:t>
      </w:r>
      <w:r>
        <w:rPr>
          <w:rFonts w:ascii="Arial Unicode MS" w:hAnsi="Arial Unicode MS" w:eastAsia="Arial Unicode MS"/>
          <w:b w:val="0"/>
          <w:i w:val="0"/>
          <w:color w:val="374151"/>
          <w:sz w:val="22"/>
        </w:rPr>
        <w:t>。</w:t>
      </w:r>
      <w:r>
        <w:rPr>
          <w:rFonts w:ascii="Georgia" w:hAnsi="Georgia" w:eastAsia="Georgia"/>
          <w:b w:val="0"/>
          <w:i w:val="0"/>
          <w:color w:val="374151"/>
          <w:sz w:val="22"/>
        </w:rPr>
        <w:t xml:space="preserve">hop count </w:t>
      </w:r>
      <w:r>
        <w:rPr>
          <w:rFonts w:ascii="Arial Unicode MS" w:hAnsi="Arial Unicode MS" w:eastAsia="Arial Unicode MS"/>
          <w:b w:val="0"/>
          <w:i w:val="0"/>
          <w:color w:val="374151"/>
          <w:sz w:val="22"/>
        </w:rPr>
        <w:t>记录</w:t>
      </w:r>
      <w:r>
        <w:rPr>
          <w:rFonts w:ascii="Georgia" w:hAnsi="Georgia" w:eastAsia="Georgia"/>
          <w:b w:val="0"/>
          <w:i w:val="0"/>
          <w:color w:val="374151"/>
          <w:sz w:val="22"/>
        </w:rPr>
        <w:t xml:space="preserve"> seed </w:t>
      </w:r>
      <w:r>
        <w:rPr>
          <w:rFonts w:ascii="Arial Unicode MS" w:hAnsi="Arial Unicode MS" w:eastAsia="Arial Unicode MS"/>
          <w:b w:val="0"/>
          <w:i w:val="0"/>
          <w:color w:val="374151"/>
          <w:sz w:val="22"/>
        </w:rPr>
        <w:t>到答案的最大距离，但不能单独描述完整推理结构。</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会议展示的案例包括四跳线性链、两个</w:t>
      </w:r>
      <w:r>
        <w:rPr>
          <w:rFonts w:ascii="Georgia" w:hAnsi="Georgia" w:eastAsia="Georgia"/>
          <w:b w:val="0"/>
          <w:i w:val="0"/>
          <w:color w:val="374151"/>
          <w:sz w:val="22"/>
        </w:rPr>
        <w:t xml:space="preserve"> seed entity </w:t>
      </w:r>
      <w:r>
        <w:rPr>
          <w:rFonts w:ascii="Arial Unicode MS" w:hAnsi="Arial Unicode MS" w:eastAsia="Arial Unicode MS"/>
          <w:b w:val="0"/>
          <w:i w:val="0"/>
          <w:color w:val="374151"/>
          <w:sz w:val="22"/>
        </w:rPr>
        <w:t>求交后再投影，以及一个生成时</w:t>
      </w:r>
      <w:r>
        <w:rPr>
          <w:rFonts w:ascii="Georgia" w:hAnsi="Georgia" w:eastAsia="Georgia"/>
          <w:b w:val="0"/>
          <w:i w:val="0"/>
          <w:color w:val="374151"/>
          <w:sz w:val="22"/>
        </w:rPr>
        <w:t xml:space="preserve"> answer subgraph </w:t>
      </w:r>
      <w:r>
        <w:rPr>
          <w:rFonts w:ascii="Arial Unicode MS" w:hAnsi="Arial Unicode MS" w:eastAsia="Arial Unicode MS"/>
          <w:b w:val="0"/>
          <w:i w:val="0"/>
          <w:color w:val="374151"/>
          <w:sz w:val="22"/>
        </w:rPr>
        <w:t>漏掉有效答案的双分支交集。后续评测可使用</w:t>
      </w:r>
      <w:r>
        <w:rPr>
          <w:rFonts w:ascii="Georgia" w:hAnsi="Georgia" w:eastAsia="Georgia"/>
          <w:b w:val="0"/>
          <w:i w:val="0"/>
          <w:color w:val="374151"/>
          <w:sz w:val="22"/>
        </w:rPr>
        <w:t xml:space="preserve"> all-answers </w:t>
      </w:r>
      <w:r>
        <w:rPr>
          <w:rFonts w:ascii="Arial Unicode MS" w:hAnsi="Arial Unicode MS" w:eastAsia="Arial Unicode MS"/>
          <w:b w:val="0"/>
          <w:i w:val="0"/>
          <w:color w:val="374151"/>
          <w:sz w:val="22"/>
        </w:rPr>
        <w:t>字段检查最终答案，并用完整</w:t>
      </w:r>
      <w:r>
        <w:rPr>
          <w:rFonts w:ascii="Georgia" w:hAnsi="Georgia" w:eastAsia="Georgia"/>
          <w:b w:val="0"/>
          <w:i w:val="0"/>
          <w:color w:val="374151"/>
          <w:sz w:val="22"/>
        </w:rPr>
        <w:t xml:space="preserve"> answer subgraph </w:t>
      </w:r>
      <w:r>
        <w:rPr>
          <w:rFonts w:ascii="Arial Unicode MS" w:hAnsi="Arial Unicode MS" w:eastAsia="Arial Unicode MS"/>
          <w:b w:val="0"/>
          <w:i w:val="0"/>
          <w:color w:val="374151"/>
          <w:sz w:val="22"/>
        </w:rPr>
        <w:t>做证据层比较。因此，</w:t>
      </w:r>
      <w:r>
        <w:rPr>
          <w:rFonts w:ascii="Georgia" w:hAnsi="Georgia" w:eastAsia="Georgia"/>
          <w:b w:val="0"/>
          <w:i w:val="0"/>
          <w:color w:val="374151"/>
          <w:sz w:val="22"/>
        </w:rPr>
        <w:t xml:space="preserve">GTSQA </w:t>
      </w:r>
      <w:r>
        <w:rPr>
          <w:rFonts w:ascii="Arial Unicode MS" w:hAnsi="Arial Unicode MS" w:eastAsia="Arial Unicode MS"/>
          <w:b w:val="0"/>
          <w:i w:val="0"/>
          <w:color w:val="374151"/>
          <w:sz w:val="22"/>
        </w:rPr>
        <w:t>更适合作为独立的</w:t>
      </w:r>
      <w:r>
        <w:rPr>
          <w:rFonts w:ascii="Georgia" w:hAnsi="Georgia" w:eastAsia="Georgia"/>
          <w:b w:val="0"/>
          <w:i w:val="0"/>
          <w:color w:val="374151"/>
          <w:sz w:val="22"/>
        </w:rPr>
        <w:t xml:space="preserve"> Graph Grounding </w:t>
      </w:r>
      <w:r>
        <w:rPr>
          <w:rFonts w:ascii="Arial Unicode MS" w:hAnsi="Arial Unicode MS" w:eastAsia="Arial Unicode MS"/>
          <w:b w:val="0"/>
          <w:i w:val="0"/>
          <w:color w:val="374151"/>
          <w:sz w:val="22"/>
        </w:rPr>
        <w:t>测试集，而不是承担所有</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能力评测。</w:t>
      </w:r>
    </w:p>
    <w:p>
      <w:pPr>
        <w:keepNext/>
        <w:pageBreakBefore w:val="0"/>
        <w:spacing w:before="280" w:after="160" w:line="252" w:lineRule="auto"/>
        <w:ind w:left="0" w:right="0"/>
        <w:jc w:val="left"/>
      </w:pPr>
      <w:r>
        <w:rPr>
          <w:rFonts w:ascii="Georgia" w:hAnsi="Georgia" w:eastAsia="Georgia"/>
          <w:b/>
          <w:i w:val="0"/>
          <w:color w:val="2F75B5"/>
          <w:sz w:val="37"/>
        </w:rPr>
        <w:t xml:space="preserve">6. Dataset Strategy Agreed in the Meeting / </w:t>
      </w:r>
      <w:r>
        <w:rPr>
          <w:rFonts w:ascii="Arial Unicode MS" w:hAnsi="Arial Unicode MS" w:eastAsia="Arial Unicode MS"/>
          <w:b/>
          <w:i w:val="0"/>
          <w:color w:val="2F75B5"/>
          <w:sz w:val="37"/>
        </w:rPr>
        <w:t>会议形成的数据集使用策略</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18:47–25:33</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The provisional dataset strategy assigns different roles to the three resources. KQA Pro should serve as the main dataset for final-answer quality, problem understanding, multi-hop reasoning, and varied answer types. Controlled deletion inspired by GrailQAbility should create unanswerable KQA Pro cases for refusal testing. GTSQA should be evaluated separately for evidence-level graph grounding.</w:t>
      </w:r>
    </w:p>
    <w:p>
      <w:pPr>
        <w:keepNext w:val="0"/>
        <w:pageBreakBefore w:val="0"/>
        <w:spacing w:before="0" w:after="140" w:line="283" w:lineRule="auto"/>
        <w:ind w:left="0" w:right="0"/>
        <w:jc w:val="both"/>
      </w:pPr>
      <w:r>
        <w:rPr>
          <w:rFonts w:ascii="Georgia" w:hAnsi="Georgia" w:eastAsia="Georgia"/>
          <w:b w:val="0"/>
          <w:i w:val="0"/>
          <w:color w:val="374151"/>
          <w:sz w:val="22"/>
        </w:rPr>
        <w:t>This is a staged direction rather than a frozen final benchmark. The first implementation should use a small KQA Pro subset. A graph must retain enough irrelevant context to remain meaningful, but the project should avoid loading or converting unnecessarily large graphs before the core interface and evaluation logic are proven.</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会议形成的阶段性数据集策略为三个资源分配不同角色：</w:t>
      </w:r>
      <w:r>
        <w:rPr>
          <w:rFonts w:ascii="Georgia" w:hAnsi="Georgia" w:eastAsia="Georgia"/>
          <w:b w:val="0"/>
          <w:i w:val="0"/>
          <w:color w:val="374151"/>
          <w:sz w:val="22"/>
        </w:rPr>
        <w:t xml:space="preserve">KQA Pro </w:t>
      </w:r>
      <w:r>
        <w:rPr>
          <w:rFonts w:ascii="Arial Unicode MS" w:hAnsi="Arial Unicode MS" w:eastAsia="Arial Unicode MS"/>
          <w:b w:val="0"/>
          <w:i w:val="0"/>
          <w:color w:val="374151"/>
          <w:sz w:val="22"/>
        </w:rPr>
        <w:t>作为主要数据集，测试最终答案、问题理解、多跳推理和多种答案类型；参考</w:t>
      </w:r>
      <w:r>
        <w:rPr>
          <w:rFonts w:ascii="Georgia" w:hAnsi="Georgia" w:eastAsia="Georgia"/>
          <w:b w:val="0"/>
          <w:i w:val="0"/>
          <w:color w:val="374151"/>
          <w:sz w:val="22"/>
        </w:rPr>
        <w:t xml:space="preserve"> GrailQAbility </w:t>
      </w:r>
      <w:r>
        <w:rPr>
          <w:rFonts w:ascii="Arial Unicode MS" w:hAnsi="Arial Unicode MS" w:eastAsia="Arial Unicode MS"/>
          <w:b w:val="0"/>
          <w:i w:val="0"/>
          <w:color w:val="374151"/>
          <w:sz w:val="22"/>
        </w:rPr>
        <w:t>的受控删除方法修改</w:t>
      </w:r>
      <w:r>
        <w:rPr>
          <w:rFonts w:ascii="Georgia" w:hAnsi="Georgia" w:eastAsia="Georgia"/>
          <w:b w:val="0"/>
          <w:i w:val="0"/>
          <w:color w:val="374151"/>
          <w:sz w:val="22"/>
        </w:rPr>
        <w:t xml:space="preserve"> KQA Pro</w:t>
      </w:r>
      <w:r>
        <w:rPr>
          <w:rFonts w:ascii="Arial Unicode MS" w:hAnsi="Arial Unicode MS" w:eastAsia="Arial Unicode MS"/>
          <w:b w:val="0"/>
          <w:i w:val="0"/>
          <w:color w:val="374151"/>
          <w:sz w:val="22"/>
        </w:rPr>
        <w:t>，构造拒答测试；</w:t>
      </w:r>
      <w:r>
        <w:rPr>
          <w:rFonts w:ascii="Georgia" w:hAnsi="Georgia" w:eastAsia="Georgia"/>
          <w:b w:val="0"/>
          <w:i w:val="0"/>
          <w:color w:val="374151"/>
          <w:sz w:val="22"/>
        </w:rPr>
        <w:t xml:space="preserve">GTSQA </w:t>
      </w:r>
      <w:r>
        <w:rPr>
          <w:rFonts w:ascii="Arial Unicode MS" w:hAnsi="Arial Unicode MS" w:eastAsia="Arial Unicode MS"/>
          <w:b w:val="0"/>
          <w:i w:val="0"/>
          <w:color w:val="374151"/>
          <w:sz w:val="22"/>
        </w:rPr>
        <w:t>则单独用于证据层</w:t>
      </w:r>
      <w:r>
        <w:rPr>
          <w:rFonts w:ascii="Georgia" w:hAnsi="Georgia" w:eastAsia="Georgia"/>
          <w:b w:val="0"/>
          <w:i w:val="0"/>
          <w:color w:val="374151"/>
          <w:sz w:val="22"/>
        </w:rPr>
        <w:t xml:space="preserve"> Graph Grounding </w:t>
      </w:r>
      <w:r>
        <w:rPr>
          <w:rFonts w:ascii="Arial Unicode MS" w:hAnsi="Arial Unicode MS" w:eastAsia="Arial Unicode MS"/>
          <w:b w:val="0"/>
          <w:i w:val="0"/>
          <w:color w:val="374151"/>
          <w:sz w:val="22"/>
        </w:rPr>
        <w:t>评测。</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这是一项分阶段推进方向，而不是已经冻结的最终</w:t>
      </w:r>
      <w:r>
        <w:rPr>
          <w:rFonts w:ascii="Georgia" w:hAnsi="Georgia" w:eastAsia="Georgia"/>
          <w:b w:val="0"/>
          <w:i w:val="0"/>
          <w:color w:val="374151"/>
          <w:sz w:val="22"/>
        </w:rPr>
        <w:t xml:space="preserve"> benchmark</w:t>
      </w:r>
      <w:r>
        <w:rPr>
          <w:rFonts w:ascii="Arial Unicode MS" w:hAnsi="Arial Unicode MS" w:eastAsia="Arial Unicode MS"/>
          <w:b w:val="0"/>
          <w:i w:val="0"/>
          <w:color w:val="374151"/>
          <w:sz w:val="22"/>
        </w:rPr>
        <w:t>。第一轮实现应只使用小型</w:t>
      </w:r>
      <w:r>
        <w:rPr>
          <w:rFonts w:ascii="Georgia" w:hAnsi="Georgia" w:eastAsia="Georgia"/>
          <w:b w:val="0"/>
          <w:i w:val="0"/>
          <w:color w:val="374151"/>
          <w:sz w:val="22"/>
        </w:rPr>
        <w:t xml:space="preserve"> KQA Pro </w:t>
      </w:r>
      <w:r>
        <w:rPr>
          <w:rFonts w:ascii="Arial Unicode MS" w:hAnsi="Arial Unicode MS" w:eastAsia="Arial Unicode MS"/>
          <w:b w:val="0"/>
          <w:i w:val="0"/>
          <w:color w:val="374151"/>
          <w:sz w:val="22"/>
        </w:rPr>
        <w:t>子集。所用图需要保留足够的无关背景，避免任务因只含答案路径而过于简单；但在核心接口和评测逻辑得到验证前，也不应加载或转换不必要的大型图。</w:t>
      </w:r>
    </w:p>
    <w:p>
      <w:pPr>
        <w:keepNext/>
        <w:pageBreakBefore w:val="0"/>
        <w:spacing w:before="280" w:after="160" w:line="252" w:lineRule="auto"/>
        <w:ind w:left="0" w:right="0"/>
        <w:jc w:val="left"/>
      </w:pPr>
      <w:r>
        <w:rPr>
          <w:rFonts w:ascii="Georgia" w:hAnsi="Georgia" w:eastAsia="Georgia"/>
          <w:b/>
          <w:i w:val="0"/>
          <w:color w:val="2F75B5"/>
          <w:sz w:val="37"/>
        </w:rPr>
        <w:t xml:space="preserve">7. Baseline Adaptation and Fair Comparison / </w:t>
      </w:r>
      <w:r>
        <w:rPr>
          <w:rFonts w:ascii="Arial Unicode MS" w:hAnsi="Arial Unicode MS" w:eastAsia="Arial Unicode MS"/>
          <w:b/>
          <w:i w:val="0"/>
          <w:color w:val="2F75B5"/>
          <w:sz w:val="37"/>
        </w:rPr>
        <w:t>基线适配与公平比较</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20:12–30:27; 39:38–46:50</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ARK v1 cannot directly support all KQA Pro graph features and answer types. To preserve a meaningful comparison, the meeting proposed a minimally adapted baseline, effectively version 1.1. Its graph-exploration and search strategy should remain unchanged, while only the graph interface, data conversion, and final-answer handling needed for KQA Pro should be modified.</w:t>
      </w:r>
    </w:p>
    <w:p>
      <w:pPr>
        <w:keepNext w:val="0"/>
        <w:pageBreakBefore w:val="0"/>
        <w:spacing w:before="0" w:after="140" w:line="283" w:lineRule="auto"/>
        <w:ind w:left="0" w:right="0"/>
        <w:jc w:val="both"/>
      </w:pPr>
      <w:r>
        <w:rPr>
          <w:rFonts w:ascii="Georgia" w:hAnsi="Georgia" w:eastAsia="Georgia"/>
          <w:b w:val="0"/>
          <w:i w:val="0"/>
          <w:color w:val="374151"/>
          <w:sz w:val="22"/>
        </w:rPr>
        <w:t>Adaptation should stop once the baseline can execute the selected questions. Extensive changes to its inner strategy would make the comparison unfair. The student’s own Agent should be designed as a new version rather than as an indefinite sequence of improvements to v1. Ideally, the new Agent will also support the earlier evaluation set of approximately 174 questions, enabling comparisons on both the legacy data and KQA Pro.</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Georgia" w:hAnsi="Georgia" w:eastAsia="Georgia"/>
          <w:b w:val="0"/>
          <w:i w:val="0"/>
          <w:color w:val="374151"/>
          <w:sz w:val="22"/>
        </w:rPr>
        <w:t xml:space="preserve">ARK v1 </w:t>
      </w:r>
      <w:r>
        <w:rPr>
          <w:rFonts w:ascii="Arial Unicode MS" w:hAnsi="Arial Unicode MS" w:eastAsia="Arial Unicode MS"/>
          <w:b w:val="0"/>
          <w:i w:val="0"/>
          <w:color w:val="374151"/>
          <w:sz w:val="22"/>
        </w:rPr>
        <w:t>无法直接支持</w:t>
      </w:r>
      <w:r>
        <w:rPr>
          <w:rFonts w:ascii="Georgia" w:hAnsi="Georgia" w:eastAsia="Georgia"/>
          <w:b w:val="0"/>
          <w:i w:val="0"/>
          <w:color w:val="374151"/>
          <w:sz w:val="22"/>
        </w:rPr>
        <w:t xml:space="preserve"> KQA Pro </w:t>
      </w:r>
      <w:r>
        <w:rPr>
          <w:rFonts w:ascii="Arial Unicode MS" w:hAnsi="Arial Unicode MS" w:eastAsia="Arial Unicode MS"/>
          <w:b w:val="0"/>
          <w:i w:val="0"/>
          <w:color w:val="374151"/>
          <w:sz w:val="22"/>
        </w:rPr>
        <w:t>的全部图特征和答案类型。为了保留有意义的比较，会议提出建立一个最小适配的基线，即实质上的</w:t>
      </w:r>
      <w:r>
        <w:rPr>
          <w:rFonts w:ascii="Georgia" w:hAnsi="Georgia" w:eastAsia="Georgia"/>
          <w:b w:val="0"/>
          <w:i w:val="0"/>
          <w:color w:val="374151"/>
          <w:sz w:val="22"/>
        </w:rPr>
        <w:t xml:space="preserve"> version 1.1</w:t>
      </w:r>
      <w:r>
        <w:rPr>
          <w:rFonts w:ascii="Arial Unicode MS" w:hAnsi="Arial Unicode MS" w:eastAsia="Arial Unicode MS"/>
          <w:b w:val="0"/>
          <w:i w:val="0"/>
          <w:color w:val="374151"/>
          <w:sz w:val="22"/>
        </w:rPr>
        <w:t>。其图探索和搜索策略应保持不变，只修改接入</w:t>
      </w:r>
      <w:r>
        <w:rPr>
          <w:rFonts w:ascii="Georgia" w:hAnsi="Georgia" w:eastAsia="Georgia"/>
          <w:b w:val="0"/>
          <w:i w:val="0"/>
          <w:color w:val="374151"/>
          <w:sz w:val="22"/>
        </w:rPr>
        <w:t xml:space="preserve"> KQA Pro </w:t>
      </w:r>
      <w:r>
        <w:rPr>
          <w:rFonts w:ascii="Arial Unicode MS" w:hAnsi="Arial Unicode MS" w:eastAsia="Arial Unicode MS"/>
          <w:b w:val="0"/>
          <w:i w:val="0"/>
          <w:color w:val="374151"/>
          <w:sz w:val="22"/>
        </w:rPr>
        <w:t>所必需的图接口、数据转换和最终答案处理。</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一旦基线可以运行所选问题，就应停止扩大修改范围。若大幅改变其内部策略，比较将不再公平。学生自己的</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应作为一个新版本独立设计，而不是无限延续对</w:t>
      </w:r>
      <w:r>
        <w:rPr>
          <w:rFonts w:ascii="Georgia" w:hAnsi="Georgia" w:eastAsia="Georgia"/>
          <w:b w:val="0"/>
          <w:i w:val="0"/>
          <w:color w:val="374151"/>
          <w:sz w:val="22"/>
        </w:rPr>
        <w:t xml:space="preserve"> v1 </w:t>
      </w:r>
      <w:r>
        <w:rPr>
          <w:rFonts w:ascii="Arial Unicode MS" w:hAnsi="Arial Unicode MS" w:eastAsia="Arial Unicode MS"/>
          <w:b w:val="0"/>
          <w:i w:val="0"/>
          <w:color w:val="374151"/>
          <w:sz w:val="22"/>
        </w:rPr>
        <w:t>的增量改进。理想情况下，新</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还应支持旧版约</w:t>
      </w:r>
      <w:r>
        <w:rPr>
          <w:rFonts w:ascii="Georgia" w:hAnsi="Georgia" w:eastAsia="Georgia"/>
          <w:b w:val="0"/>
          <w:i w:val="0"/>
          <w:color w:val="374151"/>
          <w:sz w:val="22"/>
        </w:rPr>
        <w:t xml:space="preserve"> 174 </w:t>
      </w:r>
      <w:r>
        <w:rPr>
          <w:rFonts w:ascii="Arial Unicode MS" w:hAnsi="Arial Unicode MS" w:eastAsia="Arial Unicode MS"/>
          <w:b w:val="0"/>
          <w:i w:val="0"/>
          <w:color w:val="374151"/>
          <w:sz w:val="22"/>
        </w:rPr>
        <w:t>个问题的评测数据，从而同时在旧数据与</w:t>
      </w:r>
      <w:r>
        <w:rPr>
          <w:rFonts w:ascii="Georgia" w:hAnsi="Georgia" w:eastAsia="Georgia"/>
          <w:b w:val="0"/>
          <w:i w:val="0"/>
          <w:color w:val="374151"/>
          <w:sz w:val="22"/>
        </w:rPr>
        <w:t xml:space="preserve"> KQA Pro </w:t>
      </w:r>
      <w:r>
        <w:rPr>
          <w:rFonts w:ascii="Arial Unicode MS" w:hAnsi="Arial Unicode MS" w:eastAsia="Arial Unicode MS"/>
          <w:b w:val="0"/>
          <w:i w:val="0"/>
          <w:color w:val="374151"/>
          <w:sz w:val="22"/>
        </w:rPr>
        <w:t>上进行比较。</w:t>
      </w:r>
    </w:p>
    <w:p>
      <w:pPr>
        <w:keepNext/>
        <w:pageBreakBefore w:val="0"/>
        <w:spacing w:before="280" w:after="160" w:line="252" w:lineRule="auto"/>
        <w:ind w:left="0" w:right="0"/>
        <w:jc w:val="left"/>
      </w:pPr>
      <w:r>
        <w:rPr>
          <w:rFonts w:ascii="Georgia" w:hAnsi="Georgia" w:eastAsia="Georgia"/>
          <w:b/>
          <w:i w:val="0"/>
          <w:color w:val="2F75B5"/>
          <w:sz w:val="37"/>
        </w:rPr>
        <w:t xml:space="preserve">8. Minimum Viable Dataset and End-to-End Evaluation Pipeline / </w:t>
      </w:r>
      <w:r>
        <w:rPr>
          <w:rFonts w:ascii="Arial Unicode MS" w:hAnsi="Arial Unicode MS" w:eastAsia="Arial Unicode MS"/>
          <w:b/>
          <w:i w:val="0"/>
          <w:color w:val="2F75B5"/>
          <w:sz w:val="37"/>
        </w:rPr>
        <w:t>最小可行数据集与端到端评测工作流</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28:26–31:07; 36:16–42:51</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The first minimum viable dataset should contain approximately six representative question types with about two questions per type, producing roughly twelve items. The subset should cover varied answer types, solving strategies, graph patterns, and Agent capabilities. Its purpose is not to be the final benchmark, but to verify that the Agent can interact with the new graph without uncontrolled loops or incompatible outputs.</w:t>
      </w:r>
    </w:p>
    <w:p>
      <w:pPr>
        <w:keepNext w:val="0"/>
        <w:pageBreakBefore w:val="0"/>
        <w:spacing w:before="0" w:after="140" w:line="283" w:lineRule="auto"/>
        <w:ind w:left="0" w:right="0"/>
        <w:jc w:val="both"/>
      </w:pPr>
      <w:r>
        <w:rPr>
          <w:rFonts w:ascii="Georgia" w:hAnsi="Georgia" w:eastAsia="Georgia"/>
          <w:b w:val="0"/>
          <w:i w:val="0"/>
          <w:color w:val="374151"/>
          <w:sz w:val="22"/>
        </w:rPr>
        <w:t>The supervisors emphasized building the experiment infrastructure early. The small set should already connect dataset input, graph access, Agent execution, structured logging, normalized predictions, ground truth, result storage, and metric calculation. Once this pipeline is stable, the Agent implementation can be replaced while the experimental and evaluation layers remain consistent.</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第一版</w:t>
      </w:r>
      <w:r>
        <w:rPr>
          <w:rFonts w:ascii="Georgia" w:hAnsi="Georgia" w:eastAsia="Georgia"/>
          <w:b w:val="0"/>
          <w:i w:val="0"/>
          <w:color w:val="374151"/>
          <w:sz w:val="22"/>
        </w:rPr>
        <w:t xml:space="preserve"> minimum viable dataset </w:t>
      </w:r>
      <w:r>
        <w:rPr>
          <w:rFonts w:ascii="Arial Unicode MS" w:hAnsi="Arial Unicode MS" w:eastAsia="Arial Unicode MS"/>
          <w:b w:val="0"/>
          <w:i w:val="0"/>
          <w:color w:val="374151"/>
          <w:sz w:val="22"/>
        </w:rPr>
        <w:t>应包含约六种代表性问题类型，每类约两个问题，总计约十二个样本。该子集需要覆盖不同答案类型、解题策略、图模式和</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能力。它不是最终</w:t>
      </w:r>
      <w:r>
        <w:rPr>
          <w:rFonts w:ascii="Georgia" w:hAnsi="Georgia" w:eastAsia="Georgia"/>
          <w:b w:val="0"/>
          <w:i w:val="0"/>
          <w:color w:val="374151"/>
          <w:sz w:val="22"/>
        </w:rPr>
        <w:t xml:space="preserve"> benchmark</w:t>
      </w:r>
      <w:r>
        <w:rPr>
          <w:rFonts w:ascii="Arial Unicode MS" w:hAnsi="Arial Unicode MS" w:eastAsia="Arial Unicode MS"/>
          <w:b w:val="0"/>
          <w:i w:val="0"/>
          <w:color w:val="374151"/>
          <w:sz w:val="22"/>
        </w:rPr>
        <w:t>，而是用于验证</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能否与新知识图谱交互，并避免陷入无限循环或产生不兼容输出。</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导师强调应尽早建立实验基础设施。即使只有小型数据集，也应串联</w:t>
      </w:r>
      <w:r>
        <w:rPr>
          <w:rFonts w:ascii="Georgia" w:hAnsi="Georgia" w:eastAsia="Georgia"/>
          <w:b w:val="0"/>
          <w:i w:val="0"/>
          <w:color w:val="374151"/>
          <w:sz w:val="22"/>
        </w:rPr>
        <w:t xml:space="preserve"> dataset input</w:t>
      </w:r>
      <w:r>
        <w:rPr>
          <w:rFonts w:ascii="Arial Unicode MS" w:hAnsi="Arial Unicode MS" w:eastAsia="Arial Unicode MS"/>
          <w:b w:val="0"/>
          <w:i w:val="0"/>
          <w:color w:val="374151"/>
          <w:sz w:val="22"/>
        </w:rPr>
        <w:t>、</w:t>
      </w:r>
      <w:r>
        <w:rPr>
          <w:rFonts w:ascii="Georgia" w:hAnsi="Georgia" w:eastAsia="Georgia"/>
          <w:b w:val="0"/>
          <w:i w:val="0"/>
          <w:color w:val="374151"/>
          <w:sz w:val="22"/>
        </w:rPr>
        <w:t>graph access</w:t>
      </w:r>
      <w:r>
        <w:rPr>
          <w:rFonts w:ascii="Arial Unicode MS" w:hAnsi="Arial Unicode MS" w:eastAsia="Arial Unicode MS"/>
          <w:b w:val="0"/>
          <w:i w:val="0"/>
          <w:color w:val="374151"/>
          <w:sz w:val="22"/>
        </w:rPr>
        <w:t>、</w:t>
      </w:r>
      <w:r>
        <w:rPr>
          <w:rFonts w:ascii="Georgia" w:hAnsi="Georgia" w:eastAsia="Georgia"/>
          <w:b w:val="0"/>
          <w:i w:val="0"/>
          <w:color w:val="374151"/>
          <w:sz w:val="22"/>
        </w:rPr>
        <w:t>Agent execution</w:t>
      </w:r>
      <w:r>
        <w:rPr>
          <w:rFonts w:ascii="Arial Unicode MS" w:hAnsi="Arial Unicode MS" w:eastAsia="Arial Unicode MS"/>
          <w:b w:val="0"/>
          <w:i w:val="0"/>
          <w:color w:val="374151"/>
          <w:sz w:val="22"/>
        </w:rPr>
        <w:t>、</w:t>
      </w:r>
      <w:r>
        <w:rPr>
          <w:rFonts w:ascii="Georgia" w:hAnsi="Georgia" w:eastAsia="Georgia"/>
          <w:b w:val="0"/>
          <w:i w:val="0"/>
          <w:color w:val="374151"/>
          <w:sz w:val="22"/>
        </w:rPr>
        <w:t>structured logging</w:t>
      </w:r>
      <w:r>
        <w:rPr>
          <w:rFonts w:ascii="Arial Unicode MS" w:hAnsi="Arial Unicode MS" w:eastAsia="Arial Unicode MS"/>
          <w:b w:val="0"/>
          <w:i w:val="0"/>
          <w:color w:val="374151"/>
          <w:sz w:val="22"/>
        </w:rPr>
        <w:t>、规范化预测、</w:t>
      </w:r>
      <w:r>
        <w:rPr>
          <w:rFonts w:ascii="Georgia" w:hAnsi="Georgia" w:eastAsia="Georgia"/>
          <w:b w:val="0"/>
          <w:i w:val="0"/>
          <w:color w:val="374151"/>
          <w:sz w:val="22"/>
        </w:rPr>
        <w:t>ground truth</w:t>
      </w:r>
      <w:r>
        <w:rPr>
          <w:rFonts w:ascii="Arial Unicode MS" w:hAnsi="Arial Unicode MS" w:eastAsia="Arial Unicode MS"/>
          <w:b w:val="0"/>
          <w:i w:val="0"/>
          <w:color w:val="374151"/>
          <w:sz w:val="22"/>
        </w:rPr>
        <w:t>、结果存储和指标计算。工作流稳定后，可以替换</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实现，而实验与评测层保持一致。</w:t>
      </w:r>
    </w:p>
    <w:p>
      <w:pPr>
        <w:keepNext/>
        <w:pageBreakBefore w:val="0"/>
        <w:spacing w:before="280" w:after="160" w:line="252" w:lineRule="auto"/>
        <w:ind w:left="0" w:right="0"/>
        <w:jc w:val="left"/>
      </w:pPr>
      <w:r>
        <w:rPr>
          <w:rFonts w:ascii="Georgia" w:hAnsi="Georgia" w:eastAsia="Georgia"/>
          <w:b/>
          <w:i w:val="0"/>
          <w:color w:val="2F75B5"/>
          <w:sz w:val="37"/>
        </w:rPr>
        <w:t xml:space="preserve">9. Unified Logging, Tracing, and Efficiency Metrics / </w:t>
      </w:r>
      <w:r>
        <w:rPr>
          <w:rFonts w:ascii="Arial Unicode MS" w:hAnsi="Arial Unicode MS" w:eastAsia="Arial Unicode MS"/>
          <w:b/>
          <w:i w:val="0"/>
          <w:color w:val="2F75B5"/>
          <w:sz w:val="37"/>
        </w:rPr>
        <w:t>统一日志、</w:t>
      </w:r>
      <w:r>
        <w:rPr>
          <w:rFonts w:ascii="Georgia" w:hAnsi="Georgia" w:eastAsia="Georgia"/>
          <w:b/>
          <w:i w:val="0"/>
          <w:color w:val="2F75B5"/>
          <w:sz w:val="37"/>
        </w:rPr>
        <w:t xml:space="preserve">Tracing </w:t>
      </w:r>
      <w:r>
        <w:rPr>
          <w:rFonts w:ascii="Arial Unicode MS" w:hAnsi="Arial Unicode MS" w:eastAsia="Arial Unicode MS"/>
          <w:b/>
          <w:i w:val="0"/>
          <w:color w:val="2F75B5"/>
          <w:sz w:val="37"/>
        </w:rPr>
        <w:t>与效率指标</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31:07–32:25; 37:53–39:35</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The evaluation must measure more than final-answer correctness. The supervisors highlighted the effort required to obtain an answer, including execution time and the number or repetition of intermediate operations. Langfuse or a similar tracing layer may capture operational traces without requiring the thesis to rebuild all low-level observability infrastructure.</w:t>
      </w:r>
    </w:p>
    <w:p>
      <w:pPr>
        <w:keepNext w:val="0"/>
        <w:pageBreakBefore w:val="0"/>
        <w:spacing w:before="0" w:after="140" w:line="283" w:lineRule="auto"/>
        <w:ind w:left="0" w:right="0"/>
        <w:jc w:val="both"/>
      </w:pPr>
      <w:r>
        <w:rPr>
          <w:rFonts w:ascii="Georgia" w:hAnsi="Georgia" w:eastAsia="Georgia"/>
          <w:b w:val="0"/>
          <w:i w:val="0"/>
          <w:color w:val="374151"/>
          <w:sz w:val="22"/>
        </w:rPr>
        <w:t>The common evaluation export should retain normalized fields that support comparison across Agent versions while allowing architecture-specific traces as optional detail. Each question run should produce a stored result that can later be aggregated by the evaluation program. The precise efficiency metrics remain to be selected, but the necessary logging should be present from the first pilot.</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评测不能只衡量最终答案是否正确。导师强调还需要记录得到答案所付出的努力，包括执行时间以及中间操作的数量或重复程度。</w:t>
      </w:r>
      <w:r>
        <w:rPr>
          <w:rFonts w:ascii="Georgia" w:hAnsi="Georgia" w:eastAsia="Georgia"/>
          <w:b w:val="0"/>
          <w:i w:val="0"/>
          <w:color w:val="374151"/>
          <w:sz w:val="22"/>
        </w:rPr>
        <w:t xml:space="preserve">Langfuse </w:t>
      </w:r>
      <w:r>
        <w:rPr>
          <w:rFonts w:ascii="Arial Unicode MS" w:hAnsi="Arial Unicode MS" w:eastAsia="Arial Unicode MS"/>
          <w:b w:val="0"/>
          <w:i w:val="0"/>
          <w:color w:val="374151"/>
          <w:sz w:val="22"/>
        </w:rPr>
        <w:t>或类似</w:t>
      </w:r>
      <w:r>
        <w:rPr>
          <w:rFonts w:ascii="Georgia" w:hAnsi="Georgia" w:eastAsia="Georgia"/>
          <w:b w:val="0"/>
          <w:i w:val="0"/>
          <w:color w:val="374151"/>
          <w:sz w:val="22"/>
        </w:rPr>
        <w:t xml:space="preserve"> tracing </w:t>
      </w:r>
      <w:r>
        <w:rPr>
          <w:rFonts w:ascii="Arial Unicode MS" w:hAnsi="Arial Unicode MS" w:eastAsia="Arial Unicode MS"/>
          <w:b w:val="0"/>
          <w:i w:val="0"/>
          <w:color w:val="374151"/>
          <w:sz w:val="22"/>
        </w:rPr>
        <w:t>层可以保存运行轨迹，从而避免论文从零实现全部底层可观测基础设施。</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统一评测导出应保留可比较的规范化字段，并允许把架构特有</w:t>
      </w:r>
      <w:r>
        <w:rPr>
          <w:rFonts w:ascii="Georgia" w:hAnsi="Georgia" w:eastAsia="Georgia"/>
          <w:b w:val="0"/>
          <w:i w:val="0"/>
          <w:color w:val="374151"/>
          <w:sz w:val="22"/>
        </w:rPr>
        <w:t xml:space="preserve"> trace </w:t>
      </w:r>
      <w:r>
        <w:rPr>
          <w:rFonts w:ascii="Arial Unicode MS" w:hAnsi="Arial Unicode MS" w:eastAsia="Arial Unicode MS"/>
          <w:b w:val="0"/>
          <w:i w:val="0"/>
          <w:color w:val="374151"/>
          <w:sz w:val="22"/>
        </w:rPr>
        <w:t>作为可选信息。每个问题的单次运行都应生成可存储结果，再由评测程序统一汇总。具体效率指标尚待选择，但第一轮</w:t>
      </w:r>
      <w:r>
        <w:rPr>
          <w:rFonts w:ascii="Georgia" w:hAnsi="Georgia" w:eastAsia="Georgia"/>
          <w:b w:val="0"/>
          <w:i w:val="0"/>
          <w:color w:val="374151"/>
          <w:sz w:val="22"/>
        </w:rPr>
        <w:t xml:space="preserve"> pilot </w:t>
      </w:r>
      <w:r>
        <w:rPr>
          <w:rFonts w:ascii="Arial Unicode MS" w:hAnsi="Arial Unicode MS" w:eastAsia="Arial Unicode MS"/>
          <w:b w:val="0"/>
          <w:i w:val="0"/>
          <w:color w:val="374151"/>
          <w:sz w:val="22"/>
        </w:rPr>
        <w:t>就应记录未来计算这些指标所需的信息。</w:t>
      </w:r>
    </w:p>
    <w:p>
      <w:pPr>
        <w:keepNext/>
        <w:pageBreakBefore w:val="0"/>
        <w:spacing w:before="280" w:after="160" w:line="252" w:lineRule="auto"/>
        <w:ind w:left="0" w:right="0"/>
        <w:jc w:val="left"/>
      </w:pPr>
      <w:r>
        <w:rPr>
          <w:rFonts w:ascii="Georgia" w:hAnsi="Georgia" w:eastAsia="Georgia"/>
          <w:b/>
          <w:i w:val="0"/>
          <w:color w:val="2F75B5"/>
          <w:sz w:val="37"/>
        </w:rPr>
        <w:t xml:space="preserve">10. Model Access and Cost-Control Strategy / </w:t>
      </w:r>
      <w:r>
        <w:rPr>
          <w:rFonts w:ascii="Arial Unicode MS" w:hAnsi="Arial Unicode MS" w:eastAsia="Arial Unicode MS"/>
          <w:b/>
          <w:i w:val="0"/>
          <w:color w:val="2F75B5"/>
          <w:sz w:val="37"/>
        </w:rPr>
        <w:t>模型访问与成本控制方案</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32:27–35:40; 51:43–55:08</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For initial development, the supervisor will provide an OpenRouter API key. Cloud access is the fastest route for debugging, and inexpensive models such as DeepSeek were recommended instead of costly frontier models. The implementation should make model selection configurable so that cloud-hosted and local models can later be compared without redesigning the Agent workflow.</w:t>
      </w:r>
    </w:p>
    <w:p>
      <w:pPr>
        <w:keepNext w:val="0"/>
        <w:pageBreakBefore w:val="0"/>
        <w:spacing w:before="0" w:after="140" w:line="283" w:lineRule="auto"/>
        <w:ind w:left="0" w:right="0"/>
        <w:jc w:val="both"/>
      </w:pPr>
      <w:r>
        <w:rPr>
          <w:rFonts w:ascii="Georgia" w:hAnsi="Georgia" w:eastAsia="Georgia"/>
          <w:b w:val="0"/>
          <w:i w:val="0"/>
          <w:color w:val="374151"/>
          <w:sz w:val="22"/>
        </w:rPr>
        <w:t>The supervisor will also investigate whether an Ollama service on a workstation can be exposed remotely. Final evaluation may include both a local smaller model and stronger hosted models, but the exact model set remains undecided. Before large experiments, call volume, token use, and cost should be estimated; debugging should use small samples and low-cost models.</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初期开发将使用导师提供的</w:t>
      </w:r>
      <w:r>
        <w:rPr>
          <w:rFonts w:ascii="Georgia" w:hAnsi="Georgia" w:eastAsia="Georgia"/>
          <w:b w:val="0"/>
          <w:i w:val="0"/>
          <w:color w:val="374151"/>
          <w:sz w:val="22"/>
        </w:rPr>
        <w:t xml:space="preserve"> OpenRouter API Key</w:t>
      </w:r>
      <w:r>
        <w:rPr>
          <w:rFonts w:ascii="Arial Unicode MS" w:hAnsi="Arial Unicode MS" w:eastAsia="Arial Unicode MS"/>
          <w:b w:val="0"/>
          <w:i w:val="0"/>
          <w:color w:val="374151"/>
          <w:sz w:val="22"/>
        </w:rPr>
        <w:t>。云端访问最适合快速调试，会议建议优先选择</w:t>
      </w:r>
      <w:r>
        <w:rPr>
          <w:rFonts w:ascii="Georgia" w:hAnsi="Georgia" w:eastAsia="Georgia"/>
          <w:b w:val="0"/>
          <w:i w:val="0"/>
          <w:color w:val="374151"/>
          <w:sz w:val="22"/>
        </w:rPr>
        <w:t xml:space="preserve"> DeepSeek </w:t>
      </w:r>
      <w:r>
        <w:rPr>
          <w:rFonts w:ascii="Arial Unicode MS" w:hAnsi="Arial Unicode MS" w:eastAsia="Arial Unicode MS"/>
          <w:b w:val="0"/>
          <w:i w:val="0"/>
          <w:color w:val="374151"/>
          <w:sz w:val="22"/>
        </w:rPr>
        <w:t>等低成本模型，而不是直接使用昂贵的前沿模型。实现中应把模型选择设计为可配置项，使云端模型和本地模型能够在不重构</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工作流的情况下切换和比较。</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导师还将检查能否远程开放工作站上的</w:t>
      </w:r>
      <w:r>
        <w:rPr>
          <w:rFonts w:ascii="Georgia" w:hAnsi="Georgia" w:eastAsia="Georgia"/>
          <w:b w:val="0"/>
          <w:i w:val="0"/>
          <w:color w:val="374151"/>
          <w:sz w:val="22"/>
        </w:rPr>
        <w:t xml:space="preserve"> Ollama </w:t>
      </w:r>
      <w:r>
        <w:rPr>
          <w:rFonts w:ascii="Arial Unicode MS" w:hAnsi="Arial Unicode MS" w:eastAsia="Arial Unicode MS"/>
          <w:b w:val="0"/>
          <w:i w:val="0"/>
          <w:color w:val="374151"/>
          <w:sz w:val="22"/>
        </w:rPr>
        <w:t>服务。最终评测可能同时包含本地小模型和更强的云端模型，但具体模型组合尚未确定。开展大规模实验前，应估算调用次数、</w:t>
      </w:r>
      <w:r>
        <w:rPr>
          <w:rFonts w:ascii="Georgia" w:hAnsi="Georgia" w:eastAsia="Georgia"/>
          <w:b w:val="0"/>
          <w:i w:val="0"/>
          <w:color w:val="374151"/>
          <w:sz w:val="22"/>
        </w:rPr>
        <w:t xml:space="preserve">Token </w:t>
      </w:r>
      <w:r>
        <w:rPr>
          <w:rFonts w:ascii="Arial Unicode MS" w:hAnsi="Arial Unicode MS" w:eastAsia="Arial Unicode MS"/>
          <w:b w:val="0"/>
          <w:i w:val="0"/>
          <w:color w:val="374151"/>
          <w:sz w:val="22"/>
        </w:rPr>
        <w:t>使用和费用；调试阶段则只使用小样本和低成本模型。</w:t>
      </w:r>
    </w:p>
    <w:p>
      <w:pPr>
        <w:keepNext/>
        <w:pageBreakBefore w:val="0"/>
        <w:spacing w:before="280" w:after="160" w:line="252" w:lineRule="auto"/>
        <w:ind w:left="0" w:right="0"/>
        <w:jc w:val="left"/>
      </w:pPr>
      <w:r>
        <w:rPr>
          <w:rFonts w:ascii="Georgia" w:hAnsi="Georgia" w:eastAsia="Georgia"/>
          <w:b/>
          <w:i w:val="0"/>
          <w:color w:val="2F75B5"/>
          <w:sz w:val="37"/>
        </w:rPr>
        <w:t xml:space="preserve">11. Batch Execution and Scope Boundary / </w:t>
      </w:r>
      <w:r>
        <w:rPr>
          <w:rFonts w:ascii="Arial Unicode MS" w:hAnsi="Arial Unicode MS" w:eastAsia="Arial Unicode MS"/>
          <w:b/>
          <w:i w:val="0"/>
          <w:color w:val="2F75B5"/>
          <w:sz w:val="37"/>
        </w:rPr>
        <w:t>批量执行方式与范围边界</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Main transcript interval / </w:t>
            </w:r>
            <w:r>
              <w:rPr>
                <w:rFonts w:ascii="Arial Unicode MS" w:hAnsi="Arial Unicode MS" w:eastAsia="Arial Unicode MS"/>
                <w:b/>
                <w:i w:val="0"/>
                <w:color w:val="1F4E79"/>
                <w:sz w:val="18"/>
              </w:rPr>
              <w:t>主要会议时间段</w:t>
            </w:r>
            <w:r>
              <w:rPr>
                <w:rFonts w:ascii="Georgia" w:hAnsi="Georgia" w:eastAsia="Georgia"/>
                <w:b/>
                <w:i w:val="0"/>
                <w:color w:val="1F4E79"/>
                <w:sz w:val="18"/>
              </w:rPr>
              <w:t>: 46:50–51:40</w:t>
            </w:r>
          </w:p>
        </w:tc>
      </w:tr>
    </w:tbl>
    <w:p>
      <w:pPr>
        <w:keepNext/>
        <w:pageBreakBefore w:val="0"/>
        <w:spacing w:before="160" w:after="100" w:line="240" w:lineRule="auto"/>
        <w:ind w:left="0" w:right="0"/>
      </w:pPr>
      <w:r>
        <w:rPr>
          <w:rFonts w:ascii="Georgia" w:hAnsi="Georgia" w:eastAsia="Georgia"/>
          <w:b/>
          <w:i w:val="0"/>
          <w:color w:val="2F75B5"/>
          <w:sz w:val="21"/>
        </w:rPr>
        <w:t>ENGLISH SUMMARY</w:t>
      </w:r>
    </w:p>
    <w:p>
      <w:pPr>
        <w:keepNext w:val="0"/>
        <w:pageBreakBefore w:val="0"/>
        <w:spacing w:before="0" w:after="140" w:line="283" w:lineRule="auto"/>
        <w:ind w:left="0" w:right="0"/>
        <w:jc w:val="both"/>
      </w:pPr>
      <w:r>
        <w:rPr>
          <w:rFonts w:ascii="Georgia" w:hAnsi="Georgia" w:eastAsia="Georgia"/>
          <w:b w:val="0"/>
          <w:i w:val="0"/>
          <w:color w:val="374151"/>
          <w:sz w:val="22"/>
        </w:rPr>
        <w:t>Dataset questions should be treated as independent Agent runs. Instead of placing approximately two hundred questions into one conversation, the evaluation runner should invoke the Agent for each question, store the answer and trace, and aggregate the resulting records. Sequential execution is the simplest initial implementation; limited parallelism may later be used for cloud requests when rate limits and cost are controlled.</w:t>
      </w:r>
    </w:p>
    <w:p>
      <w:pPr>
        <w:keepNext w:val="0"/>
        <w:pageBreakBefore w:val="0"/>
        <w:spacing w:before="0" w:after="140" w:line="283" w:lineRule="auto"/>
        <w:ind w:left="0" w:right="0"/>
        <w:jc w:val="both"/>
      </w:pPr>
      <w:r>
        <w:rPr>
          <w:rFonts w:ascii="Georgia" w:hAnsi="Georgia" w:eastAsia="Georgia"/>
          <w:b w:val="0"/>
          <w:i w:val="0"/>
          <w:color w:val="374151"/>
          <w:sz w:val="22"/>
        </w:rPr>
        <w:t>Local-model inference may need to remain sequential because the available GPU can host only one loaded model at a time. A sub-agent-per-question design was mentioned as a possible parallel mechanism, but both participants recognized that it would introduce a separate multi-agent architecture question. It should therefore remain outside the main thesis scope unless later evidence makes it necessary. The final Agent architecture, property-graph representation, graph-query strategy, and exact grounding metrics remain open and should follow evidence from the minimum dataset and baseline runs.</w:t>
      </w:r>
    </w:p>
    <w:p>
      <w:pPr>
        <w:keepNext/>
        <w:pageBreakBefore w:val="0"/>
        <w:spacing w:before="160" w:after="100" w:line="240" w:lineRule="auto"/>
        <w:ind w:left="0" w:right="0"/>
      </w:pPr>
      <w:r>
        <w:rPr>
          <w:rFonts w:ascii="Arial Unicode MS" w:hAnsi="Arial Unicode MS" w:eastAsia="Arial Unicode MS"/>
          <w:b/>
          <w:i w:val="0"/>
          <w:color w:val="2F75B5"/>
          <w:sz w:val="21"/>
        </w:rPr>
        <w:t>中文总结</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数据集问题应被视为相互独立的</w:t>
      </w:r>
      <w:r>
        <w:rPr>
          <w:rFonts w:ascii="Georgia" w:hAnsi="Georgia" w:eastAsia="Georgia"/>
          <w:b w:val="0"/>
          <w:i w:val="0"/>
          <w:color w:val="374151"/>
          <w:sz w:val="22"/>
        </w:rPr>
        <w:t xml:space="preserve"> Agent runs</w:t>
      </w:r>
      <w:r>
        <w:rPr>
          <w:rFonts w:ascii="Arial Unicode MS" w:hAnsi="Arial Unicode MS" w:eastAsia="Arial Unicode MS"/>
          <w:b w:val="0"/>
          <w:i w:val="0"/>
          <w:color w:val="374151"/>
          <w:sz w:val="22"/>
        </w:rPr>
        <w:t>。与其把约两百个问题放入一次对话，评测执行器应逐题调用</w:t>
      </w:r>
      <w:r>
        <w:rPr>
          <w:rFonts w:ascii="Georgia" w:hAnsi="Georgia" w:eastAsia="Georgia"/>
          <w:b w:val="0"/>
          <w:i w:val="0"/>
          <w:color w:val="374151"/>
          <w:sz w:val="22"/>
        </w:rPr>
        <w:t xml:space="preserve"> Agent</w:t>
      </w:r>
      <w:r>
        <w:rPr>
          <w:rFonts w:ascii="Arial Unicode MS" w:hAnsi="Arial Unicode MS" w:eastAsia="Arial Unicode MS"/>
          <w:b w:val="0"/>
          <w:i w:val="0"/>
          <w:color w:val="374151"/>
          <w:sz w:val="22"/>
        </w:rPr>
        <w:t>，保存答案和</w:t>
      </w:r>
      <w:r>
        <w:rPr>
          <w:rFonts w:ascii="Georgia" w:hAnsi="Georgia" w:eastAsia="Georgia"/>
          <w:b w:val="0"/>
          <w:i w:val="0"/>
          <w:color w:val="374151"/>
          <w:sz w:val="22"/>
        </w:rPr>
        <w:t xml:space="preserve"> trace</w:t>
      </w:r>
      <w:r>
        <w:rPr>
          <w:rFonts w:ascii="Arial Unicode MS" w:hAnsi="Arial Unicode MS" w:eastAsia="Arial Unicode MS"/>
          <w:b w:val="0"/>
          <w:i w:val="0"/>
          <w:color w:val="374151"/>
          <w:sz w:val="22"/>
        </w:rPr>
        <w:t>，再汇总所有结果记录。顺序执行是最简单的第一版实现；在速率限制和成本可控时，云端请求可以后续加入有限并发。</w:t>
      </w:r>
    </w:p>
    <w:p>
      <w:pPr>
        <w:keepNext w:val="0"/>
        <w:pageBreakBefore w:val="0"/>
        <w:spacing w:before="0" w:after="140" w:line="283" w:lineRule="auto"/>
        <w:ind w:left="0" w:right="0"/>
        <w:jc w:val="both"/>
      </w:pPr>
      <w:r>
        <w:rPr>
          <w:rFonts w:ascii="Arial Unicode MS" w:hAnsi="Arial Unicode MS" w:eastAsia="Arial Unicode MS"/>
          <w:b w:val="0"/>
          <w:i w:val="0"/>
          <w:color w:val="374151"/>
          <w:sz w:val="22"/>
        </w:rPr>
        <w:t>由于可用</w:t>
      </w:r>
      <w:r>
        <w:rPr>
          <w:rFonts w:ascii="Georgia" w:hAnsi="Georgia" w:eastAsia="Georgia"/>
          <w:b w:val="0"/>
          <w:i w:val="0"/>
          <w:color w:val="374151"/>
          <w:sz w:val="22"/>
        </w:rPr>
        <w:t xml:space="preserve"> GPU </w:t>
      </w:r>
      <w:r>
        <w:rPr>
          <w:rFonts w:ascii="Arial Unicode MS" w:hAnsi="Arial Unicode MS" w:eastAsia="Arial Unicode MS"/>
          <w:b w:val="0"/>
          <w:i w:val="0"/>
          <w:color w:val="374151"/>
          <w:sz w:val="22"/>
        </w:rPr>
        <w:t>同一时间只能承载一个已加载模型，本地模型推理可能需要保持顺序执行。会议提到</w:t>
      </w:r>
      <w:r>
        <w:rPr>
          <w:rFonts w:ascii="Georgia" w:hAnsi="Georgia" w:eastAsia="Georgia"/>
          <w:b w:val="0"/>
          <w:i w:val="0"/>
          <w:color w:val="374151"/>
          <w:sz w:val="22"/>
        </w:rPr>
        <w:t>“</w:t>
      </w:r>
      <w:r>
        <w:rPr>
          <w:rFonts w:ascii="Arial Unicode MS" w:hAnsi="Arial Unicode MS" w:eastAsia="Arial Unicode MS"/>
          <w:b w:val="0"/>
          <w:i w:val="0"/>
          <w:color w:val="374151"/>
          <w:sz w:val="22"/>
        </w:rPr>
        <w:t>每个问题启动一个</w:t>
      </w:r>
      <w:r>
        <w:rPr>
          <w:rFonts w:ascii="Georgia" w:hAnsi="Georgia" w:eastAsia="Georgia"/>
          <w:b w:val="0"/>
          <w:i w:val="0"/>
          <w:color w:val="374151"/>
          <w:sz w:val="22"/>
        </w:rPr>
        <w:t xml:space="preserve"> sub-agent”</w:t>
      </w:r>
      <w:r>
        <w:rPr>
          <w:rFonts w:ascii="Arial Unicode MS" w:hAnsi="Arial Unicode MS" w:eastAsia="Arial Unicode MS"/>
          <w:b w:val="0"/>
          <w:i w:val="0"/>
          <w:color w:val="374151"/>
          <w:sz w:val="22"/>
        </w:rPr>
        <w:t>的并行方案，但双方都认为这会引入新的</w:t>
      </w:r>
      <w:r>
        <w:rPr>
          <w:rFonts w:ascii="Georgia" w:hAnsi="Georgia" w:eastAsia="Georgia"/>
          <w:b w:val="0"/>
          <w:i w:val="0"/>
          <w:color w:val="374151"/>
          <w:sz w:val="22"/>
        </w:rPr>
        <w:t xml:space="preserve"> multi-agent architecture </w:t>
      </w:r>
      <w:r>
        <w:rPr>
          <w:rFonts w:ascii="Arial Unicode MS" w:hAnsi="Arial Unicode MS" w:eastAsia="Arial Unicode MS"/>
          <w:b w:val="0"/>
          <w:i w:val="0"/>
          <w:color w:val="374151"/>
          <w:sz w:val="22"/>
        </w:rPr>
        <w:t>研究问题。因此，除非后续证据表明确有必要，否则它应保留在论文主要范围之外。最终</w:t>
      </w:r>
      <w:r>
        <w:rPr>
          <w:rFonts w:ascii="Georgia" w:hAnsi="Georgia" w:eastAsia="Georgia"/>
          <w:b w:val="0"/>
          <w:i w:val="0"/>
          <w:color w:val="374151"/>
          <w:sz w:val="22"/>
        </w:rPr>
        <w:t xml:space="preserve"> Agent </w:t>
      </w:r>
      <w:r>
        <w:rPr>
          <w:rFonts w:ascii="Arial Unicode MS" w:hAnsi="Arial Unicode MS" w:eastAsia="Arial Unicode MS"/>
          <w:b w:val="0"/>
          <w:i w:val="0"/>
          <w:color w:val="374151"/>
          <w:sz w:val="22"/>
        </w:rPr>
        <w:t>架构、属性图表示、图查询策略和具体</w:t>
      </w:r>
      <w:r>
        <w:rPr>
          <w:rFonts w:ascii="Georgia" w:hAnsi="Georgia" w:eastAsia="Georgia"/>
          <w:b w:val="0"/>
          <w:i w:val="0"/>
          <w:color w:val="374151"/>
          <w:sz w:val="22"/>
        </w:rPr>
        <w:t xml:space="preserve"> grounding </w:t>
      </w:r>
      <w:r>
        <w:rPr>
          <w:rFonts w:ascii="Arial Unicode MS" w:hAnsi="Arial Unicode MS" w:eastAsia="Arial Unicode MS"/>
          <w:b w:val="0"/>
          <w:i w:val="0"/>
          <w:color w:val="374151"/>
          <w:sz w:val="22"/>
        </w:rPr>
        <w:t>指标仍保持开放，应依据最小数据集与基线运行证据决定。</w:t>
      </w:r>
    </w:p>
    <w:p>
      <w:pPr>
        <w:keepNext/>
        <w:pageBreakBefore w:val="0"/>
        <w:spacing w:before="280" w:after="160" w:line="252" w:lineRule="auto"/>
        <w:ind w:left="0" w:right="0"/>
        <w:jc w:val="left"/>
      </w:pPr>
      <w:r>
        <w:rPr>
          <w:rFonts w:ascii="Georgia" w:hAnsi="Georgia" w:eastAsia="Georgia"/>
          <w:b/>
          <w:i w:val="0"/>
          <w:color w:val="2F75B5"/>
          <w:sz w:val="37"/>
        </w:rPr>
        <w:t xml:space="preserve">12. Agreed Next Steps and Action Checklist / </w:t>
      </w:r>
      <w:r>
        <w:rPr>
          <w:rFonts w:ascii="Arial Unicode MS" w:hAnsi="Arial Unicode MS" w:eastAsia="Arial Unicode MS"/>
          <w:b/>
          <w:i w:val="0"/>
          <w:color w:val="2F75B5"/>
          <w:sz w:val="37"/>
        </w:rPr>
        <w:t>明确的下一步与行动清单</w:t>
      </w:r>
    </w:p>
    <w:tbl>
      <w:tblPr>
        <w:tblW w:type="auto" w:w="0"/>
        <w:jc w:val="center"/>
        <w:tblLayout w:type="fixed"/>
        <w:tblLook w:firstColumn="1" w:firstRow="1" w:lastColumn="0" w:lastRow="0" w:noHBand="0" w:noVBand="1" w:val="04A0"/>
      </w:tblPr>
      <w:tblGrid>
        <w:gridCol w:w="9648"/>
      </w:tblGrid>
      <w:tr>
        <w:tc>
          <w:tcPr>
            <w:tcW w:type="dxa" w:w="9648"/>
            <w:shd w:fill="DCE6F1"/>
            <w:tcMar>
              <w:top w:w="35" w:type="dxa"/>
              <w:start w:w="60" w:type="dxa"/>
              <w:bottom w:w="35" w:type="dxa"/>
              <w:end w:w="60" w:type="dxa"/>
            </w:tcMar>
          </w:tcPr>
          <w:p>
            <w:pPr>
              <w:keepNext/>
              <w:pageBreakBefore w:val="0"/>
              <w:spacing w:before="0" w:after="0" w:line="240" w:lineRule="auto"/>
              <w:ind w:left="0" w:right="0"/>
            </w:pPr>
            <w:r>
              <w:rPr>
                <w:rFonts w:ascii="Georgia" w:hAnsi="Georgia" w:eastAsia="Georgia"/>
                <w:b/>
                <w:i w:val="0"/>
                <w:color w:val="1F4E79"/>
                <w:sz w:val="18"/>
              </w:rPr>
              <w:t xml:space="preserve">Priority order derived from the closing discussion / </w:t>
            </w:r>
            <w:r>
              <w:rPr>
                <w:rFonts w:ascii="Arial Unicode MS" w:hAnsi="Arial Unicode MS" w:eastAsia="Arial Unicode MS"/>
                <w:b/>
                <w:i w:val="0"/>
                <w:color w:val="1F4E79"/>
                <w:sz w:val="18"/>
              </w:rPr>
              <w:t>依据会议结尾形成的优先顺序</w:t>
            </w:r>
          </w:p>
        </w:tc>
      </w:tr>
    </w:tbl>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792"/>
            <w:shd w:fill="1F4E79"/>
            <w:tcMar>
              <w:top w:w="100" w:type="dxa"/>
              <w:start w:w="100" w:type="dxa"/>
              <w:bottom w:w="100" w:type="dxa"/>
              <w:end w:w="100" w:type="dxa"/>
            </w:tcMar>
            <w:vAlign w:val="center"/>
          </w:tcPr>
          <w:p>
            <w:pPr>
              <w:keepNext w:val="0"/>
              <w:pageBreakBefore w:val="0"/>
              <w:spacing w:before="0" w:after="0" w:line="240" w:lineRule="auto"/>
              <w:ind w:left="0" w:right="0"/>
              <w:jc w:val="center"/>
            </w:pPr>
            <w:r>
              <w:rPr>
                <w:rFonts w:ascii="Georgia" w:hAnsi="Georgia" w:eastAsia="Georgia"/>
                <w:b/>
                <w:i w:val="0"/>
                <w:color w:val="FFFFFF"/>
                <w:sz w:val="18"/>
              </w:rPr>
              <w:t xml:space="preserve">No. / </w:t>
            </w:r>
            <w:r>
              <w:rPr>
                <w:rFonts w:ascii="Arial Unicode MS" w:hAnsi="Arial Unicode MS" w:eastAsia="Arial Unicode MS"/>
                <w:b/>
                <w:i w:val="0"/>
                <w:color w:val="FFFFFF"/>
                <w:sz w:val="18"/>
              </w:rPr>
              <w:t>序号</w:t>
            </w:r>
          </w:p>
        </w:tc>
        <w:tc>
          <w:tcPr>
            <w:tcW w:type="dxa" w:w="3240"/>
            <w:shd w:fill="1F4E79"/>
            <w:tcMar>
              <w:top w:w="100" w:type="dxa"/>
              <w:start w:w="100" w:type="dxa"/>
              <w:bottom w:w="100" w:type="dxa"/>
              <w:end w:w="100" w:type="dxa"/>
            </w:tcMar>
            <w:vAlign w:val="center"/>
          </w:tcPr>
          <w:p>
            <w:pPr>
              <w:keepNext w:val="0"/>
              <w:pageBreakBefore w:val="0"/>
              <w:spacing w:before="0" w:after="0" w:line="240" w:lineRule="auto"/>
              <w:ind w:left="0" w:right="0"/>
              <w:jc w:val="center"/>
            </w:pPr>
            <w:r>
              <w:rPr>
                <w:rFonts w:ascii="Georgia" w:hAnsi="Georgia" w:eastAsia="Georgia"/>
                <w:b/>
                <w:i w:val="0"/>
                <w:color w:val="FFFFFF"/>
                <w:sz w:val="18"/>
              </w:rPr>
              <w:t xml:space="preserve">Deliverable / </w:t>
            </w:r>
            <w:r>
              <w:rPr>
                <w:rFonts w:ascii="Arial Unicode MS" w:hAnsi="Arial Unicode MS" w:eastAsia="Arial Unicode MS"/>
                <w:b/>
                <w:i w:val="0"/>
                <w:color w:val="FFFFFF"/>
                <w:sz w:val="18"/>
              </w:rPr>
              <w:t>交付物</w:t>
            </w:r>
          </w:p>
        </w:tc>
        <w:tc>
          <w:tcPr>
            <w:tcW w:type="dxa" w:w="6552"/>
            <w:shd w:fill="1F4E79"/>
            <w:tcMar>
              <w:top w:w="100" w:type="dxa"/>
              <w:start w:w="100" w:type="dxa"/>
              <w:bottom w:w="100" w:type="dxa"/>
              <w:end w:w="100" w:type="dxa"/>
            </w:tcMar>
            <w:vAlign w:val="center"/>
          </w:tcPr>
          <w:p>
            <w:pPr>
              <w:keepNext w:val="0"/>
              <w:pageBreakBefore w:val="0"/>
              <w:spacing w:before="0" w:after="0" w:line="240" w:lineRule="auto"/>
              <w:ind w:left="0" w:right="0"/>
              <w:jc w:val="center"/>
            </w:pPr>
            <w:r>
              <w:rPr>
                <w:rFonts w:ascii="Georgia" w:hAnsi="Georgia" w:eastAsia="Georgia"/>
                <w:b/>
                <w:i w:val="0"/>
                <w:color w:val="FFFFFF"/>
                <w:sz w:val="18"/>
              </w:rPr>
              <w:t xml:space="preserve">Acceptance criterion / </w:t>
            </w:r>
            <w:r>
              <w:rPr>
                <w:rFonts w:ascii="Arial Unicode MS" w:hAnsi="Arial Unicode MS" w:eastAsia="Arial Unicode MS"/>
                <w:b/>
                <w:i w:val="0"/>
                <w:color w:val="FFFFFF"/>
                <w:sz w:val="18"/>
              </w:rPr>
              <w:t>验收标准</w:t>
            </w:r>
          </w:p>
        </w:tc>
      </w:tr>
      <w:tr>
        <w:tc>
          <w:tcPr>
            <w:tcW w:type="dxa" w:w="792"/>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val="0"/>
                <w:i w:val="0"/>
                <w:color w:val="374151"/>
                <w:sz w:val="16"/>
              </w:rPr>
              <w:t>1</w:t>
            </w:r>
          </w:p>
        </w:tc>
        <w:tc>
          <w:tcPr>
            <w:tcW w:type="dxa" w:w="3240"/>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i w:val="0"/>
                <w:color w:val="374151"/>
                <w:sz w:val="16"/>
              </w:rPr>
              <w:t>KQA Pro minimum dataset</w:t>
            </w:r>
            <w:r>
              <w:br/>
            </w:r>
            <w:r>
              <w:rPr>
                <w:rFonts w:ascii="Georgia" w:hAnsi="Georgia" w:eastAsia="Georgia"/>
                <w:b/>
                <w:i w:val="0"/>
                <w:color w:val="374151"/>
                <w:sz w:val="16"/>
              </w:rPr>
              <w:t xml:space="preserve">KQA Pro </w:t>
            </w:r>
            <w:r>
              <w:rPr>
                <w:rFonts w:ascii="Arial Unicode MS" w:hAnsi="Arial Unicode MS" w:eastAsia="Arial Unicode MS"/>
                <w:b/>
                <w:i w:val="0"/>
                <w:color w:val="374151"/>
                <w:sz w:val="16"/>
              </w:rPr>
              <w:t>最小数据集</w:t>
            </w:r>
          </w:p>
        </w:tc>
        <w:tc>
          <w:tcPr>
            <w:tcW w:type="dxa" w:w="6552"/>
            <w:vAlign w:val="center"/>
            <w:tcMar>
              <w:top w:w="65" w:type="dxa"/>
              <w:start w:w="90" w:type="dxa"/>
              <w:bottom w:w="65" w:type="dxa"/>
              <w:end w:w="90" w:type="dxa"/>
            </w:tcMar>
          </w:tcPr>
          <w:p>
            <w:pPr>
              <w:keepNext w:val="0"/>
              <w:pageBreakBefore w:val="0"/>
              <w:spacing w:before="0" w:after="0" w:line="240" w:lineRule="auto"/>
              <w:ind w:left="0" w:right="0"/>
              <w:jc w:val="left"/>
            </w:pPr>
            <w:r>
              <w:rPr>
                <w:rFonts w:ascii="Georgia" w:hAnsi="Georgia" w:eastAsia="Georgia"/>
                <w:b w:val="0"/>
                <w:i w:val="0"/>
                <w:color w:val="374151"/>
                <w:sz w:val="16"/>
              </w:rPr>
              <w:t>Select about six representative question types and approximately two questions per type, producing roughly twelve pilot items.</w:t>
            </w:r>
            <w:r>
              <w:br/>
            </w:r>
            <w:r>
              <w:rPr>
                <w:rFonts w:ascii="Arial Unicode MS" w:hAnsi="Arial Unicode MS" w:eastAsia="Arial Unicode MS"/>
                <w:b w:val="0"/>
                <w:i w:val="0"/>
                <w:color w:val="374151"/>
                <w:sz w:val="16"/>
              </w:rPr>
              <w:t>选择约六种代表性问题类型，每类约两个问题，形成约十二个</w:t>
            </w:r>
            <w:r>
              <w:rPr>
                <w:rFonts w:ascii="Georgia" w:hAnsi="Georgia" w:eastAsia="Georgia"/>
                <w:b w:val="0"/>
                <w:i w:val="0"/>
                <w:color w:val="374151"/>
                <w:sz w:val="16"/>
              </w:rPr>
              <w:t xml:space="preserve"> pilot </w:t>
            </w:r>
            <w:r>
              <w:rPr>
                <w:rFonts w:ascii="Arial Unicode MS" w:hAnsi="Arial Unicode MS" w:eastAsia="Arial Unicode MS"/>
                <w:b w:val="0"/>
                <w:i w:val="0"/>
                <w:color w:val="374151"/>
                <w:sz w:val="16"/>
              </w:rPr>
              <w:t>样本。</w:t>
            </w:r>
          </w:p>
        </w:tc>
      </w:tr>
      <w:tr>
        <w:tc>
          <w:tcPr>
            <w:tcW w:type="dxa" w:w="792"/>
            <w:vAlign w:val="center"/>
            <w:tcMar>
              <w:top w:w="65" w:type="dxa"/>
              <w:start w:w="90" w:type="dxa"/>
              <w:bottom w:w="65" w:type="dxa"/>
              <w:end w:w="90" w:type="dxa"/>
            </w:tcMar>
            <w:shd w:fill="EAF2F8"/>
          </w:tcPr>
          <w:p>
            <w:pPr>
              <w:keepNext w:val="0"/>
              <w:pageBreakBefore w:val="0"/>
              <w:spacing w:before="0" w:after="0" w:line="240" w:lineRule="auto"/>
              <w:ind w:left="0" w:right="0"/>
              <w:jc w:val="center"/>
            </w:pPr>
            <w:r>
              <w:rPr>
                <w:rFonts w:ascii="Georgia" w:hAnsi="Georgia" w:eastAsia="Georgia"/>
                <w:b w:val="0"/>
                <w:i w:val="0"/>
                <w:color w:val="374151"/>
                <w:sz w:val="16"/>
              </w:rPr>
              <w:t>2</w:t>
            </w:r>
          </w:p>
        </w:tc>
        <w:tc>
          <w:tcPr>
            <w:tcW w:type="dxa" w:w="3240"/>
            <w:vAlign w:val="center"/>
            <w:tcMar>
              <w:top w:w="65" w:type="dxa"/>
              <w:start w:w="90" w:type="dxa"/>
              <w:bottom w:w="65" w:type="dxa"/>
              <w:end w:w="90" w:type="dxa"/>
            </w:tcMar>
            <w:shd w:fill="EAF2F8"/>
          </w:tcPr>
          <w:p>
            <w:pPr>
              <w:keepNext w:val="0"/>
              <w:pageBreakBefore w:val="0"/>
              <w:spacing w:before="0" w:after="0" w:line="240" w:lineRule="auto"/>
              <w:ind w:left="0" w:right="0"/>
              <w:jc w:val="center"/>
            </w:pPr>
            <w:r>
              <w:rPr>
                <w:rFonts w:ascii="Georgia" w:hAnsi="Georgia" w:eastAsia="Georgia"/>
                <w:b/>
                <w:i w:val="0"/>
                <w:color w:val="374151"/>
                <w:sz w:val="16"/>
              </w:rPr>
              <w:t>KQA Pro adapter</w:t>
            </w:r>
            <w:r>
              <w:br/>
            </w:r>
            <w:r>
              <w:rPr>
                <w:rFonts w:ascii="Georgia" w:hAnsi="Georgia" w:eastAsia="Georgia"/>
                <w:b/>
                <w:i w:val="0"/>
                <w:color w:val="374151"/>
                <w:sz w:val="16"/>
              </w:rPr>
              <w:t xml:space="preserve">KQA Pro </w:t>
            </w:r>
            <w:r>
              <w:rPr>
                <w:rFonts w:ascii="Arial Unicode MS" w:hAnsi="Arial Unicode MS" w:eastAsia="Arial Unicode MS"/>
                <w:b/>
                <w:i w:val="0"/>
                <w:color w:val="374151"/>
                <w:sz w:val="16"/>
              </w:rPr>
              <w:t>适配层</w:t>
            </w:r>
          </w:p>
        </w:tc>
        <w:tc>
          <w:tcPr>
            <w:tcW w:type="dxa" w:w="6552"/>
            <w:vAlign w:val="center"/>
            <w:tcMar>
              <w:top w:w="65" w:type="dxa"/>
              <w:start w:w="90" w:type="dxa"/>
              <w:bottom w:w="65" w:type="dxa"/>
              <w:end w:w="90" w:type="dxa"/>
            </w:tcMar>
            <w:shd w:fill="EAF2F8"/>
          </w:tcPr>
          <w:p>
            <w:pPr>
              <w:keepNext w:val="0"/>
              <w:pageBreakBefore w:val="0"/>
              <w:spacing w:before="0" w:after="0" w:line="240" w:lineRule="auto"/>
              <w:ind w:left="0" w:right="0"/>
              <w:jc w:val="left"/>
            </w:pPr>
            <w:r>
              <w:rPr>
                <w:rFonts w:ascii="Georgia" w:hAnsi="Georgia" w:eastAsia="Georgia"/>
                <w:b w:val="0"/>
                <w:i w:val="0"/>
                <w:color w:val="374151"/>
                <w:sz w:val="16"/>
              </w:rPr>
              <w:t>Convert or expose KQA Pro graph data through an interface that ARK v1 can use, including the minimum support required for qualifiers and varied answers.</w:t>
            </w:r>
            <w:r>
              <w:br/>
            </w:r>
            <w:r>
              <w:rPr>
                <w:rFonts w:ascii="Arial Unicode MS" w:hAnsi="Arial Unicode MS" w:eastAsia="Arial Unicode MS"/>
                <w:b w:val="0"/>
                <w:i w:val="0"/>
                <w:color w:val="374151"/>
                <w:sz w:val="16"/>
              </w:rPr>
              <w:t>通过</w:t>
            </w:r>
            <w:r>
              <w:rPr>
                <w:rFonts w:ascii="Georgia" w:hAnsi="Georgia" w:eastAsia="Georgia"/>
                <w:b w:val="0"/>
                <w:i w:val="0"/>
                <w:color w:val="374151"/>
                <w:sz w:val="16"/>
              </w:rPr>
              <w:t xml:space="preserve"> ARK v1 </w:t>
            </w:r>
            <w:r>
              <w:rPr>
                <w:rFonts w:ascii="Arial Unicode MS" w:hAnsi="Arial Unicode MS" w:eastAsia="Arial Unicode MS"/>
                <w:b w:val="0"/>
                <w:i w:val="0"/>
                <w:color w:val="374151"/>
                <w:sz w:val="16"/>
              </w:rPr>
              <w:t>可使用的接口转换或提供</w:t>
            </w:r>
            <w:r>
              <w:rPr>
                <w:rFonts w:ascii="Georgia" w:hAnsi="Georgia" w:eastAsia="Georgia"/>
                <w:b w:val="0"/>
                <w:i w:val="0"/>
                <w:color w:val="374151"/>
                <w:sz w:val="16"/>
              </w:rPr>
              <w:t xml:space="preserve"> KQA Pro </w:t>
            </w:r>
            <w:r>
              <w:rPr>
                <w:rFonts w:ascii="Arial Unicode MS" w:hAnsi="Arial Unicode MS" w:eastAsia="Arial Unicode MS"/>
                <w:b w:val="0"/>
                <w:i w:val="0"/>
                <w:color w:val="374151"/>
                <w:sz w:val="16"/>
              </w:rPr>
              <w:t>图数据，并加入</w:t>
            </w:r>
            <w:r>
              <w:rPr>
                <w:rFonts w:ascii="Georgia" w:hAnsi="Georgia" w:eastAsia="Georgia"/>
                <w:b w:val="0"/>
                <w:i w:val="0"/>
                <w:color w:val="374151"/>
                <w:sz w:val="16"/>
              </w:rPr>
              <w:t xml:space="preserve"> qualifier </w:t>
            </w:r>
            <w:r>
              <w:rPr>
                <w:rFonts w:ascii="Arial Unicode MS" w:hAnsi="Arial Unicode MS" w:eastAsia="Arial Unicode MS"/>
                <w:b w:val="0"/>
                <w:i w:val="0"/>
                <w:color w:val="374151"/>
                <w:sz w:val="16"/>
              </w:rPr>
              <w:t>与多答案类型所需的最小支持。</w:t>
            </w:r>
          </w:p>
        </w:tc>
      </w:tr>
      <w:tr>
        <w:tc>
          <w:tcPr>
            <w:tcW w:type="dxa" w:w="792"/>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val="0"/>
                <w:i w:val="0"/>
                <w:color w:val="374151"/>
                <w:sz w:val="16"/>
              </w:rPr>
              <w:t>3</w:t>
            </w:r>
          </w:p>
        </w:tc>
        <w:tc>
          <w:tcPr>
            <w:tcW w:type="dxa" w:w="3240"/>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i w:val="0"/>
                <w:color w:val="374151"/>
                <w:sz w:val="16"/>
              </w:rPr>
              <w:t>ARK v1.1 baseline</w:t>
            </w:r>
            <w:r>
              <w:br/>
            </w:r>
            <w:r>
              <w:rPr>
                <w:rFonts w:ascii="Georgia" w:hAnsi="Georgia" w:eastAsia="Georgia"/>
                <w:b/>
                <w:i w:val="0"/>
                <w:color w:val="374151"/>
                <w:sz w:val="16"/>
              </w:rPr>
              <w:t xml:space="preserve">ARK v1.1 </w:t>
            </w:r>
            <w:r>
              <w:rPr>
                <w:rFonts w:ascii="Arial Unicode MS" w:hAnsi="Arial Unicode MS" w:eastAsia="Arial Unicode MS"/>
                <w:b/>
                <w:i w:val="0"/>
                <w:color w:val="374151"/>
                <w:sz w:val="16"/>
              </w:rPr>
              <w:t>基线</w:t>
            </w:r>
          </w:p>
        </w:tc>
        <w:tc>
          <w:tcPr>
            <w:tcW w:type="dxa" w:w="6552"/>
            <w:vAlign w:val="center"/>
            <w:tcMar>
              <w:top w:w="65" w:type="dxa"/>
              <w:start w:w="90" w:type="dxa"/>
              <w:bottom w:w="65" w:type="dxa"/>
              <w:end w:w="90" w:type="dxa"/>
            </w:tcMar>
          </w:tcPr>
          <w:p>
            <w:pPr>
              <w:keepNext w:val="0"/>
              <w:pageBreakBefore w:val="0"/>
              <w:spacing w:before="0" w:after="0" w:line="240" w:lineRule="auto"/>
              <w:ind w:left="0" w:right="0"/>
              <w:jc w:val="left"/>
            </w:pPr>
            <w:r>
              <w:rPr>
                <w:rFonts w:ascii="Georgia" w:hAnsi="Georgia" w:eastAsia="Georgia"/>
                <w:b w:val="0"/>
                <w:i w:val="0"/>
                <w:color w:val="374151"/>
                <w:sz w:val="16"/>
              </w:rPr>
              <w:t>Make only the changes required to execute the selected dataset; preserve the core graph-exploration and search strategy.</w:t>
            </w:r>
            <w:r>
              <w:br/>
            </w:r>
            <w:r>
              <w:rPr>
                <w:rFonts w:ascii="Arial Unicode MS" w:hAnsi="Arial Unicode MS" w:eastAsia="Arial Unicode MS"/>
                <w:b w:val="0"/>
                <w:i w:val="0"/>
                <w:color w:val="374151"/>
                <w:sz w:val="16"/>
              </w:rPr>
              <w:t>只进行运行所选数据集必需的修改，保留核心图探索与搜索策略。</w:t>
            </w:r>
          </w:p>
        </w:tc>
      </w:tr>
      <w:tr>
        <w:tc>
          <w:tcPr>
            <w:tcW w:type="dxa" w:w="792"/>
            <w:vAlign w:val="center"/>
            <w:tcMar>
              <w:top w:w="65" w:type="dxa"/>
              <w:start w:w="90" w:type="dxa"/>
              <w:bottom w:w="65" w:type="dxa"/>
              <w:end w:w="90" w:type="dxa"/>
            </w:tcMar>
            <w:shd w:fill="EAF2F8"/>
          </w:tcPr>
          <w:p>
            <w:pPr>
              <w:keepNext w:val="0"/>
              <w:pageBreakBefore w:val="0"/>
              <w:spacing w:before="0" w:after="0" w:line="240" w:lineRule="auto"/>
              <w:ind w:left="0" w:right="0"/>
              <w:jc w:val="center"/>
            </w:pPr>
            <w:r>
              <w:rPr>
                <w:rFonts w:ascii="Georgia" w:hAnsi="Georgia" w:eastAsia="Georgia"/>
                <w:b w:val="0"/>
                <w:i w:val="0"/>
                <w:color w:val="374151"/>
                <w:sz w:val="16"/>
              </w:rPr>
              <w:t>4</w:t>
            </w:r>
          </w:p>
        </w:tc>
        <w:tc>
          <w:tcPr>
            <w:tcW w:type="dxa" w:w="3240"/>
            <w:vAlign w:val="center"/>
            <w:tcMar>
              <w:top w:w="65" w:type="dxa"/>
              <w:start w:w="90" w:type="dxa"/>
              <w:bottom w:w="65" w:type="dxa"/>
              <w:end w:w="90" w:type="dxa"/>
            </w:tcMar>
            <w:shd w:fill="EAF2F8"/>
          </w:tcPr>
          <w:p>
            <w:pPr>
              <w:keepNext w:val="0"/>
              <w:pageBreakBefore w:val="0"/>
              <w:spacing w:before="0" w:after="0" w:line="240" w:lineRule="auto"/>
              <w:ind w:left="0" w:right="0"/>
              <w:jc w:val="center"/>
            </w:pPr>
            <w:r>
              <w:rPr>
                <w:rFonts w:ascii="Georgia" w:hAnsi="Georgia" w:eastAsia="Georgia"/>
                <w:b/>
                <w:i w:val="0"/>
                <w:color w:val="374151"/>
                <w:sz w:val="16"/>
              </w:rPr>
              <w:t>End-to-end evaluation pipeline</w:t>
            </w:r>
            <w:r>
              <w:br/>
            </w:r>
            <w:r>
              <w:rPr>
                <w:rFonts w:ascii="Arial Unicode MS" w:hAnsi="Arial Unicode MS" w:eastAsia="Arial Unicode MS"/>
                <w:b/>
                <w:i w:val="0"/>
                <w:color w:val="374151"/>
                <w:sz w:val="16"/>
              </w:rPr>
              <w:t>端到端评测工作流</w:t>
            </w:r>
          </w:p>
        </w:tc>
        <w:tc>
          <w:tcPr>
            <w:tcW w:type="dxa" w:w="6552"/>
            <w:vAlign w:val="center"/>
            <w:tcMar>
              <w:top w:w="65" w:type="dxa"/>
              <w:start w:w="90" w:type="dxa"/>
              <w:bottom w:w="65" w:type="dxa"/>
              <w:end w:w="90" w:type="dxa"/>
            </w:tcMar>
            <w:shd w:fill="EAF2F8"/>
          </w:tcPr>
          <w:p>
            <w:pPr>
              <w:keepNext w:val="0"/>
              <w:pageBreakBefore w:val="0"/>
              <w:spacing w:before="0" w:after="0" w:line="240" w:lineRule="auto"/>
              <w:ind w:left="0" w:right="0"/>
              <w:jc w:val="left"/>
            </w:pPr>
            <w:r>
              <w:rPr>
                <w:rFonts w:ascii="Georgia" w:hAnsi="Georgia" w:eastAsia="Georgia"/>
                <w:b w:val="0"/>
                <w:i w:val="0"/>
                <w:color w:val="374151"/>
                <w:sz w:val="16"/>
              </w:rPr>
              <w:t>Connect Agent execution, structured logs, normalized predictions, ground truth, metric calculation, and persistent result records.</w:t>
            </w:r>
            <w:r>
              <w:br/>
            </w:r>
            <w:r>
              <w:rPr>
                <w:rFonts w:ascii="Arial Unicode MS" w:hAnsi="Arial Unicode MS" w:eastAsia="Arial Unicode MS"/>
                <w:b w:val="0"/>
                <w:i w:val="0"/>
                <w:color w:val="374151"/>
                <w:sz w:val="16"/>
              </w:rPr>
              <w:t>串联</w:t>
            </w:r>
            <w:r>
              <w:rPr>
                <w:rFonts w:ascii="Georgia" w:hAnsi="Georgia" w:eastAsia="Georgia"/>
                <w:b w:val="0"/>
                <w:i w:val="0"/>
                <w:color w:val="374151"/>
                <w:sz w:val="16"/>
              </w:rPr>
              <w:t xml:space="preserve"> Agent </w:t>
            </w:r>
            <w:r>
              <w:rPr>
                <w:rFonts w:ascii="Arial Unicode MS" w:hAnsi="Arial Unicode MS" w:eastAsia="Arial Unicode MS"/>
                <w:b w:val="0"/>
                <w:i w:val="0"/>
                <w:color w:val="374151"/>
                <w:sz w:val="16"/>
              </w:rPr>
              <w:t>执行、结构化日志、规范化预测、</w:t>
            </w:r>
            <w:r>
              <w:rPr>
                <w:rFonts w:ascii="Georgia" w:hAnsi="Georgia" w:eastAsia="Georgia"/>
                <w:b w:val="0"/>
                <w:i w:val="0"/>
                <w:color w:val="374151"/>
                <w:sz w:val="16"/>
              </w:rPr>
              <w:t>ground truth</w:t>
            </w:r>
            <w:r>
              <w:rPr>
                <w:rFonts w:ascii="Arial Unicode MS" w:hAnsi="Arial Unicode MS" w:eastAsia="Arial Unicode MS"/>
                <w:b w:val="0"/>
                <w:i w:val="0"/>
                <w:color w:val="374151"/>
                <w:sz w:val="16"/>
              </w:rPr>
              <w:t>、指标计算和持久化结果记录。</w:t>
            </w:r>
          </w:p>
        </w:tc>
      </w:tr>
      <w:tr>
        <w:tc>
          <w:tcPr>
            <w:tcW w:type="dxa" w:w="792"/>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val="0"/>
                <w:i w:val="0"/>
                <w:color w:val="374151"/>
                <w:sz w:val="16"/>
              </w:rPr>
              <w:t>5</w:t>
            </w:r>
          </w:p>
        </w:tc>
        <w:tc>
          <w:tcPr>
            <w:tcW w:type="dxa" w:w="3240"/>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i w:val="0"/>
                <w:color w:val="374151"/>
                <w:sz w:val="16"/>
              </w:rPr>
              <w:t>Initial capability test</w:t>
            </w:r>
            <w:r>
              <w:br/>
            </w:r>
            <w:r>
              <w:rPr>
                <w:rFonts w:ascii="Arial Unicode MS" w:hAnsi="Arial Unicode MS" w:eastAsia="Arial Unicode MS"/>
                <w:b/>
                <w:i w:val="0"/>
                <w:color w:val="374151"/>
                <w:sz w:val="16"/>
              </w:rPr>
              <w:t>初次能力测试</w:t>
            </w:r>
          </w:p>
        </w:tc>
        <w:tc>
          <w:tcPr>
            <w:tcW w:type="dxa" w:w="6552"/>
            <w:vAlign w:val="center"/>
            <w:tcMar>
              <w:top w:w="65" w:type="dxa"/>
              <w:start w:w="90" w:type="dxa"/>
              <w:bottom w:w="65" w:type="dxa"/>
              <w:end w:w="90" w:type="dxa"/>
            </w:tcMar>
          </w:tcPr>
          <w:p>
            <w:pPr>
              <w:keepNext w:val="0"/>
              <w:pageBreakBefore w:val="0"/>
              <w:spacing w:before="0" w:after="0" w:line="240" w:lineRule="auto"/>
              <w:ind w:left="0" w:right="0"/>
              <w:jc w:val="left"/>
            </w:pPr>
            <w:r>
              <w:rPr>
                <w:rFonts w:ascii="Georgia" w:hAnsi="Georgia" w:eastAsia="Georgia"/>
                <w:b w:val="0"/>
                <w:i w:val="0"/>
                <w:color w:val="374151"/>
                <w:sz w:val="16"/>
              </w:rPr>
              <w:t>Run the baseline on the small dataset and document major failure cases, loops, interface limitations, and missing log fields.</w:t>
            </w:r>
            <w:r>
              <w:br/>
            </w:r>
            <w:r>
              <w:rPr>
                <w:rFonts w:ascii="Arial Unicode MS" w:hAnsi="Arial Unicode MS" w:eastAsia="Arial Unicode MS"/>
                <w:b w:val="0"/>
                <w:i w:val="0"/>
                <w:color w:val="374151"/>
                <w:sz w:val="16"/>
              </w:rPr>
              <w:t>在小型数据集上运行基线，并记录主要失败案例、循环、接口限制和缺失日志字段。</w:t>
            </w:r>
          </w:p>
        </w:tc>
      </w:tr>
      <w:tr>
        <w:tc>
          <w:tcPr>
            <w:tcW w:type="dxa" w:w="792"/>
            <w:vAlign w:val="center"/>
            <w:tcMar>
              <w:top w:w="65" w:type="dxa"/>
              <w:start w:w="90" w:type="dxa"/>
              <w:bottom w:w="65" w:type="dxa"/>
              <w:end w:w="90" w:type="dxa"/>
            </w:tcMar>
            <w:shd w:fill="EAF2F8"/>
          </w:tcPr>
          <w:p>
            <w:pPr>
              <w:keepNext w:val="0"/>
              <w:pageBreakBefore w:val="0"/>
              <w:spacing w:before="0" w:after="0" w:line="240" w:lineRule="auto"/>
              <w:ind w:left="0" w:right="0"/>
              <w:jc w:val="center"/>
            </w:pPr>
            <w:r>
              <w:rPr>
                <w:rFonts w:ascii="Georgia" w:hAnsi="Georgia" w:eastAsia="Georgia"/>
                <w:b w:val="0"/>
                <w:i w:val="0"/>
                <w:color w:val="374151"/>
                <w:sz w:val="16"/>
              </w:rPr>
              <w:t>6</w:t>
            </w:r>
          </w:p>
        </w:tc>
        <w:tc>
          <w:tcPr>
            <w:tcW w:type="dxa" w:w="3240"/>
            <w:vAlign w:val="center"/>
            <w:tcMar>
              <w:top w:w="65" w:type="dxa"/>
              <w:start w:w="90" w:type="dxa"/>
              <w:bottom w:w="65" w:type="dxa"/>
              <w:end w:w="90" w:type="dxa"/>
            </w:tcMar>
            <w:shd w:fill="EAF2F8"/>
          </w:tcPr>
          <w:p>
            <w:pPr>
              <w:keepNext w:val="0"/>
              <w:pageBreakBefore w:val="0"/>
              <w:spacing w:before="0" w:after="0" w:line="240" w:lineRule="auto"/>
              <w:ind w:left="0" w:right="0"/>
              <w:jc w:val="center"/>
            </w:pPr>
            <w:r>
              <w:rPr>
                <w:rFonts w:ascii="Georgia" w:hAnsi="Georgia" w:eastAsia="Georgia"/>
                <w:b/>
                <w:i w:val="0"/>
                <w:color w:val="374151"/>
                <w:sz w:val="16"/>
              </w:rPr>
              <w:t>New Agent architecture draft</w:t>
            </w:r>
            <w:r>
              <w:br/>
            </w:r>
            <w:r>
              <w:rPr>
                <w:rFonts w:ascii="Arial Unicode MS" w:hAnsi="Arial Unicode MS" w:eastAsia="Arial Unicode MS"/>
                <w:b/>
                <w:i w:val="0"/>
                <w:color w:val="374151"/>
                <w:sz w:val="16"/>
              </w:rPr>
              <w:t>新</w:t>
            </w:r>
            <w:r>
              <w:rPr>
                <w:rFonts w:ascii="Georgia" w:hAnsi="Georgia" w:eastAsia="Georgia"/>
                <w:b/>
                <w:i w:val="0"/>
                <w:color w:val="374151"/>
                <w:sz w:val="16"/>
              </w:rPr>
              <w:t xml:space="preserve"> Agent </w:t>
            </w:r>
            <w:r>
              <w:rPr>
                <w:rFonts w:ascii="Arial Unicode MS" w:hAnsi="Arial Unicode MS" w:eastAsia="Arial Unicode MS"/>
                <w:b/>
                <w:i w:val="0"/>
                <w:color w:val="374151"/>
                <w:sz w:val="16"/>
              </w:rPr>
              <w:t>架构草案</w:t>
            </w:r>
          </w:p>
        </w:tc>
        <w:tc>
          <w:tcPr>
            <w:tcW w:type="dxa" w:w="6552"/>
            <w:vAlign w:val="center"/>
            <w:tcMar>
              <w:top w:w="65" w:type="dxa"/>
              <w:start w:w="90" w:type="dxa"/>
              <w:bottom w:w="65" w:type="dxa"/>
              <w:end w:w="90" w:type="dxa"/>
            </w:tcMar>
            <w:shd w:fill="EAF2F8"/>
          </w:tcPr>
          <w:p>
            <w:pPr>
              <w:keepNext w:val="0"/>
              <w:pageBreakBefore w:val="0"/>
              <w:spacing w:before="0" w:after="0" w:line="240" w:lineRule="auto"/>
              <w:ind w:left="0" w:right="0"/>
              <w:jc w:val="left"/>
            </w:pPr>
            <w:r>
              <w:rPr>
                <w:rFonts w:ascii="Georgia" w:hAnsi="Georgia" w:eastAsia="Georgia"/>
                <w:b w:val="0"/>
                <w:i w:val="0"/>
                <w:color w:val="374151"/>
                <w:sz w:val="16"/>
              </w:rPr>
              <w:t>Design the new version from dataset requirements and observed baseline failures rather than assuming the final architecture in advance.</w:t>
            </w:r>
            <w:r>
              <w:br/>
            </w:r>
            <w:r>
              <w:rPr>
                <w:rFonts w:ascii="Arial Unicode MS" w:hAnsi="Arial Unicode MS" w:eastAsia="Arial Unicode MS"/>
                <w:b w:val="0"/>
                <w:i w:val="0"/>
                <w:color w:val="374151"/>
                <w:sz w:val="16"/>
              </w:rPr>
              <w:t>依据数据要求与已观察到的基线失败设计新版本，而不是预先假定最终架构。</w:t>
            </w:r>
          </w:p>
        </w:tc>
      </w:tr>
      <w:tr>
        <w:tc>
          <w:tcPr>
            <w:tcW w:type="dxa" w:w="792"/>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val="0"/>
                <w:i w:val="0"/>
                <w:color w:val="374151"/>
                <w:sz w:val="16"/>
              </w:rPr>
              <w:t>7</w:t>
            </w:r>
          </w:p>
        </w:tc>
        <w:tc>
          <w:tcPr>
            <w:tcW w:type="dxa" w:w="3240"/>
            <w:vAlign w:val="center"/>
            <w:tcMar>
              <w:top w:w="65" w:type="dxa"/>
              <w:start w:w="90" w:type="dxa"/>
              <w:bottom w:w="65" w:type="dxa"/>
              <w:end w:w="90" w:type="dxa"/>
            </w:tcMar>
          </w:tcPr>
          <w:p>
            <w:pPr>
              <w:keepNext w:val="0"/>
              <w:pageBreakBefore w:val="0"/>
              <w:spacing w:before="0" w:after="0" w:line="240" w:lineRule="auto"/>
              <w:ind w:left="0" w:right="0"/>
              <w:jc w:val="center"/>
            </w:pPr>
            <w:r>
              <w:rPr>
                <w:rFonts w:ascii="Georgia" w:hAnsi="Georgia" w:eastAsia="Georgia"/>
                <w:b/>
                <w:i w:val="0"/>
                <w:color w:val="374151"/>
                <w:sz w:val="16"/>
              </w:rPr>
              <w:t>Model access and cost setup</w:t>
            </w:r>
            <w:r>
              <w:br/>
            </w:r>
            <w:r>
              <w:rPr>
                <w:rFonts w:ascii="Arial Unicode MS" w:hAnsi="Arial Unicode MS" w:eastAsia="Arial Unicode MS"/>
                <w:b/>
                <w:i w:val="0"/>
                <w:color w:val="374151"/>
                <w:sz w:val="16"/>
              </w:rPr>
              <w:t>模型访问与成本设置</w:t>
            </w:r>
          </w:p>
        </w:tc>
        <w:tc>
          <w:tcPr>
            <w:tcW w:type="dxa" w:w="6552"/>
            <w:vAlign w:val="center"/>
            <w:tcMar>
              <w:top w:w="65" w:type="dxa"/>
              <w:start w:w="90" w:type="dxa"/>
              <w:bottom w:w="65" w:type="dxa"/>
              <w:end w:w="90" w:type="dxa"/>
            </w:tcMar>
          </w:tcPr>
          <w:p>
            <w:pPr>
              <w:keepNext w:val="0"/>
              <w:pageBreakBefore w:val="0"/>
              <w:spacing w:before="0" w:after="0" w:line="240" w:lineRule="auto"/>
              <w:ind w:left="0" w:right="0"/>
              <w:jc w:val="left"/>
            </w:pPr>
            <w:r>
              <w:rPr>
                <w:rFonts w:ascii="Georgia" w:hAnsi="Georgia" w:eastAsia="Georgia"/>
                <w:b w:val="0"/>
                <w:i w:val="0"/>
                <w:color w:val="374151"/>
                <w:sz w:val="16"/>
              </w:rPr>
              <w:t>Use the supervisor-provided OpenRouter key with a low-cost model for debugging; continue checking remote Ollama access and estimate cost before large runs.</w:t>
            </w:r>
            <w:r>
              <w:br/>
            </w:r>
            <w:r>
              <w:rPr>
                <w:rFonts w:ascii="Arial Unicode MS" w:hAnsi="Arial Unicode MS" w:eastAsia="Arial Unicode MS"/>
                <w:b w:val="0"/>
                <w:i w:val="0"/>
                <w:color w:val="374151"/>
                <w:sz w:val="16"/>
              </w:rPr>
              <w:t>使用导师提供的</w:t>
            </w:r>
            <w:r>
              <w:rPr>
                <w:rFonts w:ascii="Georgia" w:hAnsi="Georgia" w:eastAsia="Georgia"/>
                <w:b w:val="0"/>
                <w:i w:val="0"/>
                <w:color w:val="374151"/>
                <w:sz w:val="16"/>
              </w:rPr>
              <w:t xml:space="preserve"> OpenRouter Key </w:t>
            </w:r>
            <w:r>
              <w:rPr>
                <w:rFonts w:ascii="Arial Unicode MS" w:hAnsi="Arial Unicode MS" w:eastAsia="Arial Unicode MS"/>
                <w:b w:val="0"/>
                <w:i w:val="0"/>
                <w:color w:val="374151"/>
                <w:sz w:val="16"/>
              </w:rPr>
              <w:t>和低成本模型调试；继续确认远程</w:t>
            </w:r>
            <w:r>
              <w:rPr>
                <w:rFonts w:ascii="Georgia" w:hAnsi="Georgia" w:eastAsia="Georgia"/>
                <w:b w:val="0"/>
                <w:i w:val="0"/>
                <w:color w:val="374151"/>
                <w:sz w:val="16"/>
              </w:rPr>
              <w:t xml:space="preserve"> Ollama </w:t>
            </w:r>
            <w:r>
              <w:rPr>
                <w:rFonts w:ascii="Arial Unicode MS" w:hAnsi="Arial Unicode MS" w:eastAsia="Arial Unicode MS"/>
                <w:b w:val="0"/>
                <w:i w:val="0"/>
                <w:color w:val="374151"/>
                <w:sz w:val="16"/>
              </w:rPr>
              <w:t>访问，并在大规模运行前估算费用。</w:t>
            </w:r>
          </w:p>
        </w:tc>
      </w:tr>
    </w:tbl>
    <w:p>
      <w:pPr>
        <w:keepNext w:val="0"/>
        <w:pageBreakBefore w:val="0"/>
        <w:spacing w:before="80" w:after="0" w:line="240" w:lineRule="auto"/>
        <w:ind w:left="0" w:right="0"/>
        <w:jc w:val="left"/>
      </w:pPr>
      <w:r>
        <w:rPr>
          <w:rFonts w:ascii="Georgia" w:hAnsi="Georgia" w:eastAsia="Georgia"/>
          <w:b w:val="0"/>
          <w:i w:val="0"/>
          <w:color w:val="6B7280"/>
          <w:sz w:val="15"/>
        </w:rPr>
        <w:t xml:space="preserve">Source basis / </w:t>
      </w:r>
      <w:r>
        <w:rPr>
          <w:rFonts w:ascii="Arial Unicode MS" w:hAnsi="Arial Unicode MS" w:eastAsia="Arial Unicode MS"/>
          <w:b w:val="0"/>
          <w:i w:val="0"/>
          <w:color w:val="6B7280"/>
          <w:sz w:val="15"/>
        </w:rPr>
        <w:t>依据：</w:t>
      </w:r>
      <w:r>
        <w:rPr>
          <w:rFonts w:ascii="Georgia" w:hAnsi="Georgia" w:eastAsia="Georgia"/>
          <w:b w:val="0"/>
          <w:i w:val="0"/>
          <w:color w:val="6B7280"/>
          <w:sz w:val="15"/>
        </w:rPr>
        <w:t xml:space="preserve">Reviewed third thesis meeting transcript supplied for this task. No external factual correction or new research conclusion was introduced. Dataset names follow the terminology confirmed for this summary. </w:t>
      </w:r>
      <w:r>
        <w:rPr>
          <w:rFonts w:ascii="Arial Unicode MS" w:hAnsi="Arial Unicode MS" w:eastAsia="Arial Unicode MS"/>
          <w:b w:val="0"/>
          <w:i w:val="0"/>
          <w:color w:val="6B7280"/>
          <w:sz w:val="15"/>
        </w:rPr>
        <w:t>依据为本次任务提供的第三次毕设会议转录；未引入外部事实纠正或新的研究结论。</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olor w:val="5C67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Georgia" w:hAnsi="Georgia" w:eastAsia="Georgia" w:cs="Georgia"/>
        <w:b/>
        <w:color w:val="66717E"/>
        <w:sz w:val="17"/>
      </w:rPr>
    </w:r>
    <w:r>
      <w:rPr>
        <w:rFonts w:ascii="Georgia" w:hAnsi="Georgia" w:eastAsia="Georgia"/>
        <w:b/>
        <w:i w:val="0"/>
        <w:color w:val="6B7280"/>
        <w:sz w:val="17"/>
      </w:rPr>
      <w:t>THIRD MEETING · BILINGUAL THESIS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GB" w:hAnsi="Hiragino Sans GB" w:eastAsia="Hiragino Sans GB"/>
      <w:color w:val="1F2C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Hiragino Sans GB" w:hAnsi="Hiragino Sans GB" w:eastAsia="Hiragino Sans GB"/>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widowControl/>
      <w:spacing w:before="0" w:after="100" w:line="271" w:lineRule="auto"/>
    </w:pPr>
    <w:rPr>
      <w:rFonts w:ascii="Hiragino Sans GB" w:hAnsi="Hiragino Sans GB" w:eastAsia="Hiragino Sans GB"/>
      <w:color w:val="1F2C3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Meeting — Detailed Bilingual Thesis Summary</dc:title>
  <dc:subject>Master's thesis meeting summary</dc:subject>
  <dc:creator>Prepared from the supplied meeting transcript</dc:creator>
  <cp:keywords/>
  <dc:description>Generated from the confirmed bilingual summary plan</dc:description>
  <cp:lastModifiedBy/>
  <cp:revision>1</cp:revision>
  <dcterms:created xsi:type="dcterms:W3CDTF">2013-12-23T23:15:00Z</dcterms:created>
  <dcterms:modified xsi:type="dcterms:W3CDTF">2013-12-23T23:15:00Z</dcterms:modified>
  <cp:category/>
</cp:coreProperties>
</file>