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b/>
          <w:bCs/>
          <w:color w:val="1F4E79"/>
          <w:sz w:val="40"/>
          <w:szCs w:val="40"/>
        </w:rPr>
        <w:t xml:space="preserve">Design and Evaluation of an AI Agent for Multi-Hop Reasoning on Knowledge Graphs</w:t>
      </w:r>
    </w:p>
    <w:p>
      <w:pPr>
        <w:spacing w:after="120"/>
        <w:jc w:val="center"/>
      </w:pPr>
      <w:r>
        <w:rPr>
          <w:color w:val="555555"/>
          <w:sz w:val="26"/>
          <w:szCs w:val="26"/>
        </w:rPr>
        <w:t xml:space="preserve">Thesis Outline Detail · 修订版论文框架与写作注意事项</w:t>
      </w:r>
    </w:p>
    <w:p>
      <w:pPr>
        <w:spacing w:after="600"/>
        <w:jc w:val="center"/>
      </w:pPr>
      <w:r>
        <w:rPr>
          <w:color w:val="777777"/>
          <w:sz w:val="22"/>
          <w:szCs w:val="22"/>
        </w:rPr>
        <w:t xml:space="preserve">Kaihao Wang · 2026-10-21</w:t>
      </w:r>
    </w:p>
    <w:p>
      <w:pPr>
        <w:pStyle w:val="Heading1"/>
      </w:pPr>
      <w:r>
        <w:t xml:space="preserve">本版说明</w:t>
      </w:r>
    </w:p>
    <w:p>
      <w:pPr>
        <w:spacing w:after="100"/>
      </w:pPr>
      <w:r>
        <w:t xml:space="preserve">本框架基于当前项目进度（ARK-V1/V1.1 基线、GTSQA / GTSQA-UA / CR-LT-KGQA 开发实验、EM_and_GG 失败分析）整理，相比原 7 章提纲做了以下调整：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按新标题（导师修订）重组：评测框架单独成章，基线诊断与 ARK-V2 正式评测分开。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原第 1、2 章合并为不分小节的 Introduction，背景知识和文献综述写在其中；论文共 7 章。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贡献不写在 Introduction，放到第 7 章 Conclusion。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可选或未来工作暂不写入框架。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第 5 章不固定具体模块，按第 4 章推出的需求组织；最终保留哪些改进，根据剩余时间、实现难度和实际效果决定。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结果按图结构类型分析，不按跳数分析。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第 4 章中 ARK-V1.1 的开发集结果定位为诊断用的初步实验，正式结论只出现在第 6 章。</w:t>
      </w:r>
    </w:p>
    <w:p>
      <w:pPr>
        <w:pStyle w:val="Heading1"/>
      </w:pPr>
      <w:r>
        <w:t xml:space="preserve">Part I 论文框架</w:t>
      </w:r>
    </w:p>
    <w:p>
      <w:pPr>
        <w:pStyle w:val="Heading1"/>
      </w:pPr>
      <w:r>
        <w:t xml:space="preserve">1 Introduction</w:t>
      </w:r>
    </w:p>
    <w:p>
      <w:pPr>
        <w:spacing w:after="100"/>
      </w:pPr>
      <w:r>
        <w:t xml:space="preserve">本章不分小节，按以下顺序分段写。</w:t>
      </w:r>
    </w:p>
    <w:p>
      <w:pPr>
        <w:spacing w:after="80" w:before="220"/>
      </w:pPr>
      <w:r>
        <w:rPr>
          <w:b/>
          <w:bCs/>
          <w:color w:val="1F4E79"/>
          <w:sz w:val="24"/>
          <w:szCs w:val="24"/>
        </w:rPr>
        <w:t xml:space="preserve">段落顺序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研究动机</w:t>
      </w:r>
      <w:r>
        <w:t xml:space="preserve">：应用场景，以及为什么需要 KG Agent。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文献综述</w:t>
      </w:r>
      <w:r>
        <w:t xml:space="preserve">：KG 与 KGQA、KG Agent、KG Agent 的评测，各自写出已有研究的不足。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研究空白</w:t>
      </w:r>
      <w:r>
        <w:t xml:space="preserve">：汇总上一段的不足。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研究目标与研究问题</w:t>
      </w:r>
      <w:r>
        <w:t xml:space="preserve">：总体目标和 RQ1–RQ3。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工作流程与论文结构</w:t>
      </w:r>
      <w:r>
        <w:t xml:space="preserve">：按工作阶段讲，每个阶段对应一章。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论文工作流程图</w:t>
      </w:r>
      <w:r>
        <w:t xml:space="preserve">。</w:t>
      </w:r>
    </w:p>
    <w:p>
      <w:pPr>
        <w:spacing w:after="80" w:before="220"/>
      </w:pPr>
      <w:r>
        <w:rPr>
          <w:b/>
          <w:bCs/>
          <w:color w:val="1F4E79"/>
          <w:sz w:val="24"/>
          <w:szCs w:val="24"/>
        </w:rPr>
        <w:t xml:space="preserve">各段要写的内容</w:t>
      </w:r>
    </w:p>
    <w:p>
      <w:pPr>
        <w:spacing w:after="80" w:before="160"/>
      </w:pPr>
      <w:r>
        <w:rPr>
          <w:b/>
          <w:bCs/>
          <w:color w:val="2E2E2E"/>
          <w:sz w:val="22"/>
          <w:szCs w:val="22"/>
        </w:rPr>
        <w:t xml:space="preserve">1. 研究动机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从 Circular Factory 和自组织生产物流两个场景切入。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KG 能结构化表达这些场景里的实体、能力和关系。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 不掌握这类专业知识，还可能编造答案，所以需要能在 KG 上做多跳推理的 Agent。</w:t>
      </w:r>
    </w:p>
    <w:p>
      <w:pPr>
        <w:pBdr>
          <w:left w:val="single" w:color="E8A33D" w:sz="18" w:space="8"/>
        </w:pBdr>
        <w:shd w:fill="FFF4E5" w:color="auto" w:val="clear"/>
        <w:spacing w:after="120" w:before="60"/>
        <w:ind w:left="160" w:right="160"/>
      </w:pPr>
      <w:r>
        <w:rPr>
          <w:b/>
          <w:bCs/>
          <w:color w:val="E8A33D"/>
        </w:rPr>
        <w:t xml:space="preserve">注意：</w:t>
      </w:r>
      <w:r>
        <w:t xml:space="preserve">写得简短具体，不讲发展史。</w:t>
      </w:r>
    </w:p>
    <w:p>
      <w:pPr>
        <w:spacing w:after="80" w:before="160"/>
      </w:pPr>
      <w:r>
        <w:rPr>
          <w:b/>
          <w:bCs/>
          <w:color w:val="2E2E2E"/>
          <w:sz w:val="22"/>
          <w:szCs w:val="22"/>
        </w:rPr>
        <w:t xml:space="preserve">2. 文献综述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KG 与 KGQA</w:t>
      </w:r>
      <w:r>
        <w:t xml:space="preserve">：交代后文必需的基本概念，包括三元组、SPARQL、RDF 与 property graph 的区别，以及 KGQA 的主流方法。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KG Agent</w:t>
      </w:r>
      <w:r>
        <w:t xml:space="preserve">：介绍 Think-on-Graph、Plan-on-Graph、Chain-of-Relations、ARK-V1 的核心思路，指出它们容易漏掉约束、用参数知识补全缺失信息、缺少拒答机制。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KG Agent 的评测</w:t>
      </w:r>
      <w:r>
        <w:t xml:space="preserve">：介绍常见数据集和指标，说明 LLM 可能凭记忆答题；再讲 grounding 的评价、不可回答问题（GrailQAbility）和拒答研究，并引出本文使用的 GTSQA 和 CR-LT-KGQA。</w:t>
      </w:r>
    </w:p>
    <w:p>
      <w:pPr>
        <w:pBdr>
          <w:left w:val="single" w:color="E8A33D" w:sz="18" w:space="8"/>
        </w:pBdr>
        <w:shd w:fill="FFF4E5" w:color="auto" w:val="clear"/>
        <w:spacing w:after="120" w:before="60"/>
        <w:ind w:left="160" w:right="160"/>
      </w:pPr>
      <w:r>
        <w:rPr>
          <w:b/>
          <w:bCs/>
          <w:color w:val="E8A33D"/>
        </w:rPr>
        <w:t xml:space="preserve">注意：</w:t>
      </w:r>
      <w:r>
        <w:t xml:space="preserve">按主题写，每个方法两三句讲核心思想，具体借鉴的机制等到用到时再展开。</w:t>
      </w:r>
    </w:p>
    <w:p>
      <w:pPr>
        <w:spacing w:after="80" w:before="160"/>
      </w:pPr>
      <w:r>
        <w:rPr>
          <w:b/>
          <w:bCs/>
          <w:color w:val="2E2E2E"/>
          <w:sz w:val="22"/>
          <w:szCs w:val="22"/>
        </w:rPr>
        <w:t xml:space="preserve">3. 研究空白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用一两句话汇总：现有 KG Agent 缺乏约束验证和拒答能力；现有评测只看最终答案，无法判断答案是否来自 KG。</w:t>
      </w:r>
    </w:p>
    <w:p>
      <w:pPr>
        <w:spacing w:after="80" w:before="160"/>
      </w:pPr>
      <w:r>
        <w:rPr>
          <w:b/>
          <w:bCs/>
          <w:color w:val="2E2E2E"/>
          <w:sz w:val="22"/>
          <w:szCs w:val="22"/>
        </w:rPr>
        <w:t xml:space="preserve">4. 研究目标与研究问题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由研究空白引出总体目标，再提出 RQ1–RQ3：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RQ1：如何评价答案正确率以外的能力，即证据覆盖和拒答？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RQ2：基线 Agent 在多跳 KGQA 上有哪些失败模式？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RQ3：针对这些失败模式的架构改进，效果如何？</w:t>
      </w:r>
    </w:p>
    <w:p>
      <w:pPr>
        <w:pBdr>
          <w:left w:val="single" w:color="E8A33D" w:sz="18" w:space="8"/>
        </w:pBdr>
        <w:shd w:fill="FFF4E5" w:color="auto" w:val="clear"/>
        <w:spacing w:after="120" w:before="60"/>
        <w:ind w:left="160" w:right="160"/>
      </w:pPr>
      <w:r>
        <w:rPr>
          <w:b/>
          <w:bCs/>
          <w:color w:val="E8A33D"/>
        </w:rPr>
        <w:t xml:space="preserve">注意：</w:t>
      </w:r>
      <w:r>
        <w:t xml:space="preserve">每个 RQ 都要能对应到前面写出的某个不足。贡献不写在这里，放到第 7 章。</w:t>
      </w:r>
    </w:p>
    <w:p>
      <w:pPr>
        <w:spacing w:after="80" w:before="160"/>
      </w:pPr>
      <w:r>
        <w:rPr>
          <w:b/>
          <w:bCs/>
          <w:color w:val="2E2E2E"/>
          <w:sz w:val="22"/>
          <w:szCs w:val="22"/>
        </w:rPr>
        <w:t xml:space="preserve">5. 工作流程与论文结构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按工作阶段讲：基线分析与适配 → 评测框架与数据准备 → 基线诊断 → ARK-V2 设计 → 对比评测。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每个阶段说明对应哪一章、回答哪个 RQ。</w:t>
      </w:r>
    </w:p>
    <w:p>
      <w:pPr>
        <w:pBdr>
          <w:left w:val="single" w:color="E8A33D" w:sz="18" w:space="8"/>
        </w:pBdr>
        <w:shd w:fill="FFF4E5" w:color="auto" w:val="clear"/>
        <w:spacing w:after="120" w:before="60"/>
        <w:ind w:left="160" w:right="160"/>
      </w:pPr>
      <w:r>
        <w:rPr>
          <w:b/>
          <w:bCs/>
          <w:color w:val="E8A33D"/>
        </w:rPr>
        <w:t xml:space="preserve">注意：</w:t>
      </w:r>
      <w:r>
        <w:t xml:space="preserve">不用再逐章罗列。</w:t>
      </w:r>
    </w:p>
    <w:p>
      <w:pPr>
        <w:spacing w:after="80" w:before="160"/>
      </w:pPr>
      <w:r>
        <w:rPr>
          <w:b/>
          <w:bCs/>
          <w:color w:val="2E2E2E"/>
          <w:sz w:val="22"/>
          <w:szCs w:val="22"/>
        </w:rPr>
        <w:t xml:space="preserve">6. 论文工作流程图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横向画 5 个阶段，每个阶段下面标注章节号和主要产出。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用箭头突出“失败分析 → 需求 → V2 → 验证”这条主线。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标出开发集和独立测试集分别用在哪些阶段。</w:t>
      </w:r>
    </w:p>
    <w:p>
      <w:pPr>
        <w:pStyle w:val="Heading1"/>
      </w:pPr>
      <w:r>
        <w:t xml:space="preserve">2 Baseline Agent: ARK-V1 and ARK-V1.1</w:t>
      </w:r>
    </w:p>
    <w:p>
      <w:pPr>
        <w:pStyle w:val="Heading2"/>
      </w:pPr>
      <w:r>
        <w:t xml:space="preserve">2.1 Architecture and Workflow of ARK-V1</w:t>
      </w:r>
    </w:p>
    <w:p>
      <w:pPr>
        <w:spacing w:after="100"/>
      </w:pPr>
      <w:r>
        <w:t xml:space="preserve">介绍 ARK-V1 的 LangGraph 节点流程（select_anchor → select_relation → reasoning → cleanup → generate_answer）、状态结构、图访问接口、终止条件。</w:t>
      </w:r>
    </w:p>
    <w:p>
      <w:pPr>
        <w:pBdr>
          <w:left w:val="single" w:color="5B9BD5" w:sz="18" w:space="8"/>
        </w:pBdr>
        <w:shd w:fill="EAF2FB" w:color="auto" w:val="clear"/>
        <w:spacing w:after="120" w:before="60"/>
        <w:ind w:left="160" w:right="160"/>
      </w:pPr>
      <w:r>
        <w:rPr>
          <w:b/>
          <w:bCs/>
          <w:color w:val="5B9BD5"/>
        </w:rPr>
        <w:t xml:space="preserve">建议：</w:t>
      </w:r>
      <w:r>
        <w:t xml:space="preserve">配一张流程图，再用一道题演示完整执行过程，最好就用第 4 章会分析的题，后面可以复用。</w:t>
      </w:r>
    </w:p>
    <w:p>
      <w:pPr>
        <w:pStyle w:val="Heading2"/>
      </w:pPr>
      <w:r>
        <w:t xml:space="preserve">2.2 Adaptation to GTSQA: ARK-V1.1</w:t>
      </w:r>
    </w:p>
    <w:p>
      <w:pPr>
        <w:spacing w:after="100"/>
      </w:pPr>
      <w:r>
        <w:t xml:space="preserve">把 V1.1 的改动按四类写，每类说明改了什么、为什么必须改：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数据/图接口适配：triple adapter、MultiDiGraph、incoming/outgoing 双向查询。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实现正确性修复：重试路由、状态重置。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输出处理增强：结构化答案、None 与 [] 的区分、QID 补全。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Prompt/行为调整。</w:t>
      </w:r>
    </w:p>
    <w:p>
      <w:pPr>
        <w:pBdr>
          <w:left w:val="single" w:color="E8A33D" w:sz="18" w:space="8"/>
        </w:pBdr>
        <w:shd w:fill="FFF4E5" w:color="auto" w:val="clear"/>
        <w:spacing w:after="120" w:before="60"/>
        <w:ind w:left="160" w:right="160"/>
      </w:pPr>
      <w:r>
        <w:rPr>
          <w:b/>
          <w:bCs/>
          <w:color w:val="E8A33D"/>
        </w:rPr>
        <w:t xml:space="preserve">注意：</w:t>
      </w:r>
      <w:r>
        <w:t xml:space="preserve">最后一类必须如实写出来。它改变了 Agent 的行为，所以 V1.1 不能被称为“原版”。</w:t>
      </w:r>
    </w:p>
    <w:p>
      <w:pPr>
        <w:pStyle w:val="Heading2"/>
      </w:pPr>
      <w:r>
        <w:t xml:space="preserve">2.3 Baseline Definition</w:t>
      </w:r>
    </w:p>
    <w:p>
      <w:pPr>
        <w:spacing w:after="100"/>
      </w:pPr>
      <w:r>
        <w:t xml:space="preserve">写清冻结基线的具体内容：代码提交、Prompt 版本、模型、探索与重试预算、答案规范化规则。还要说明为什么冻结后不再修改 V1.1，因为要保证和 V2 比较时公平。</w:t>
      </w:r>
    </w:p>
    <w:p>
      <w:pPr>
        <w:pBdr>
          <w:left w:val="single" w:color="E8A33D" w:sz="18" w:space="8"/>
        </w:pBdr>
        <w:shd w:fill="FFF4E5" w:color="auto" w:val="clear"/>
        <w:spacing w:after="120" w:before="60"/>
        <w:ind w:left="160" w:right="160"/>
      </w:pPr>
      <w:r>
        <w:rPr>
          <w:b/>
          <w:bCs/>
          <w:color w:val="E8A33D"/>
        </w:rPr>
        <w:t xml:space="preserve">注意：</w:t>
      </w:r>
      <w:r>
        <w:t xml:space="preserve">这一章只描述，不放任何分数，分数都在第 4 章。</w:t>
      </w:r>
    </w:p>
    <w:p>
      <w:pPr>
        <w:pStyle w:val="Heading1"/>
      </w:pPr>
      <w:r>
        <w:t xml:space="preserve">3 Evaluation Framework</w:t>
      </w:r>
    </w:p>
    <w:p>
      <w:pPr>
        <w:pStyle w:val="Heading2"/>
      </w:pPr>
      <w:r>
        <w:t xml:space="preserve">3.1 From Agent Capabilities to Metrics</w:t>
      </w:r>
    </w:p>
    <w:p>
      <w:pPr>
        <w:spacing w:after="100"/>
      </w:pPr>
      <w:r>
        <w:t xml:space="preserve">用一张表把七个层次对应起来：能力、测试任务、数据需求、标注、日志需求、指标、实现方式。这一节是整个评测设计的总纲。</w:t>
      </w:r>
    </w:p>
    <w:p>
      <w:pPr>
        <w:pBdr>
          <w:left w:val="single" w:color="E8A33D" w:sz="18" w:space="8"/>
        </w:pBdr>
        <w:shd w:fill="FFF4E5" w:color="auto" w:val="clear"/>
        <w:spacing w:after="120" w:before="60"/>
        <w:ind w:left="160" w:right="160"/>
      </w:pPr>
      <w:r>
        <w:rPr>
          <w:b/>
          <w:bCs/>
          <w:color w:val="E8A33D"/>
        </w:rPr>
        <w:t xml:space="preserve">注意：</w:t>
      </w:r>
      <w:r>
        <w:t xml:space="preserve">Problem Understanding 不做定量评价，只通过案例分析，这里要说明理由。</w:t>
      </w:r>
    </w:p>
    <w:p>
      <w:pPr>
        <w:pStyle w:val="Heading2"/>
      </w:pPr>
      <w:r>
        <w:t xml:space="preserve">3.2 Evaluation Datasets and Data Split</w:t>
      </w:r>
    </w:p>
    <w:p>
      <w:pPr>
        <w:spacing w:after="100"/>
      </w:pPr>
      <w:r>
        <w:t xml:space="preserve">分别介绍三个数据集：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GTSQA：question-specific graph、gold answer subgraph、图结构类型。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CR-LT-KGQA：Boolean 答案，KG 证据加常识推理，以及它在本文中的角色。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GTSQA-UA：在 3.3 详述。</w:t>
      </w:r>
    </w:p>
    <w:p>
      <w:pPr>
        <w:spacing w:after="100"/>
      </w:pPr>
      <w:r>
        <w:t xml:space="preserve">然后写开发集和正式测试集怎么划分：正式测试集按图结构类型分层抽样，UA 变体跟着原题放在同一侧。</w:t>
      </w:r>
    </w:p>
    <w:p>
      <w:pPr>
        <w:pBdr>
          <w:left w:val="single" w:color="E8A33D" w:sz="18" w:space="8"/>
        </w:pBdr>
        <w:shd w:fill="FFF4E5" w:color="auto" w:val="clear"/>
        <w:spacing w:after="120" w:before="60"/>
        <w:ind w:left="160" w:right="160"/>
      </w:pPr>
      <w:r>
        <w:rPr>
          <w:b/>
          <w:bCs/>
          <w:color w:val="E8A33D"/>
        </w:rPr>
        <w:t xml:space="preserve">注意：</w:t>
      </w:r>
      <w:r>
        <w:t xml:space="preserve">开发题来自 GTSQA test split，要主动说明这一点以及隔离措施。</w:t>
      </w:r>
    </w:p>
    <w:p>
      <w:pPr>
        <w:pStyle w:val="Heading2"/>
      </w:pPr>
      <w:r>
        <w:t xml:space="preserve">3.3 Construction and Validation of GTSQA-UA</w:t>
      </w:r>
    </w:p>
    <w:p>
      <w:pPr>
        <w:spacing w:after="100"/>
      </w:pPr>
      <w:r>
        <w:t xml:space="preserve">写受控事实删除的方法和“不可回答”的操作性定义：原图查询返回 gold 答案，删除事实后同一查询返回空结果。再写验证流程、原题与变体的配对设计，以及局限（依赖 gold SPARQL 的语义正确性）。方法来源 GrailQAbility 的受控删除在这里具体交代。</w:t>
      </w:r>
    </w:p>
    <w:p>
      <w:pPr>
        <w:pBdr>
          <w:left w:val="single" w:color="5B9BD5" w:sz="18" w:space="8"/>
        </w:pBdr>
        <w:shd w:fill="EAF2FB" w:color="auto" w:val="clear"/>
        <w:spacing w:after="120" w:before="60"/>
        <w:ind w:left="160" w:right="160"/>
      </w:pPr>
      <w:r>
        <w:rPr>
          <w:b/>
          <w:bCs/>
          <w:color w:val="5B9BD5"/>
        </w:rPr>
        <w:t xml:space="preserve">建议：</w:t>
      </w:r>
      <w:r>
        <w:t xml:space="preserve">配一个具体例子，展示删除前后的图片段。</w:t>
      </w:r>
    </w:p>
    <w:p>
      <w:pPr>
        <w:pStyle w:val="Heading2"/>
      </w:pPr>
      <w:r>
        <w:t xml:space="preserve">3.4 Metrics and Analysis Dimensions</w:t>
      </w:r>
    </w:p>
    <w:p>
      <w:pPr>
        <w:spacing w:after="100"/>
      </w:pPr>
      <w:r>
        <w:t xml:space="preserve">逐个给出指标的定义、公式、适用的数据集和解释边界：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Entity EM、Boolean EM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Evidence Coverage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回答/拒答决策准确率、UA 上的幻觉率、原题上的误拒率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执行失败率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成本：token、LLM 调用次数、耗时</w:t>
      </w:r>
    </w:p>
    <w:p>
      <w:pPr>
        <w:spacing w:after="100"/>
      </w:pPr>
      <w:r>
        <w:t xml:space="preserve">最后说明分析维度用图结构类型，而不是跳数：跳数不等于难度，比如 5 条边的单路径题可能比 2–3 条边的多分支题更简单；而且结构类型是 GTSQA 自带的标注，方便分层抽样。</w:t>
      </w:r>
    </w:p>
    <w:p>
      <w:pPr>
        <w:pBdr>
          <w:left w:val="single" w:color="E8A33D" w:sz="18" w:space="8"/>
        </w:pBdr>
        <w:shd w:fill="FFF4E5" w:color="auto" w:val="clear"/>
        <w:spacing w:after="120" w:before="60"/>
        <w:ind w:left="160" w:right="160"/>
      </w:pPr>
      <w:r>
        <w:rPr>
          <w:b/>
          <w:bCs/>
          <w:color w:val="E8A33D"/>
        </w:rPr>
        <w:t xml:space="preserve">注意：</w:t>
      </w:r>
      <w:r>
        <w:t xml:space="preserve">每个指标都要写“它不能证明什么”，见写作注意事项第 3 条。</w:t>
      </w:r>
    </w:p>
    <w:p>
      <w:pPr>
        <w:pStyle w:val="Heading2"/>
      </w:pPr>
      <w:r>
        <w:t xml:space="preserve">3.5 Output Contract and Evaluation Pipeline</w:t>
      </w:r>
    </w:p>
    <w:p>
      <w:pPr>
        <w:spacing w:after="100"/>
      </w:pPr>
      <w:r>
        <w:t xml:space="preserve">写和具体 Agent 架构无关的输出接口：answer_payload、predicted_answer、answer_status、execution_status、termination_reason。再写端到端数据流：Dataset → Adapter → Agent → Langfuse trace → item/run-level evaluator → 结果导出。还有一个设计：计划运行的样本先登记，失败的样本不会从统计里消失。</w:t>
      </w:r>
    </w:p>
    <w:p>
      <w:pPr>
        <w:pBdr>
          <w:left w:val="single" w:color="5B9BD5" w:sz="18" w:space="8"/>
        </w:pBdr>
        <w:shd w:fill="EAF2FB" w:color="auto" w:val="clear"/>
        <w:spacing w:after="120" w:before="60"/>
        <w:ind w:left="160" w:right="160"/>
      </w:pPr>
      <w:r>
        <w:rPr>
          <w:b/>
          <w:bCs/>
          <w:color w:val="5B9BD5"/>
        </w:rPr>
        <w:t xml:space="preserve">建议：</w:t>
      </w:r>
      <w:r>
        <w:t xml:space="preserve">配一张数据流图。这一节说明了为什么 V1.1 和 V2 能在同一条流程里公平比较。</w:t>
      </w:r>
    </w:p>
    <w:p>
      <w:pPr>
        <w:pStyle w:val="Heading1"/>
      </w:pPr>
      <w:r>
        <w:t xml:space="preserve">4 Baseline Evaluation and Failure Analysis</w:t>
      </w:r>
    </w:p>
    <w:p>
      <w:pPr>
        <w:pStyle w:val="Heading2"/>
      </w:pPr>
      <w:r>
        <w:t xml:space="preserve">4.1 Preliminary Results</w:t>
      </w:r>
    </w:p>
    <w:p>
      <w:pPr>
        <w:spacing w:after="100"/>
      </w:pPr>
      <w:r>
        <w:t xml:space="preserve">报告 V1.1 在开发集上的结果：12 道 GTSQA、24 项 GTSQA-UA、CR-LT-KGQA 子集。另外包括 V1 和 V1.1 在 CR-LT-KGQA 上的对比，用来检查 V1.1 的修改有没有扭曲原版在它本来数据集上的表现。</w:t>
      </w:r>
    </w:p>
    <w:p>
      <w:pPr>
        <w:pBdr>
          <w:left w:val="single" w:color="E8A33D" w:sz="18" w:space="8"/>
        </w:pBdr>
        <w:shd w:fill="FFF4E5" w:color="auto" w:val="clear"/>
        <w:spacing w:after="120" w:before="60"/>
        <w:ind w:left="160" w:right="160"/>
      </w:pPr>
      <w:r>
        <w:rPr>
          <w:b/>
          <w:bCs/>
          <w:color w:val="E8A33D"/>
        </w:rPr>
        <w:t xml:space="preserve">注意：</w:t>
      </w:r>
      <w:r>
        <w:t xml:space="preserve">全章统一叫 preliminary / development results，用 x/n 报告，不下泛化结论。</w:t>
      </w:r>
    </w:p>
    <w:p>
      <w:pPr>
        <w:pStyle w:val="Heading2"/>
      </w:pPr>
      <w:r>
        <w:t xml:space="preserve">4.2 Failure Taxonomy</w:t>
      </w:r>
    </w:p>
    <w:p>
      <w:pPr>
        <w:spacing w:after="100"/>
      </w:pPr>
      <w:r>
        <w:t xml:space="preserve">用 trace 证据建立失败分类：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控制流程与状态保留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必要约束未验证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关系语义与问题不一致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证据不足时仍生成答案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答案名称与实体标识不一致</w:t>
      </w:r>
    </w:p>
    <w:p>
      <w:pPr>
        <w:spacing w:after="100"/>
      </w:pPr>
      <w:r>
        <w:t xml:space="preserve">再补充 UA 上的拒答错误类型：错误回答（幻觉）、错误拒答，以及预算耗尽造成的“被动拒答”。每类配 1 个代表案例。</w:t>
      </w:r>
    </w:p>
    <w:p>
      <w:pPr>
        <w:pBdr>
          <w:left w:val="single" w:color="E8A33D" w:sz="18" w:space="8"/>
        </w:pBdr>
        <w:shd w:fill="FFF4E5" w:color="auto" w:val="clear"/>
        <w:spacing w:after="120" w:before="60"/>
        <w:ind w:left="160" w:right="160"/>
      </w:pPr>
      <w:r>
        <w:rPr>
          <w:b/>
          <w:bCs/>
          <w:color w:val="E8A33D"/>
        </w:rPr>
        <w:t xml:space="preserve">注意：</w:t>
      </w:r>
      <w:r>
        <w:t xml:space="preserve">一道题可能同时属于多类，用“题目 × 类别”矩阵展示，不要写成百分比。另外要区分实现层面的问题和方法层面的问题。</w:t>
      </w:r>
    </w:p>
    <w:p>
      <w:pPr>
        <w:pStyle w:val="Heading2"/>
      </w:pPr>
      <w:r>
        <w:t xml:space="preserve">4.3 Derived Requirements for ARK-V2</w:t>
      </w:r>
    </w:p>
    <w:p>
      <w:pPr>
        <w:spacing w:after="100"/>
      </w:pPr>
      <w:r>
        <w:t xml:space="preserve">把失败类别转成需求编号 R1…Rn，并写清优先级标准：出现频率、对结果的影响、实现成本、能否通过实验验证。</w:t>
      </w:r>
    </w:p>
    <w:p>
      <w:pPr>
        <w:pBdr>
          <w:left w:val="single" w:color="E8A33D" w:sz="18" w:space="8"/>
        </w:pBdr>
        <w:shd w:fill="FFF4E5" w:color="auto" w:val="clear"/>
        <w:spacing w:after="120" w:before="60"/>
        <w:ind w:left="160" w:right="160"/>
      </w:pPr>
      <w:r>
        <w:rPr>
          <w:b/>
          <w:bCs/>
          <w:color w:val="E8A33D"/>
        </w:rPr>
        <w:t xml:space="preserve">注意：</w:t>
      </w:r>
      <w:r>
        <w:t xml:space="preserve">这一节是 V2 取舍的正式依据。以后按时间和难度删减改进项，只要在这里的优先级标准下说得通，就不会显得随意。</w:t>
      </w:r>
    </w:p>
    <w:p>
      <w:pPr>
        <w:pStyle w:val="Heading1"/>
      </w:pPr>
      <w:r>
        <w:t xml:space="preserve">5 Design and Implementation of ARK-V2</w:t>
      </w:r>
    </w:p>
    <w:p>
      <w:pPr>
        <w:pStyle w:val="Heading2"/>
      </w:pPr>
      <w:r>
        <w:t xml:space="preserve">5.1 Design Overview</w:t>
      </w:r>
    </w:p>
    <w:p>
      <w:pPr>
        <w:spacing w:after="100"/>
      </w:pPr>
      <w:r>
        <w:t xml:space="preserve">从 R1…Rn 引出 V2 的整体架构，配一张和 V1 对比的流程图，再用一张表把需求、V2 组件和解决的失败类别对应起来。</w:t>
      </w:r>
    </w:p>
    <w:p>
      <w:pPr>
        <w:pStyle w:val="Heading2"/>
      </w:pPr>
      <w:r>
        <w:t xml:space="preserve">5.2–5.x 每个改进组件各写一节</w:t>
      </w:r>
    </w:p>
    <w:p>
      <w:pPr>
        <w:spacing w:after="100"/>
      </w:pPr>
      <w:r>
        <w:t xml:space="preserve">每节的写法一致：设计动机（引用第 4 章的失败案例）→ 机制 → 借鉴的方法（在这里具体展开）→ 和 V1 的区别 → 状态和日志的变化。目前候选组件有：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问题分析与约束表示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探索状态与证据保留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回答前验证、知识使用策略与答案绑定</w:t>
      </w:r>
    </w:p>
    <w:p>
      <w:pPr>
        <w:pBdr>
          <w:left w:val="single" w:color="E8A33D" w:sz="18" w:space="8"/>
        </w:pBdr>
        <w:shd w:fill="FFF4E5" w:color="auto" w:val="clear"/>
        <w:spacing w:after="120" w:before="60"/>
        <w:ind w:left="160" w:right="160"/>
      </w:pPr>
      <w:r>
        <w:rPr>
          <w:b/>
          <w:bCs/>
          <w:color w:val="E8A33D"/>
        </w:rPr>
        <w:t xml:space="preserve">注意：</w:t>
      </w:r>
      <w:r>
        <w:t xml:space="preserve">最终只写真正实现并且参与了实验的组件。</w:t>
      </w:r>
    </w:p>
    <w:p>
      <w:pPr>
        <w:pStyle w:val="Heading2"/>
      </w:pPr>
      <w:r>
        <w:t xml:space="preserve">5.y Implementation</w:t>
      </w:r>
    </w:p>
    <w:p>
      <w:pPr>
        <w:spacing w:after="100"/>
      </w:pPr>
      <w:r>
        <w:t xml:space="preserve">写 LangGraph 实现，用一两段介绍 LangGraph 即可。再写复用了 V1 的哪些部分（图接口、模型调用封装），以及如何接入第 3 章的输出接口和 Langfuse。</w:t>
      </w:r>
    </w:p>
    <w:p>
      <w:pPr>
        <w:pBdr>
          <w:left w:val="single" w:color="E8A33D" w:sz="18" w:space="8"/>
        </w:pBdr>
        <w:shd w:fill="FFF4E5" w:color="auto" w:val="clear"/>
        <w:spacing w:after="120" w:before="60"/>
        <w:ind w:left="160" w:right="160"/>
      </w:pPr>
      <w:r>
        <w:rPr>
          <w:b/>
          <w:bCs/>
          <w:color w:val="E8A33D"/>
        </w:rPr>
        <w:t xml:space="preserve">注意：</w:t>
      </w:r>
      <w:r>
        <w:t xml:space="preserve">不要逐个函数讲代码，重点讲状态模型和节点之间的控制流。</w:t>
      </w:r>
    </w:p>
    <w:p>
      <w:pPr>
        <w:pStyle w:val="Heading1"/>
      </w:pPr>
      <w:r>
        <w:t xml:space="preserve">6 Evaluation and Discussion</w:t>
      </w:r>
    </w:p>
    <w:p>
      <w:pPr>
        <w:pStyle w:val="Heading2"/>
      </w:pPr>
      <w:r>
        <w:t xml:space="preserve">6.1 Experimental Protocol</w:t>
      </w:r>
    </w:p>
    <w:p>
      <w:pPr>
        <w:spacing w:after="100"/>
      </w:pPr>
      <w:r>
        <w:t xml:space="preserve">写清实验条件：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比较对象是 V1.1 和 V2。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使用正式测试集。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统一的条件：模型、温度、探索与重试预算、答案规范化和 QID 补全规则。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重复运行次数。</w:t>
      </w:r>
    </w:p>
    <w:p>
      <w:pPr>
        <w:spacing w:after="100"/>
      </w:pPr>
      <w:r>
        <w:t xml:space="preserve">如果 CR-LT-KGQA 上两个版本的知识使用规则不一样，要在这里说明。</w:t>
      </w:r>
    </w:p>
    <w:p>
      <w:pPr>
        <w:pStyle w:val="Heading2"/>
      </w:pPr>
      <w:r>
        <w:t xml:space="preserve">6.2 Answer Correctness</w:t>
      </w:r>
    </w:p>
    <w:p>
      <w:pPr>
        <w:spacing w:after="100"/>
      </w:pPr>
      <w:r>
        <w:t xml:space="preserve">报告总体结果和按图结构类型的结果，每格写 n。</w:t>
      </w:r>
    </w:p>
    <w:p>
      <w:pPr>
        <w:pStyle w:val="Heading2"/>
      </w:pPr>
      <w:r>
        <w:t xml:space="preserve">6.3 Graph Evidence</w:t>
      </w:r>
    </w:p>
    <w:p>
      <w:pPr>
        <w:spacing w:after="100"/>
      </w:pPr>
      <w:r>
        <w:t xml:space="preserve">报告证据覆盖率，以及覆盖率和答案正确性之间的关系，比如“答对但证据覆盖率低”的题有多少。</w:t>
      </w:r>
    </w:p>
    <w:p>
      <w:pPr>
        <w:pStyle w:val="Heading2"/>
      </w:pPr>
      <w:r>
        <w:t xml:space="preserve">6.4 Answerability and Refusal</w:t>
      </w:r>
    </w:p>
    <w:p>
      <w:pPr>
        <w:spacing w:after="100"/>
      </w:pPr>
      <w:r>
        <w:t xml:space="preserve">重点做配对分析：同一道题在原题和 UA 变体上分别怎么表现。区分四种情况：正确拒答、幻觉、误拒，以及执行失败或预算耗尽。</w:t>
      </w:r>
    </w:p>
    <w:p>
      <w:pPr>
        <w:pStyle w:val="Heading2"/>
      </w:pPr>
      <w:r>
        <w:t xml:space="preserve">6.5 Cost and Efficiency</w:t>
      </w:r>
    </w:p>
    <w:p>
      <w:pPr>
        <w:spacing w:after="100"/>
      </w:pPr>
      <w:r>
        <w:t xml:space="preserve">报告 token、调用次数和耗时的变化，讨论准确率提升和成本增加之间的权衡。</w:t>
      </w:r>
    </w:p>
    <w:p>
      <w:pPr>
        <w:pStyle w:val="Heading2"/>
      </w:pPr>
      <w:r>
        <w:t xml:space="preserve">6.6 Failure Case Analysis</w:t>
      </w:r>
    </w:p>
    <w:p>
      <w:pPr>
        <w:spacing w:after="100"/>
      </w:pPr>
      <w:r>
        <w:t xml:space="preserve">回到第 4 章的失败类别，看 V2 解决了哪些、没解决哪些、有没有带来新的失败模式。</w:t>
      </w:r>
    </w:p>
    <w:p>
      <w:pPr>
        <w:pBdr>
          <w:left w:val="single" w:color="E8A33D" w:sz="18" w:space="8"/>
        </w:pBdr>
        <w:shd w:fill="FFF4E5" w:color="auto" w:val="clear"/>
        <w:spacing w:after="120" w:before="60"/>
        <w:ind w:left="160" w:right="160"/>
      </w:pPr>
      <w:r>
        <w:rPr>
          <w:b/>
          <w:bCs/>
          <w:color w:val="E8A33D"/>
        </w:rPr>
        <w:t xml:space="preserve">注意：</w:t>
      </w:r>
      <w:r>
        <w:t xml:space="preserve">这一节决定了改进能不能解释清楚，必须用 trace 证据，不能只靠分数推断。</w:t>
      </w:r>
    </w:p>
    <w:p>
      <w:pPr>
        <w:pStyle w:val="Heading2"/>
      </w:pPr>
      <w:r>
        <w:t xml:space="preserve">6.7 Discussion</w:t>
      </w:r>
    </w:p>
    <w:p>
      <w:pPr>
        <w:spacing w:after="100"/>
      </w:pPr>
      <w:r>
        <w:t xml:space="preserve">逐条回答 RQ，讨论结果在多大程度上能推广到目标工业图谱（RDF/OWL）。</w:t>
      </w:r>
    </w:p>
    <w:p>
      <w:pPr>
        <w:pStyle w:val="Heading2"/>
      </w:pPr>
      <w:r>
        <w:t xml:space="preserve">6.8 Limitations and Threats to Validity</w:t>
      </w:r>
    </w:p>
    <w:p>
      <w:pPr>
        <w:spacing w:after="100"/>
      </w:pPr>
      <w:r>
        <w:t xml:space="preserve">写样本规模、单一模型、LLM 输出的随机性、UA 构造依赖 gold query、指标只是代理指标、开发集与测试集的分布差异。</w:t>
      </w:r>
    </w:p>
    <w:p>
      <w:pPr>
        <w:pStyle w:val="Heading1"/>
      </w:pPr>
      <w:r>
        <w:t xml:space="preserve">7 Conclusion and Outlook</w:t>
      </w:r>
    </w:p>
    <w:p>
      <w:pPr>
        <w:pStyle w:val="Heading2"/>
      </w:pPr>
      <w:r>
        <w:t xml:space="preserve">7.1 Summary and Answers to the Research Questions</w:t>
      </w:r>
    </w:p>
    <w:p>
      <w:pPr>
        <w:spacing w:after="100"/>
      </w:pPr>
      <w:r>
        <w:t xml:space="preserve">每个 RQ 用一段话给出结论。</w:t>
      </w:r>
    </w:p>
    <w:p>
      <w:pPr>
        <w:pStyle w:val="Heading2"/>
      </w:pPr>
      <w:r>
        <w:t xml:space="preserve">7.2 Contributions</w:t>
      </w:r>
    </w:p>
    <w:p>
      <w:pPr>
        <w:spacing w:after="100"/>
      </w:pPr>
      <w:r>
        <w:t xml:space="preserve">列出 3 条左右贡献：评测框架（包括 GTSQA-UA 的构造）、失败模式分析、ARK-V2 的设计与评测。每条贡献都要能对应到前文的具体章节和结果。</w:t>
      </w:r>
    </w:p>
    <w:p>
      <w:pPr>
        <w:pBdr>
          <w:left w:val="single" w:color="E8A33D" w:sz="18" w:space="8"/>
        </w:pBdr>
        <w:shd w:fill="FFF4E5" w:color="auto" w:val="clear"/>
        <w:spacing w:after="120" w:before="60"/>
        <w:ind w:left="160" w:right="160"/>
      </w:pPr>
      <w:r>
        <w:rPr>
          <w:b/>
          <w:bCs/>
          <w:color w:val="E8A33D"/>
        </w:rPr>
        <w:t xml:space="preserve">注意：</w:t>
      </w:r>
      <w:r>
        <w:t xml:space="preserve">V1.1 的适配工作不写成贡献。</w:t>
      </w:r>
    </w:p>
    <w:p>
      <w:pPr>
        <w:pStyle w:val="Heading2"/>
      </w:pPr>
      <w:r>
        <w:t xml:space="preserve">7.3 Outlook</w:t>
      </w:r>
    </w:p>
    <w:p>
      <w:pPr>
        <w:spacing w:after="100"/>
      </w:pPr>
      <w:r>
        <w:t xml:space="preserve">从第 6.8 节的局限出发提出后续方向，并回到引言中的应用场景。</w:t>
      </w:r>
    </w:p>
    <w:p>
      <w:pPr>
        <w:pBdr>
          <w:left w:val="single" w:color="E8A33D" w:sz="18" w:space="8"/>
        </w:pBdr>
        <w:shd w:fill="FFF4E5" w:color="auto" w:val="clear"/>
        <w:spacing w:after="120" w:before="60"/>
        <w:ind w:left="160" w:right="160"/>
      </w:pPr>
      <w:r>
        <w:rPr>
          <w:b/>
          <w:bCs/>
          <w:color w:val="E8A33D"/>
        </w:rPr>
        <w:t xml:space="preserve">注意：</w:t>
      </w:r>
      <w:r>
        <w:t xml:space="preserve">Outlook 只基于论文里已经暴露的问题，不新增章节里没出现过的工作。</w:t>
      </w:r>
    </w:p>
    <w:p>
      <w:pPr>
        <w:pStyle w:val="Heading1"/>
      </w:pPr>
      <w:r>
        <w:t xml:space="preserve">Appendix</w:t>
      </w:r>
    </w:p>
    <w:p>
      <w:pPr>
        <w:spacing w:after="100"/>
      </w:pPr>
      <w:r>
        <w:t xml:space="preserve">建议放入以下内容：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完整 Prompt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实验配置（代码提交、模型、预算、Langfuse experiment ID）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逐题结果表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GTSQA-UA 的删除记录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代码标识与论文名称对照表</w:t>
      </w:r>
    </w:p>
    <w:p>
      <w:pPr>
        <w:pStyle w:val="Heading1"/>
      </w:pPr>
      <w:r>
        <w:t xml:space="preserve">Part II 写作中的重要注意事项</w:t>
      </w:r>
    </w:p>
    <w:p>
      <w:pPr>
        <w:pStyle w:val="ListParagraph"/>
        <w:numPr>
          <w:ilvl w:val="0"/>
          <w:numId w:val="4"/>
        </w:numPr>
        <w:spacing w:after="40" w:before="120"/>
      </w:pPr>
      <w:r>
        <w:rPr>
          <w:b/>
          <w:bCs/>
          <w:color w:val="1F4E79"/>
        </w:rPr>
        <w:t xml:space="preserve">保持完整的证据链。</w:t>
      </w:r>
    </w:p>
    <w:p>
      <w:pPr>
        <w:spacing w:after="120"/>
        <w:ind w:left="360"/>
      </w:pPr>
      <w:r>
        <w:t xml:space="preserve">V2 的每个组件都要能追溯到第 4 章的某个失败类别，并在第 6 章被验证。建议维护一张“失败类别 → 需求 → 组件 → 验证结果”的总表（模板见文末），第 4、5、6 章都引用它。哪个组件对不上这条链，就该考虑删掉。</w:t>
      </w:r>
    </w:p>
    <w:p>
      <w:pPr>
        <w:pStyle w:val="ListParagraph"/>
        <w:numPr>
          <w:ilvl w:val="0"/>
          <w:numId w:val="4"/>
        </w:numPr>
        <w:spacing w:after="40" w:before="120"/>
      </w:pPr>
      <w:r>
        <w:rPr>
          <w:b/>
          <w:bCs/>
          <w:color w:val="1F4E79"/>
        </w:rPr>
        <w:t xml:space="preserve">开发结果和正式结果严格分开。</w:t>
      </w:r>
    </w:p>
    <w:p>
      <w:pPr>
        <w:spacing w:after="120"/>
        <w:ind w:left="360"/>
      </w:pPr>
      <w:r>
        <w:t xml:space="preserve">12 道开发题和它们的 UA 变体只能出现在第 4 章，并且明确标注为 development results。第 6 章只用 held-out 题。绝不能把开发集上的提升写成正式结论。</w:t>
      </w:r>
    </w:p>
    <w:p>
      <w:pPr>
        <w:pStyle w:val="ListParagraph"/>
        <w:numPr>
          <w:ilvl w:val="0"/>
          <w:numId w:val="4"/>
        </w:numPr>
        <w:spacing w:after="40" w:before="120"/>
      </w:pPr>
      <w:r>
        <w:rPr>
          <w:b/>
          <w:bCs/>
          <w:color w:val="1F4E79"/>
        </w:rPr>
        <w:t xml:space="preserve">指标按它实际测量的东西来解释。</w:t>
      </w:r>
    </w:p>
    <w:p>
      <w:pPr>
        <w:spacing w:after="120"/>
        <w:ind w:left="360"/>
      </w:pPr>
      <w:r>
        <w:t xml:space="preserve">Graph Evidence Coverage 只说明证据覆盖了多少 gold subgraph，不证明答案是从这些证据推出来的；拒答指标只评价“答还是不答”这个决定，不评价答案内容对不对；answer_basis 是 Agent 自己报告的，只能作诊断用。每个指标第一次出现时就写清边界，后面的讨论不能超出这个边界。</w:t>
      </w:r>
    </w:p>
    <w:p>
      <w:pPr>
        <w:pStyle w:val="ListParagraph"/>
        <w:numPr>
          <w:ilvl w:val="0"/>
          <w:numId w:val="4"/>
        </w:numPr>
        <w:spacing w:after="40" w:before="120"/>
      </w:pPr>
      <w:r>
        <w:rPr>
          <w:b/>
          <w:bCs/>
          <w:color w:val="1F4E79"/>
        </w:rPr>
        <w:t xml:space="preserve">如实交代 ARK-V1.1 的定位。</w:t>
      </w:r>
    </w:p>
    <w:p>
      <w:pPr>
        <w:spacing w:after="120"/>
        <w:ind w:left="360"/>
      </w:pPr>
      <w:r>
        <w:t xml:space="preserve">V1.1 是经过适配和修复的增强基线，既不是原版，也不是本文的方法贡献。V1.1 里修复带来的提升不能算到 V2 头上。如果 V2 继承了 V1.1 的修复，比较时要说明两者共享这些修复。</w:t>
      </w:r>
    </w:p>
    <w:p>
      <w:pPr>
        <w:pStyle w:val="ListParagraph"/>
        <w:numPr>
          <w:ilvl w:val="0"/>
          <w:numId w:val="4"/>
        </w:numPr>
        <w:spacing w:after="40" w:before="120"/>
      </w:pPr>
      <w:r>
        <w:rPr>
          <w:b/>
          <w:bCs/>
          <w:color w:val="1F4E79"/>
        </w:rPr>
        <w:t xml:space="preserve">只写真正实现并测过的内容。</w:t>
      </w:r>
    </w:p>
    <w:p>
      <w:pPr>
        <w:spacing w:after="120"/>
        <w:ind w:left="360"/>
      </w:pPr>
      <w:r>
        <w:t xml:space="preserve">V2 最终保留哪些改进，由 4.3 节的优先级标准决定。论文里不出现“计划实现”“可以扩展”这类描述，Introduction 的文献综述也只深入写实际借鉴的方法。</w:t>
      </w:r>
    </w:p>
    <w:p>
      <w:pPr>
        <w:pStyle w:val="ListParagraph"/>
        <w:numPr>
          <w:ilvl w:val="0"/>
          <w:numId w:val="4"/>
        </w:numPr>
        <w:spacing w:after="40" w:before="120"/>
      </w:pPr>
      <w:r>
        <w:rPr>
          <w:b/>
          <w:bCs/>
          <w:color w:val="1F4E79"/>
        </w:rPr>
        <w:t xml:space="preserve">小样本要诚实地报告。</w:t>
      </w:r>
    </w:p>
    <w:p>
      <w:pPr>
        <w:spacing w:after="120"/>
        <w:ind w:left="360"/>
      </w:pPr>
      <w:r>
        <w:t xml:space="preserve">一律报告 x/n，不只写百分比。每个图结构类型的样本很少，不要对单个类型下强结论。重复运行时报告波动范围，不用显著性检验来夸大差异。</w:t>
      </w:r>
    </w:p>
    <w:p>
      <w:pPr>
        <w:pStyle w:val="ListParagraph"/>
        <w:numPr>
          <w:ilvl w:val="0"/>
          <w:numId w:val="4"/>
        </w:numPr>
        <w:spacing w:after="40" w:before="120"/>
      </w:pPr>
      <w:r>
        <w:rPr>
          <w:b/>
          <w:bCs/>
          <w:color w:val="1F4E79"/>
        </w:rPr>
        <w:t xml:space="preserve">按图结构类型分析，要在 3.4 节先讲清理由。</w:t>
      </w:r>
    </w:p>
    <w:p>
      <w:pPr>
        <w:spacing w:after="120"/>
        <w:ind w:left="360"/>
      </w:pPr>
      <w:r>
        <w:t xml:space="preserve">先论证“跳数不等于复杂度”（比如单路径长链和多分支短图的对比），之后的结果才能按结构类型组织。如果某些结构类型的题明显更难，最好结合第 4 章的失败模式解释原因。</w:t>
      </w:r>
    </w:p>
    <w:p>
      <w:pPr>
        <w:pStyle w:val="ListParagraph"/>
        <w:numPr>
          <w:ilvl w:val="0"/>
          <w:numId w:val="4"/>
        </w:numPr>
        <w:spacing w:after="40" w:before="120"/>
      </w:pPr>
      <w:r>
        <w:rPr>
          <w:b/>
          <w:bCs/>
          <w:color w:val="1F4E79"/>
        </w:rPr>
        <w:t xml:space="preserve">案例分析用统一格式。</w:t>
      </w:r>
    </w:p>
    <w:p>
      <w:pPr>
        <w:spacing w:after="120"/>
        <w:ind w:left="360"/>
      </w:pPr>
      <w:r>
        <w:t xml:space="preserve">每个案例都写这几项：题目、gold 答案、预测答案、指标结果、关键 trace 证据（节点名和输出字段）、失败类别。第 4 章和第 6 章用同一套格式，前后才能对照。</w:t>
      </w:r>
    </w:p>
    <w:p>
      <w:pPr>
        <w:pStyle w:val="ListParagraph"/>
        <w:numPr>
          <w:ilvl w:val="0"/>
          <w:numId w:val="4"/>
        </w:numPr>
        <w:spacing w:after="40" w:before="120"/>
      </w:pPr>
      <w:r>
        <w:rPr>
          <w:b/>
          <w:bCs/>
          <w:color w:val="1F4E79"/>
        </w:rPr>
        <w:t xml:space="preserve">术语和命名全文统一。</w:t>
      </w:r>
    </w:p>
    <w:p>
      <w:pPr>
        <w:spacing w:after="120"/>
        <w:ind w:left="360"/>
      </w:pPr>
      <w:r>
        <w:t xml:space="preserve">在第 3 章固定以下用法，之后不再混用：只用 refusal 或 abstention 中的一个；answerable/unanswerable 的定义固定下来；版本名统一写 ARK-V1、ARK-V1.1、ARK-V2，并在附录给出与代码标识（ark_v1_1 等）的对照。</w:t>
      </w:r>
    </w:p>
    <w:p>
      <w:pPr>
        <w:pStyle w:val="ListParagraph"/>
        <w:numPr>
          <w:ilvl w:val="0"/>
          <w:numId w:val="4"/>
        </w:numPr>
        <w:spacing w:after="40" w:before="120"/>
      </w:pPr>
      <w:r>
        <w:rPr>
          <w:b/>
          <w:bCs/>
          <w:color w:val="1F4E79"/>
        </w:rPr>
        <w:t xml:space="preserve">保证可复现。</w:t>
      </w:r>
    </w:p>
    <w:p>
      <w:pPr>
        <w:spacing w:after="120"/>
        <w:ind w:left="360"/>
      </w:pPr>
      <w:r>
        <w:t xml:space="preserve">每个实验结果都要能追溯到代码提交、Prompt 版本、模型、温度、预算和 Langfuse experiment ID。从现在起每次实验都把这些记下来，写附录时就不用补。</w:t>
      </w:r>
    </w:p>
    <w:p>
      <w:pPr>
        <w:pStyle w:val="ListParagraph"/>
        <w:numPr>
          <w:ilvl w:val="0"/>
          <w:numId w:val="4"/>
        </w:numPr>
        <w:spacing w:after="40" w:before="120"/>
      </w:pPr>
      <w:r>
        <w:rPr>
          <w:b/>
          <w:bCs/>
          <w:color w:val="1F4E79"/>
        </w:rPr>
        <w:t xml:space="preserve">写作顺序。</w:t>
      </w:r>
    </w:p>
    <w:p>
      <w:pPr>
        <w:spacing w:after="120"/>
        <w:ind w:left="360"/>
      </w:pPr>
      <w:r>
        <w:t xml:space="preserve">建议先写第 3 章（评测框架）和第 2 章（基线 Agent），这两章都不依赖 V2；Introduction 中的文献综述可以同步积累。第 4 章等开发集分析定稿再写，第 5、6 章最后写。Introduction 的其余部分、第 7 章和摘要放到最后，那时 RQ 和贡献已经确定。</w:t>
      </w:r>
    </w:p>
    <w:p>
      <w:pPr>
        <w:pStyle w:val="ListParagraph"/>
        <w:numPr>
          <w:ilvl w:val="0"/>
          <w:numId w:val="4"/>
        </w:numPr>
        <w:spacing w:after="40" w:before="120"/>
      </w:pPr>
      <w:r>
        <w:rPr>
          <w:b/>
          <w:bCs/>
          <w:color w:val="1F4E79"/>
        </w:rPr>
        <w:t xml:space="preserve">文献综述每个主题结尾写出该方向的不足。</w:t>
      </w:r>
    </w:p>
    <w:p>
      <w:pPr>
        <w:spacing w:after="120"/>
        <w:ind w:left="360"/>
      </w:pPr>
      <w:r>
        <w:t xml:space="preserve">Introduction 里的文献综述按主题组织，每个主题最后用一两句话指出已有研究的不足，这样研究空白和 RQ 才能自然引出，也避免综述写成和本文无关的罗列。</w:t>
      </w:r>
    </w:p>
    <w:p>
      <w:pPr>
        <w:pStyle w:val="Heading2"/>
      </w:pPr>
      <w:r>
        <w:t xml:space="preserve">附：证据链总表模板</w:t>
      </w:r>
    </w:p>
    <w:p>
      <w:pPr>
        <w:spacing w:after="100"/>
      </w:pPr>
      <w:r>
        <w:t xml:space="preserve">每完成一项分析或实现，就在对应列填写，第 4–6 章都引用这张表。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400"/>
        <w:gridCol w:w="25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失败类别（第 4 章）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需求编号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V2 组件（第 5 章）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验证结果（第 6 章）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控制流程与状态保留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R?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必要约束未验证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R?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关系语义与问题不一致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R?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证据不足时仍生成答案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R?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答案名称与实体标识不一致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R?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 拒答错误（幻觉 / 误拒 / 被动拒答）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R?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PingFang SC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eastAsia="PingFang SC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eastAsia="PingFang SC" w:hAnsi="Calibri"/>
      <w:b/>
      <w:bCs/>
      <w:color w:val="2E2E2E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Thesis Outline Detail</dc:title>
  <dc:creator>Kaihao Wang</dc:creator>
  <cp:lastModifiedBy>Un-named</cp:lastModifiedBy>
  <cp:revision>1</cp:revision>
  <dcterms:created xsi:type="dcterms:W3CDTF">2026-10-21T19:53:33.026Z</dcterms:created>
  <dcterms:modified xsi:type="dcterms:W3CDTF">2026-10-21T19:53:33.034Z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