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8DF20" w14:textId="77777777" w:rsidR="00CD7160" w:rsidRPr="00CD7160" w:rsidRDefault="00CD7160" w:rsidP="00CD7160">
      <w:pPr>
        <w:rPr>
          <w:lang w:val="en-US"/>
        </w:rPr>
      </w:pPr>
      <w:proofErr w:type="spellStart"/>
      <w:r w:rsidRPr="00CD7160">
        <w:rPr>
          <w:b/>
          <w:bCs/>
          <w:lang w:val="en-US"/>
        </w:rPr>
        <w:t>NextTech</w:t>
      </w:r>
      <w:proofErr w:type="spellEnd"/>
      <w:r w:rsidRPr="00CD7160">
        <w:rPr>
          <w:b/>
          <w:bCs/>
          <w:lang w:val="en-US"/>
        </w:rPr>
        <w:t xml:space="preserve"> H2R 2026-2028 Strategic Roadmap</w:t>
      </w:r>
    </w:p>
    <w:p w14:paraId="0EB47883" w14:textId="77777777" w:rsidR="00CD7160" w:rsidRPr="00CD7160" w:rsidRDefault="00CD7160" w:rsidP="00CD7160">
      <w:pPr>
        <w:rPr>
          <w:lang w:val="en-US"/>
        </w:rPr>
      </w:pPr>
      <w:r w:rsidRPr="00CD7160">
        <w:rPr>
          <w:b/>
          <w:bCs/>
          <w:lang w:val="en-US"/>
        </w:rPr>
        <w:t>The Autonomous Talent Ecosystem for Industry 5.0</w:t>
      </w:r>
    </w:p>
    <w:p w14:paraId="3C8001AC" w14:textId="77777777" w:rsidR="00CD7160" w:rsidRPr="00CD7160" w:rsidRDefault="00CD7160" w:rsidP="00CD7160">
      <w:pPr>
        <w:rPr>
          <w:lang w:val="en-US"/>
        </w:rPr>
      </w:pPr>
      <w:r w:rsidRPr="00CD7160">
        <w:rPr>
          <w:b/>
          <w:bCs/>
          <w:lang w:val="en-US"/>
        </w:rPr>
        <w:t>1. Strategic Context: The 2025 Foundation</w:t>
      </w:r>
    </w:p>
    <w:p w14:paraId="15CCF349" w14:textId="77777777" w:rsidR="00CD7160" w:rsidRPr="00CD7160" w:rsidRDefault="00CD7160" w:rsidP="00CD7160">
      <w:pPr>
        <w:rPr>
          <w:lang w:val="en-US"/>
        </w:rPr>
      </w:pPr>
      <w:r w:rsidRPr="00CD7160">
        <w:rPr>
          <w:lang w:val="en-US"/>
        </w:rPr>
        <w:t xml:space="preserve">Mid-2025 finds </w:t>
      </w:r>
      <w:proofErr w:type="spellStart"/>
      <w:r w:rsidRPr="00CD7160">
        <w:rPr>
          <w:lang w:val="en-US"/>
        </w:rPr>
        <w:t>NextTech's</w:t>
      </w:r>
      <w:proofErr w:type="spellEnd"/>
      <w:r w:rsidRPr="00CD7160">
        <w:rPr>
          <w:lang w:val="en-US"/>
        </w:rPr>
        <w:t xml:space="preserve"> Hire-to-Retire (H2R) process at an inflection point. While we've achieved 80% digital HR service automation and 85% retention of critical skills, three disruptive forces demand radical reimagination by 2028:</w:t>
      </w:r>
    </w:p>
    <w:p w14:paraId="729DFC27" w14:textId="77777777" w:rsidR="00CD7160" w:rsidRPr="00CD7160" w:rsidRDefault="00CD7160" w:rsidP="00CD7160">
      <w:pPr>
        <w:numPr>
          <w:ilvl w:val="0"/>
          <w:numId w:val="1"/>
        </w:numPr>
        <w:rPr>
          <w:lang w:val="en-US"/>
        </w:rPr>
      </w:pPr>
      <w:r w:rsidRPr="00CD7160">
        <w:rPr>
          <w:b/>
          <w:bCs/>
          <w:lang w:val="en-US"/>
        </w:rPr>
        <w:t>AI Workforce Symbiosis</w:t>
      </w:r>
      <w:r w:rsidRPr="00CD7160">
        <w:rPr>
          <w:lang w:val="en-US"/>
        </w:rPr>
        <w:t>: Employees will collaborate daily with personalized AI counterparts</w:t>
      </w:r>
    </w:p>
    <w:p w14:paraId="31DF4CB2" w14:textId="77777777" w:rsidR="00CD7160" w:rsidRPr="00CD7160" w:rsidRDefault="00CD7160" w:rsidP="00CD7160">
      <w:pPr>
        <w:numPr>
          <w:ilvl w:val="0"/>
          <w:numId w:val="1"/>
        </w:numPr>
        <w:rPr>
          <w:lang w:val="en-US"/>
        </w:rPr>
      </w:pPr>
      <w:r w:rsidRPr="00CD7160">
        <w:rPr>
          <w:b/>
          <w:bCs/>
          <w:lang w:val="en-US"/>
        </w:rPr>
        <w:t>Skills Currency Markets</w:t>
      </w:r>
      <w:r w:rsidRPr="00CD7160">
        <w:rPr>
          <w:lang w:val="en-US"/>
        </w:rPr>
        <w:t>: Blockchain-verified micro-credentials will replace traditional degrees</w:t>
      </w:r>
    </w:p>
    <w:p w14:paraId="5E8E0B20" w14:textId="77777777" w:rsidR="00CD7160" w:rsidRPr="00CD7160" w:rsidRDefault="00CD7160" w:rsidP="00CD7160">
      <w:pPr>
        <w:numPr>
          <w:ilvl w:val="0"/>
          <w:numId w:val="1"/>
        </w:numPr>
        <w:rPr>
          <w:lang w:val="en-US"/>
        </w:rPr>
      </w:pPr>
      <w:r w:rsidRPr="00CD7160">
        <w:rPr>
          <w:b/>
          <w:bCs/>
          <w:lang w:val="en-US"/>
        </w:rPr>
        <w:t>Neuro-Enhanced Productivity</w:t>
      </w:r>
      <w:r w:rsidRPr="00CD7160">
        <w:rPr>
          <w:lang w:val="en-US"/>
        </w:rPr>
        <w:t>: Brain-computer interfaces (BCIs) will augment human performance</w:t>
      </w:r>
    </w:p>
    <w:p w14:paraId="0A4DA8E3" w14:textId="77777777" w:rsidR="00CD7160" w:rsidRPr="00CD7160" w:rsidRDefault="00CD7160" w:rsidP="00CD7160">
      <w:pPr>
        <w:rPr>
          <w:lang w:val="en-US"/>
        </w:rPr>
      </w:pPr>
      <w:r w:rsidRPr="00CD7160">
        <w:rPr>
          <w:lang w:val="en-US"/>
        </w:rPr>
        <w:t>This plan transforms H2R from a support function into a </w:t>
      </w:r>
      <w:r w:rsidRPr="00CD7160">
        <w:rPr>
          <w:b/>
          <w:bCs/>
          <w:lang w:val="en-US"/>
        </w:rPr>
        <w:t>self-evolving talent engine</w:t>
      </w:r>
      <w:r w:rsidRPr="00CD7160">
        <w:rPr>
          <w:lang w:val="en-US"/>
        </w:rPr>
        <w:t> that anticipates workforce needs, dynamically develops capabilities, and redefines retirement as a phased contribution continuum.</w:t>
      </w:r>
    </w:p>
    <w:p w14:paraId="6054D345" w14:textId="180B8362" w:rsidR="00CD7160" w:rsidRPr="004313CD" w:rsidRDefault="00CD7160" w:rsidP="00CD7160">
      <w:pPr>
        <w:rPr>
          <w:lang w:val="en-US"/>
        </w:rPr>
      </w:pPr>
    </w:p>
    <w:p w14:paraId="3139F0DC" w14:textId="77777777" w:rsidR="00CD7160" w:rsidRPr="00CD7160" w:rsidRDefault="00CD7160" w:rsidP="00CD7160">
      <w:r w:rsidRPr="00CD7160">
        <w:rPr>
          <w:b/>
          <w:bCs/>
        </w:rPr>
        <w:t xml:space="preserve">2. 2026-2028 Vision &amp; Strategic </w:t>
      </w:r>
      <w:proofErr w:type="spellStart"/>
      <w:r w:rsidRPr="00CD7160">
        <w:rPr>
          <w:b/>
          <w:bCs/>
        </w:rPr>
        <w:t>Shifts</w:t>
      </w:r>
      <w:proofErr w:type="spellEnd"/>
    </w:p>
    <w:p w14:paraId="16D9E5E4" w14:textId="77777777" w:rsidR="00CD7160" w:rsidRPr="00CD7160" w:rsidRDefault="00CD7160" w:rsidP="00CD7160">
      <w:proofErr w:type="spellStart"/>
      <w:r w:rsidRPr="00CD7160">
        <w:rPr>
          <w:b/>
          <w:bCs/>
        </w:rPr>
        <w:t>From</w:t>
      </w:r>
      <w:proofErr w:type="spellEnd"/>
      <w:r w:rsidRPr="00CD7160">
        <w:t> → </w:t>
      </w:r>
      <w:proofErr w:type="spellStart"/>
      <w:r w:rsidRPr="00CD7160">
        <w:rPr>
          <w:b/>
          <w:bCs/>
        </w:rPr>
        <w:t>To</w:t>
      </w:r>
      <w:proofErr w:type="spellEnd"/>
    </w:p>
    <w:p w14:paraId="4055179F" w14:textId="77777777" w:rsidR="00CD7160" w:rsidRPr="00CD7160" w:rsidRDefault="00CD7160" w:rsidP="00CD7160">
      <w:pPr>
        <w:numPr>
          <w:ilvl w:val="0"/>
          <w:numId w:val="2"/>
        </w:numPr>
        <w:rPr>
          <w:lang w:val="en-US"/>
        </w:rPr>
      </w:pPr>
      <w:r w:rsidRPr="00CD7160">
        <w:rPr>
          <w:b/>
          <w:bCs/>
          <w:lang w:val="en-US"/>
        </w:rPr>
        <w:t>Recruiting</w:t>
      </w:r>
      <w:r w:rsidRPr="00CD7160">
        <w:rPr>
          <w:lang w:val="en-US"/>
        </w:rPr>
        <w:t> → </w:t>
      </w:r>
      <w:r w:rsidRPr="00CD7160">
        <w:rPr>
          <w:b/>
          <w:bCs/>
          <w:lang w:val="en-US"/>
        </w:rPr>
        <w:t>Talent streaming</w:t>
      </w:r>
      <w:r w:rsidRPr="00CD7160">
        <w:rPr>
          <w:lang w:val="en-US"/>
        </w:rPr>
        <w:t> (Continuous skills matching via neural networks)</w:t>
      </w:r>
    </w:p>
    <w:p w14:paraId="1B7806A8" w14:textId="77777777" w:rsidR="00CD7160" w:rsidRPr="00CD7160" w:rsidRDefault="00CD7160" w:rsidP="00CD7160">
      <w:pPr>
        <w:numPr>
          <w:ilvl w:val="0"/>
          <w:numId w:val="2"/>
        </w:numPr>
        <w:rPr>
          <w:lang w:val="en-US"/>
        </w:rPr>
      </w:pPr>
      <w:r w:rsidRPr="00CD7160">
        <w:rPr>
          <w:b/>
          <w:bCs/>
          <w:lang w:val="en-US"/>
        </w:rPr>
        <w:t>Training</w:t>
      </w:r>
      <w:r w:rsidRPr="00CD7160">
        <w:rPr>
          <w:lang w:val="en-US"/>
        </w:rPr>
        <w:t> → </w:t>
      </w:r>
      <w:r w:rsidRPr="00CD7160">
        <w:rPr>
          <w:b/>
          <w:bCs/>
          <w:lang w:val="en-US"/>
        </w:rPr>
        <w:t>Cognitive augmentation</w:t>
      </w:r>
      <w:r w:rsidRPr="00CD7160">
        <w:rPr>
          <w:lang w:val="en-US"/>
        </w:rPr>
        <w:t> (BCI-enabled instant skills acquisition)</w:t>
      </w:r>
    </w:p>
    <w:p w14:paraId="66A410FA" w14:textId="77777777" w:rsidR="00CD7160" w:rsidRPr="00CD7160" w:rsidRDefault="00CD7160" w:rsidP="00CD7160">
      <w:pPr>
        <w:numPr>
          <w:ilvl w:val="0"/>
          <w:numId w:val="2"/>
        </w:numPr>
        <w:rPr>
          <w:lang w:val="en-US"/>
        </w:rPr>
      </w:pPr>
      <w:r w:rsidRPr="00CD7160">
        <w:rPr>
          <w:b/>
          <w:bCs/>
          <w:lang w:val="en-US"/>
        </w:rPr>
        <w:t>Retirement</w:t>
      </w:r>
      <w:r w:rsidRPr="00CD7160">
        <w:rPr>
          <w:lang w:val="en-US"/>
        </w:rPr>
        <w:t> → </w:t>
      </w:r>
      <w:r w:rsidRPr="00CD7160">
        <w:rPr>
          <w:b/>
          <w:bCs/>
          <w:lang w:val="en-US"/>
        </w:rPr>
        <w:t>Phased wisdom transfer</w:t>
      </w:r>
      <w:r w:rsidRPr="00CD7160">
        <w:rPr>
          <w:lang w:val="en-US"/>
        </w:rPr>
        <w:t> (Retirees as AI trainers and culture custodians)</w:t>
      </w:r>
    </w:p>
    <w:p w14:paraId="3F2C3EA2" w14:textId="77777777" w:rsidR="00CD7160" w:rsidRPr="00CD7160" w:rsidRDefault="00CD7160" w:rsidP="00CD7160">
      <w:pPr>
        <w:rPr>
          <w:lang w:val="en-US"/>
        </w:rPr>
      </w:pPr>
      <w:r w:rsidRPr="00CD7160">
        <w:rPr>
          <w:b/>
          <w:bCs/>
          <w:lang w:val="en-US"/>
        </w:rPr>
        <w:t>North Star Metric</w:t>
      </w:r>
      <w:r w:rsidRPr="00CD7160">
        <w:rPr>
          <w:lang w:val="en-US"/>
        </w:rPr>
        <w:t>: </w:t>
      </w:r>
      <w:r w:rsidRPr="00CD7160">
        <w:rPr>
          <w:b/>
          <w:bCs/>
          <w:lang w:val="en-US"/>
        </w:rPr>
        <w:t>Real-Time Organizational Capability Index</w:t>
      </w:r>
      <w:r w:rsidRPr="00CD7160">
        <w:rPr>
          <w:lang w:val="en-US"/>
        </w:rPr>
        <w:t> (95% of emerging skills gaps filled before operational impact)</w:t>
      </w:r>
    </w:p>
    <w:p w14:paraId="1F6B9157" w14:textId="1C0A6C3A" w:rsidR="00CD7160" w:rsidRPr="004313CD" w:rsidRDefault="00CD7160" w:rsidP="00CD7160">
      <w:pPr>
        <w:rPr>
          <w:lang w:val="en-US"/>
        </w:rPr>
      </w:pPr>
    </w:p>
    <w:p w14:paraId="7CB36AD4" w14:textId="77777777" w:rsidR="00CD7160" w:rsidRPr="00CD7160" w:rsidRDefault="00CD7160" w:rsidP="00CD7160">
      <w:pPr>
        <w:rPr>
          <w:lang w:val="en-US"/>
        </w:rPr>
      </w:pPr>
      <w:r w:rsidRPr="00CD7160">
        <w:rPr>
          <w:b/>
          <w:bCs/>
          <w:lang w:val="en-US"/>
        </w:rPr>
        <w:t>3. Strategic Execution: Building the Living Talent Ecosystem</w:t>
      </w:r>
    </w:p>
    <w:p w14:paraId="5508F949" w14:textId="77777777" w:rsidR="00CD7160" w:rsidRPr="00CD7160" w:rsidRDefault="00CD7160" w:rsidP="00CD7160">
      <w:pPr>
        <w:rPr>
          <w:lang w:val="en-US"/>
        </w:rPr>
      </w:pPr>
      <w:r w:rsidRPr="00CD7160">
        <w:rPr>
          <w:lang w:val="en-US"/>
        </w:rPr>
        <w:t>The future of NextTech’s Hire-to-Retire process lies in its transformation from a linear HR workflow into a dynamic, self-optimizing talent ecosystem. By 2028, the boundaries between hiring, development, and retirement will blur into a continuous cycle of skills acquisition, augmentation, and knowledge transfer—all powered by advanced AI, neurotechnology, and decentralized talent markets.</w:t>
      </w:r>
    </w:p>
    <w:p w14:paraId="54503E15" w14:textId="77777777" w:rsidR="00CD7160" w:rsidRPr="00CD7160" w:rsidRDefault="00CD7160" w:rsidP="00CD7160">
      <w:pPr>
        <w:rPr>
          <w:lang w:val="en-US"/>
        </w:rPr>
      </w:pPr>
      <w:r w:rsidRPr="00CD7160">
        <w:rPr>
          <w:b/>
          <w:bCs/>
          <w:lang w:val="en-US"/>
        </w:rPr>
        <w:t>Autonomous Talent Acquisition (2026)</w:t>
      </w:r>
    </w:p>
    <w:p w14:paraId="256AA04B" w14:textId="77777777" w:rsidR="00CD7160" w:rsidRPr="00CD7160" w:rsidRDefault="00CD7160" w:rsidP="00CD7160">
      <w:r w:rsidRPr="00CD7160">
        <w:rPr>
          <w:lang w:val="en-US"/>
        </w:rPr>
        <w:lastRenderedPageBreak/>
        <w:t xml:space="preserve">The traditional recruiting funnel will give way to a fluid, always-on talent streaming model. NextTech’s AI-driven "Predictive Hiring Pods" will operate like talent radars, continuously scanning global skills blockchains—where professionals maintain verified, up-to-the-minute credentials—for emerging competency matches. When a critical need arises, such as demand for 5G-enabled robotics expertise in our Munich plant, the system won’t just post a job listing. </w:t>
      </w:r>
      <w:proofErr w:type="spellStart"/>
      <w:r w:rsidRPr="00CD7160">
        <w:t>Instead</w:t>
      </w:r>
      <w:proofErr w:type="spellEnd"/>
      <w:r w:rsidRPr="00CD7160">
        <w:t xml:space="preserve">, </w:t>
      </w:r>
      <w:proofErr w:type="spellStart"/>
      <w:r w:rsidRPr="00CD7160">
        <w:t>it</w:t>
      </w:r>
      <w:proofErr w:type="spellEnd"/>
      <w:r w:rsidRPr="00CD7160">
        <w:t xml:space="preserve"> will:</w:t>
      </w:r>
    </w:p>
    <w:p w14:paraId="06942FF9" w14:textId="77777777" w:rsidR="00CD7160" w:rsidRPr="00CD7160" w:rsidRDefault="00CD7160" w:rsidP="00CD7160">
      <w:pPr>
        <w:numPr>
          <w:ilvl w:val="0"/>
          <w:numId w:val="8"/>
        </w:numPr>
        <w:rPr>
          <w:lang w:val="en-US"/>
        </w:rPr>
      </w:pPr>
      <w:r w:rsidRPr="00CD7160">
        <w:rPr>
          <w:b/>
          <w:bCs/>
          <w:lang w:val="en-US"/>
        </w:rPr>
        <w:t>Simulate Real-World Impact</w:t>
      </w:r>
      <w:r w:rsidRPr="00CD7160">
        <w:rPr>
          <w:lang w:val="en-US"/>
        </w:rPr>
        <w:t>: Candidates undergo digital twin assessments, working through hyper-realistic factory troubleshooting scenarios that test not just technical skills but adaptability to NextTech’s unique operational culture.</w:t>
      </w:r>
    </w:p>
    <w:p w14:paraId="7E0104F2" w14:textId="77777777" w:rsidR="00CD7160" w:rsidRPr="00CD7160" w:rsidRDefault="00CD7160" w:rsidP="00CD7160">
      <w:pPr>
        <w:numPr>
          <w:ilvl w:val="0"/>
          <w:numId w:val="8"/>
        </w:numPr>
        <w:rPr>
          <w:lang w:val="en-US"/>
        </w:rPr>
      </w:pPr>
      <w:r w:rsidRPr="00CD7160">
        <w:rPr>
          <w:b/>
          <w:bCs/>
          <w:lang w:val="en-US"/>
        </w:rPr>
        <w:t>AI-Negotiated Employment</w:t>
      </w:r>
      <w:r w:rsidRPr="00CD7160">
        <w:rPr>
          <w:lang w:val="en-US"/>
        </w:rPr>
        <w:t>: Compensation packages will be dynamically structured by algorithms weighing factors like market demand for the skill, the candidate’s "reputation score" from past projects, and their preference for equity tokens versus traditional benefits.</w:t>
      </w:r>
    </w:p>
    <w:p w14:paraId="0827BF8A" w14:textId="77777777" w:rsidR="00CD7160" w:rsidRPr="00CD7160" w:rsidRDefault="00CD7160" w:rsidP="00CD7160">
      <w:pPr>
        <w:numPr>
          <w:ilvl w:val="0"/>
          <w:numId w:val="8"/>
        </w:numPr>
        <w:rPr>
          <w:lang w:val="en-US"/>
        </w:rPr>
      </w:pPr>
      <w:r w:rsidRPr="00CD7160">
        <w:rPr>
          <w:b/>
          <w:bCs/>
          <w:lang w:val="en-US"/>
        </w:rPr>
        <w:t>Continuous Talent Pipelines</w:t>
      </w:r>
      <w:r w:rsidRPr="00CD7160">
        <w:rPr>
          <w:lang w:val="en-US"/>
        </w:rPr>
        <w:t>: Rather than hiring for fixed roles, NextTech will maintain "skills subscriptions" with top-tier professionals who contribute flexibly across projects via our talent cloud platform.</w:t>
      </w:r>
    </w:p>
    <w:p w14:paraId="77EBBBEA" w14:textId="77777777" w:rsidR="00CD7160" w:rsidRPr="00CD7160" w:rsidRDefault="00CD7160" w:rsidP="00CD7160">
      <w:pPr>
        <w:rPr>
          <w:lang w:val="en-US"/>
        </w:rPr>
      </w:pPr>
      <w:r w:rsidRPr="00CD7160">
        <w:rPr>
          <w:lang w:val="en-US"/>
        </w:rPr>
        <w:t>This approach eliminates the costly lag between identifying a skills gap and filling it, while also allowing NextTech to tap into niche expertise—like quantum computing integration for our digital twin platform—on an as-needed basis.</w:t>
      </w:r>
    </w:p>
    <w:p w14:paraId="2994F559" w14:textId="77777777" w:rsidR="00CD7160" w:rsidRPr="00CD7160" w:rsidRDefault="00CD7160" w:rsidP="00CD7160">
      <w:pPr>
        <w:rPr>
          <w:lang w:val="en-US"/>
        </w:rPr>
      </w:pPr>
      <w:r w:rsidRPr="00CD7160">
        <w:rPr>
          <w:b/>
          <w:bCs/>
          <w:lang w:val="en-US"/>
        </w:rPr>
        <w:t>Augmented Workforce Development (2027)</w:t>
      </w:r>
    </w:p>
    <w:p w14:paraId="52951C31" w14:textId="77777777" w:rsidR="00CD7160" w:rsidRPr="00CD7160" w:rsidRDefault="00CD7160" w:rsidP="00CD7160">
      <w:pPr>
        <w:rPr>
          <w:lang w:val="en-US"/>
        </w:rPr>
      </w:pPr>
      <w:r w:rsidRPr="00CD7160">
        <w:rPr>
          <w:lang w:val="en-US"/>
        </w:rPr>
        <w:t>Learning at NextTech will evolve from periodic training sessions into a seamless, neuro-enhanced process. Our "Cognitive Amplification Platform" will integrate non-invasive brain-computer interfaces (BCIs) with augmented reality workspaces, creating a symbiotic relationship between human intuition and machine-speed knowledge transfer.</w:t>
      </w:r>
    </w:p>
    <w:p w14:paraId="3D675ADE" w14:textId="77777777" w:rsidR="00CD7160" w:rsidRPr="00CD7160" w:rsidRDefault="00CD7160" w:rsidP="00CD7160">
      <w:pPr>
        <w:rPr>
          <w:lang w:val="en-US"/>
        </w:rPr>
      </w:pPr>
      <w:r w:rsidRPr="00CD7160">
        <w:rPr>
          <w:lang w:val="en-US"/>
        </w:rPr>
        <w:t>Imagine a factory technician encountering a malfunction in next-gen automation equipment. Instead of consulting a manual or waiting for a specialist, their AR visor instantly overlays repair protocols while their BCI adjusts the complexity of instructions in real-time based on neural feedback—slowing down when cognitive stress is detected, accelerating when mastery is demonstrated. This isn’t just faster training; it’s </w:t>
      </w:r>
      <w:r w:rsidRPr="00CD7160">
        <w:rPr>
          <w:i/>
          <w:iCs/>
          <w:lang w:val="en-US"/>
        </w:rPr>
        <w:t>instant competency</w:t>
      </w:r>
      <w:r w:rsidRPr="00CD7160">
        <w:rPr>
          <w:lang w:val="en-US"/>
        </w:rPr>
        <w:t>.</w:t>
      </w:r>
    </w:p>
    <w:p w14:paraId="4115D309" w14:textId="77777777" w:rsidR="00CD7160" w:rsidRPr="00CD7160" w:rsidRDefault="00CD7160" w:rsidP="00CD7160">
      <w:pPr>
        <w:rPr>
          <w:lang w:val="en-US"/>
        </w:rPr>
      </w:pPr>
      <w:r w:rsidRPr="00CD7160">
        <w:rPr>
          <w:lang w:val="en-US"/>
        </w:rPr>
        <w:t xml:space="preserve">Simultaneously, our </w:t>
      </w:r>
      <w:proofErr w:type="gramStart"/>
      <w:r w:rsidRPr="00CD7160">
        <w:rPr>
          <w:lang w:val="en-US"/>
        </w:rPr>
        <w:t xml:space="preserve">"Skills </w:t>
      </w:r>
      <w:proofErr w:type="gramEnd"/>
      <w:r w:rsidRPr="00CD7160">
        <w:rPr>
          <w:lang w:val="en-US"/>
        </w:rPr>
        <w:t>Economy Marketplace" will tokenize expertise. Employees earn NextTech Knowledge Tokens (NTKs) for mastering emerging capabilities—say, industrial metaverse design or carbon-neutral production planning—which can be traded on EU-sanctioned skills exchanges or redeemed for sabbaticals, equity, or even licensing rights to their innovations. This creates a flywheel where continuous learning directly translates into personal and organizational value.</w:t>
      </w:r>
    </w:p>
    <w:p w14:paraId="7D4DD8AE" w14:textId="77777777" w:rsidR="00CD7160" w:rsidRPr="00CD7160" w:rsidRDefault="00CD7160" w:rsidP="00CD7160">
      <w:pPr>
        <w:rPr>
          <w:lang w:val="en-US"/>
        </w:rPr>
      </w:pPr>
      <w:r w:rsidRPr="00CD7160">
        <w:rPr>
          <w:b/>
          <w:bCs/>
          <w:lang w:val="en-US"/>
        </w:rPr>
        <w:lastRenderedPageBreak/>
        <w:t>Phased Contribution Continuum (2028)</w:t>
      </w:r>
    </w:p>
    <w:p w14:paraId="2E7E984D" w14:textId="77777777" w:rsidR="00CD7160" w:rsidRPr="00CD7160" w:rsidRDefault="00CD7160" w:rsidP="00CD7160">
      <w:pPr>
        <w:rPr>
          <w:lang w:val="en-US"/>
        </w:rPr>
      </w:pPr>
      <w:r w:rsidRPr="00CD7160">
        <w:rPr>
          <w:lang w:val="en-US"/>
        </w:rPr>
        <w:t xml:space="preserve">Retirement at NextTech will no longer be an abrupt departure but a gradual transition into the "Wisdom Economy." As employees approach </w:t>
      </w:r>
      <w:proofErr w:type="gramStart"/>
      <w:r w:rsidRPr="00CD7160">
        <w:rPr>
          <w:lang w:val="en-US"/>
        </w:rPr>
        <w:t>traditional</w:t>
      </w:r>
      <w:proofErr w:type="gramEnd"/>
      <w:r w:rsidRPr="00CD7160">
        <w:rPr>
          <w:lang w:val="en-US"/>
        </w:rPr>
        <w:t xml:space="preserve"> retirement age, they’ll enter a multi-year "Contribution Phase" where they:</w:t>
      </w:r>
    </w:p>
    <w:p w14:paraId="49A59D03" w14:textId="77777777" w:rsidR="00CD7160" w:rsidRPr="00CD7160" w:rsidRDefault="00CD7160" w:rsidP="00CD7160">
      <w:pPr>
        <w:numPr>
          <w:ilvl w:val="0"/>
          <w:numId w:val="9"/>
        </w:numPr>
        <w:rPr>
          <w:lang w:val="en-US"/>
        </w:rPr>
      </w:pPr>
      <w:r w:rsidRPr="00CD7160">
        <w:rPr>
          <w:b/>
          <w:bCs/>
          <w:lang w:val="en-US"/>
        </w:rPr>
        <w:t>Train AI Successors</w:t>
      </w:r>
      <w:r w:rsidRPr="00CD7160">
        <w:rPr>
          <w:lang w:val="en-US"/>
        </w:rPr>
        <w:t>: Retiring engineers spend 10-15 hours weekly mentoring AI systems, transferring decades of tacit knowledge—like how to diagnose a robotic arm’s failure by sound alone—into machine-learning models. These sessions are captured via emotion-sensitive avatars that preserve their teaching style and problem-solving instincts.</w:t>
      </w:r>
    </w:p>
    <w:p w14:paraId="71854A2A" w14:textId="77777777" w:rsidR="00CD7160" w:rsidRPr="00CD7160" w:rsidRDefault="00CD7160" w:rsidP="00CD7160">
      <w:pPr>
        <w:numPr>
          <w:ilvl w:val="0"/>
          <w:numId w:val="9"/>
        </w:numPr>
        <w:rPr>
          <w:lang w:val="en-US"/>
        </w:rPr>
      </w:pPr>
      <w:r w:rsidRPr="00CD7160">
        <w:rPr>
          <w:b/>
          <w:bCs/>
          <w:lang w:val="en-US"/>
        </w:rPr>
        <w:t>Guide as Holographic Mentors</w:t>
      </w:r>
      <w:r w:rsidRPr="00CD7160">
        <w:rPr>
          <w:lang w:val="en-US"/>
        </w:rPr>
        <w:t>: Former leaders beam into virtual strategy rooms or factory floors as photorealistic holograms, offering on-demand counsel without travel constraints. Our pilot with retired automation experts in Sweden has already shown a 40% reduction in onboarding time for new hires.</w:t>
      </w:r>
    </w:p>
    <w:p w14:paraId="217B1170" w14:textId="77777777" w:rsidR="00CD7160" w:rsidRPr="00CD7160" w:rsidRDefault="00CD7160" w:rsidP="00CD7160">
      <w:pPr>
        <w:numPr>
          <w:ilvl w:val="0"/>
          <w:numId w:val="9"/>
        </w:numPr>
        <w:rPr>
          <w:lang w:val="en-US"/>
        </w:rPr>
      </w:pPr>
      <w:r w:rsidRPr="00CD7160">
        <w:rPr>
          <w:b/>
          <w:bCs/>
          <w:lang w:val="en-US"/>
        </w:rPr>
        <w:t>Earn Equity Through Legacy</w:t>
      </w:r>
      <w:r w:rsidRPr="00CD7160">
        <w:rPr>
          <w:lang w:val="en-US"/>
        </w:rPr>
        <w:t>: Pension plans will partially convert to NextTech stock based on post-retirement contributions, aligning long-term company success with retirees’ ongoing intellectual investment.</w:t>
      </w:r>
    </w:p>
    <w:p w14:paraId="0958C9FC" w14:textId="77777777" w:rsidR="00CD7160" w:rsidRPr="00CD7160" w:rsidRDefault="00CD7160" w:rsidP="00CD7160">
      <w:pPr>
        <w:rPr>
          <w:lang w:val="en-US"/>
        </w:rPr>
      </w:pPr>
      <w:r w:rsidRPr="00CD7160">
        <w:rPr>
          <w:lang w:val="en-US"/>
        </w:rPr>
        <w:t>This transforms retirement from an endpoint into another evolution of an individual’s career journey—one where experience becomes a perpetually renewable resource.</w:t>
      </w:r>
    </w:p>
    <w:p w14:paraId="1CD90573" w14:textId="25669A5E" w:rsidR="00CD7160" w:rsidRPr="004313CD" w:rsidRDefault="004313CD" w:rsidP="00CD7160">
      <w:pPr>
        <w:rPr>
          <w:b/>
          <w:bCs/>
          <w:lang w:val="en-US"/>
        </w:rPr>
      </w:pPr>
      <w:r w:rsidRPr="004313CD">
        <w:rPr>
          <w:b/>
          <w:bCs/>
          <w:lang w:val="en-US"/>
        </w:rPr>
        <w:t>NFT</w:t>
      </w:r>
      <w:r>
        <w:rPr>
          <w:b/>
          <w:bCs/>
          <w:lang w:val="en-US"/>
        </w:rPr>
        <w:t xml:space="preserve">-based </w:t>
      </w:r>
      <w:r w:rsidRPr="004313CD">
        <w:rPr>
          <w:b/>
          <w:bCs/>
          <w:lang w:val="en-US"/>
        </w:rPr>
        <w:t xml:space="preserve">employee loyalty program for employees who have been with </w:t>
      </w:r>
      <w:proofErr w:type="spellStart"/>
      <w:r w:rsidRPr="004313CD">
        <w:rPr>
          <w:b/>
          <w:bCs/>
          <w:lang w:val="en-US"/>
        </w:rPr>
        <w:t>NextTech</w:t>
      </w:r>
      <w:proofErr w:type="spellEnd"/>
      <w:r>
        <w:rPr>
          <w:b/>
          <w:bCs/>
          <w:lang w:val="en-US"/>
        </w:rPr>
        <w:t xml:space="preserve"> for a long time</w:t>
      </w:r>
      <w:r w:rsidRPr="004313CD">
        <w:rPr>
          <w:b/>
          <w:bCs/>
          <w:lang w:val="en-US"/>
        </w:rPr>
        <w:t xml:space="preserve"> </w:t>
      </w:r>
      <w:r>
        <w:rPr>
          <w:b/>
          <w:bCs/>
          <w:lang w:val="en-US"/>
        </w:rPr>
        <w:t>(2028)</w:t>
      </w:r>
    </w:p>
    <w:p w14:paraId="4CB2BDA1" w14:textId="1C92C24F" w:rsidR="00CD7160" w:rsidRPr="00CD7160" w:rsidRDefault="00CD7160" w:rsidP="00CD7160">
      <w:pPr>
        <w:rPr>
          <w:lang w:val="en-US"/>
        </w:rPr>
      </w:pPr>
    </w:p>
    <w:p w14:paraId="0021B3D1" w14:textId="77777777" w:rsidR="00CD7160" w:rsidRPr="00CD7160" w:rsidRDefault="00CD7160" w:rsidP="00CD7160">
      <w:r w:rsidRPr="00CD7160">
        <w:rPr>
          <w:b/>
          <w:bCs/>
        </w:rPr>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2115"/>
        <w:gridCol w:w="1241"/>
        <w:gridCol w:w="5716"/>
      </w:tblGrid>
      <w:tr w:rsidR="00CD7160" w:rsidRPr="00CD7160" w14:paraId="6D626E9F" w14:textId="77777777" w:rsidTr="00CD7160">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7FC02BD" w14:textId="77777777" w:rsidR="00CD7160" w:rsidRPr="00CD7160" w:rsidRDefault="00CD7160" w:rsidP="00CD7160">
            <w:pPr>
              <w:rPr>
                <w:b/>
                <w:bCs/>
              </w:rPr>
            </w:pPr>
            <w:r w:rsidRPr="00CD7160">
              <w:rPr>
                <w:b/>
                <w:bCs/>
              </w:rPr>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A01CDC7" w14:textId="77777777" w:rsidR="00CD7160" w:rsidRPr="00CD7160" w:rsidRDefault="00CD7160" w:rsidP="00CD7160">
            <w:pPr>
              <w:rPr>
                <w:b/>
                <w:bCs/>
              </w:rPr>
            </w:pPr>
            <w:r w:rsidRPr="00CD7160">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240073D" w14:textId="77777777" w:rsidR="00CD7160" w:rsidRPr="00CD7160" w:rsidRDefault="00CD7160" w:rsidP="00CD7160">
            <w:pPr>
              <w:rPr>
                <w:b/>
                <w:bCs/>
              </w:rPr>
            </w:pPr>
            <w:r w:rsidRPr="00CD7160">
              <w:rPr>
                <w:b/>
                <w:bCs/>
              </w:rPr>
              <w:t>Key Breakthroughs</w:t>
            </w:r>
          </w:p>
        </w:tc>
      </w:tr>
      <w:tr w:rsidR="00CD7160" w:rsidRPr="004313CD" w14:paraId="42774C02" w14:textId="77777777" w:rsidTr="00CD716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43AC432" w14:textId="77777777" w:rsidR="00CD7160" w:rsidRPr="00CD7160" w:rsidRDefault="00CD7160" w:rsidP="00CD7160">
            <w:proofErr w:type="spellStart"/>
            <w:r w:rsidRPr="00CD7160">
              <w:rPr>
                <w:b/>
                <w:bCs/>
              </w:rPr>
              <w:t>Cognitive</w:t>
            </w:r>
            <w:proofErr w:type="spellEnd"/>
            <w:r w:rsidRPr="00CD7160">
              <w:rPr>
                <w:b/>
                <w:bCs/>
              </w:rPr>
              <w:t xml:space="preserve"> </w:t>
            </w:r>
            <w:proofErr w:type="spellStart"/>
            <w:r w:rsidRPr="00CD7160">
              <w:rPr>
                <w:b/>
                <w:bCs/>
              </w:rPr>
              <w:t>Hiring</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859B71" w14:textId="77777777" w:rsidR="00CD7160" w:rsidRPr="00CD7160" w:rsidRDefault="00CD7160" w:rsidP="00CD7160">
            <w:r w:rsidRPr="00CD7160">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9A8F978" w14:textId="77777777" w:rsidR="00CD7160" w:rsidRPr="00CD7160" w:rsidRDefault="00CD7160" w:rsidP="00CD7160">
            <w:pPr>
              <w:rPr>
                <w:lang w:val="en-US"/>
              </w:rPr>
            </w:pPr>
            <w:r w:rsidRPr="00CD7160">
              <w:rPr>
                <w:lang w:val="en-US"/>
              </w:rPr>
              <w:t>Digital twin assessments live • First AI-negotiated employment contracts</w:t>
            </w:r>
          </w:p>
        </w:tc>
      </w:tr>
      <w:tr w:rsidR="00CD7160" w:rsidRPr="004313CD" w14:paraId="5B4226CF" w14:textId="77777777" w:rsidTr="00CD716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5ABB347" w14:textId="77777777" w:rsidR="00CD7160" w:rsidRPr="00CD7160" w:rsidRDefault="00CD7160" w:rsidP="00CD7160">
            <w:r w:rsidRPr="00CD7160">
              <w:rPr>
                <w:b/>
                <w:bCs/>
              </w:rPr>
              <w:t>Neuro-Development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709A0BB" w14:textId="77777777" w:rsidR="00CD7160" w:rsidRPr="00CD7160" w:rsidRDefault="00CD7160" w:rsidP="00CD7160">
            <w:r w:rsidRPr="00CD7160">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67FC2E" w14:textId="77777777" w:rsidR="00CD7160" w:rsidRPr="00CD7160" w:rsidRDefault="00CD7160" w:rsidP="00CD7160">
            <w:pPr>
              <w:rPr>
                <w:lang w:val="en-US"/>
              </w:rPr>
            </w:pPr>
            <w:r w:rsidRPr="00CD7160">
              <w:rPr>
                <w:lang w:val="en-US"/>
              </w:rPr>
              <w:t>BCI learning pilots in Germany • Knowledge Token marketplace launch</w:t>
            </w:r>
          </w:p>
        </w:tc>
      </w:tr>
      <w:tr w:rsidR="00CD7160" w:rsidRPr="004313CD" w14:paraId="43E09BCD" w14:textId="77777777" w:rsidTr="00CD716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3D7B296" w14:textId="77777777" w:rsidR="00CD7160" w:rsidRPr="00CD7160" w:rsidRDefault="00CD7160" w:rsidP="00CD7160">
            <w:r w:rsidRPr="00CD7160">
              <w:rPr>
                <w:b/>
                <w:bCs/>
              </w:rPr>
              <w:t>Wisdom Economy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4EAE0BC" w14:textId="77777777" w:rsidR="00CD7160" w:rsidRPr="00CD7160" w:rsidRDefault="00CD7160" w:rsidP="00CD7160">
            <w:r w:rsidRPr="00CD7160">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BC67A2" w14:textId="77777777" w:rsidR="00CD7160" w:rsidRPr="00CD7160" w:rsidRDefault="00CD7160" w:rsidP="00CD7160">
            <w:pPr>
              <w:rPr>
                <w:lang w:val="en-US"/>
              </w:rPr>
            </w:pPr>
            <w:r w:rsidRPr="00CD7160">
              <w:rPr>
                <w:lang w:val="en-US"/>
              </w:rPr>
              <w:t xml:space="preserve">50% retirees in </w:t>
            </w:r>
            <w:proofErr w:type="spellStart"/>
            <w:r w:rsidRPr="00CD7160">
              <w:rPr>
                <w:lang w:val="en-US"/>
              </w:rPr>
              <w:t>WaaS</w:t>
            </w:r>
            <w:proofErr w:type="spellEnd"/>
            <w:r w:rsidRPr="00CD7160">
              <w:rPr>
                <w:lang w:val="en-US"/>
              </w:rPr>
              <w:t xml:space="preserve"> program • Holographic mentorship at scale</w:t>
            </w:r>
          </w:p>
        </w:tc>
      </w:tr>
    </w:tbl>
    <w:p w14:paraId="1AC5DB2C" w14:textId="77E1BE8B" w:rsidR="00CD7160" w:rsidRPr="004313CD" w:rsidRDefault="00CD7160" w:rsidP="00CD7160">
      <w:pPr>
        <w:rPr>
          <w:lang w:val="en-US"/>
        </w:rPr>
      </w:pPr>
    </w:p>
    <w:p w14:paraId="3375D657" w14:textId="77777777" w:rsidR="00CD7160" w:rsidRPr="00CD7160" w:rsidRDefault="00CD7160" w:rsidP="00CD7160">
      <w:pPr>
        <w:rPr>
          <w:lang w:val="en-US"/>
        </w:rPr>
      </w:pPr>
      <w:r w:rsidRPr="00CD7160">
        <w:rPr>
          <w:b/>
          <w:bCs/>
          <w:lang w:val="en-US"/>
        </w:rPr>
        <w:t>5. Future Governance Framework</w:t>
      </w:r>
    </w:p>
    <w:p w14:paraId="4AAC99A7" w14:textId="77777777" w:rsidR="00CD7160" w:rsidRPr="00CD7160" w:rsidRDefault="00CD7160" w:rsidP="00CD7160">
      <w:pPr>
        <w:rPr>
          <w:lang w:val="en-US"/>
        </w:rPr>
      </w:pPr>
      <w:r w:rsidRPr="00CD7160">
        <w:rPr>
          <w:b/>
          <w:bCs/>
          <w:lang w:val="en-US"/>
        </w:rPr>
        <w:lastRenderedPageBreak/>
        <w:t>Decentralized Talent Council</w:t>
      </w:r>
    </w:p>
    <w:p w14:paraId="5A8F7189" w14:textId="77777777" w:rsidR="00CD7160" w:rsidRPr="00CD7160" w:rsidRDefault="00CD7160" w:rsidP="00CD7160">
      <w:pPr>
        <w:numPr>
          <w:ilvl w:val="0"/>
          <w:numId w:val="7"/>
        </w:numPr>
        <w:rPr>
          <w:lang w:val="en-US"/>
        </w:rPr>
      </w:pPr>
      <w:r w:rsidRPr="00CD7160">
        <w:rPr>
          <w:b/>
          <w:bCs/>
          <w:lang w:val="en-US"/>
        </w:rPr>
        <w:t>Chief Cognitive Officer</w:t>
      </w:r>
      <w:r w:rsidRPr="00CD7160">
        <w:rPr>
          <w:lang w:val="en-US"/>
        </w:rPr>
        <w:t>: Oversees human-AI collaboration standards</w:t>
      </w:r>
    </w:p>
    <w:p w14:paraId="4C0374C1" w14:textId="77777777" w:rsidR="00CD7160" w:rsidRPr="00CD7160" w:rsidRDefault="00CD7160" w:rsidP="00CD7160">
      <w:pPr>
        <w:numPr>
          <w:ilvl w:val="0"/>
          <w:numId w:val="7"/>
        </w:numPr>
        <w:rPr>
          <w:lang w:val="en-US"/>
        </w:rPr>
      </w:pPr>
      <w:proofErr w:type="spellStart"/>
      <w:r w:rsidRPr="00CD7160">
        <w:rPr>
          <w:b/>
          <w:bCs/>
          <w:lang w:val="en-US"/>
        </w:rPr>
        <w:t>Neuroethics</w:t>
      </w:r>
      <w:proofErr w:type="spellEnd"/>
      <w:r w:rsidRPr="00CD7160">
        <w:rPr>
          <w:b/>
          <w:bCs/>
          <w:lang w:val="en-US"/>
        </w:rPr>
        <w:t xml:space="preserve"> Board</w:t>
      </w:r>
      <w:r w:rsidRPr="00CD7160">
        <w:rPr>
          <w:lang w:val="en-US"/>
        </w:rPr>
        <w:t>: Ensures responsible BCI implementation</w:t>
      </w:r>
    </w:p>
    <w:p w14:paraId="3BA2DDBD" w14:textId="77777777" w:rsidR="00CD7160" w:rsidRPr="00CD7160" w:rsidRDefault="00CD7160" w:rsidP="00CD7160">
      <w:pPr>
        <w:numPr>
          <w:ilvl w:val="0"/>
          <w:numId w:val="7"/>
        </w:numPr>
        <w:rPr>
          <w:lang w:val="en-US"/>
        </w:rPr>
      </w:pPr>
      <w:r w:rsidRPr="00CD7160">
        <w:rPr>
          <w:b/>
          <w:bCs/>
          <w:lang w:val="en-US"/>
        </w:rPr>
        <w:t>Alumni DAO</w:t>
      </w:r>
      <w:r w:rsidRPr="00CD7160">
        <w:rPr>
          <w:lang w:val="en-US"/>
        </w:rPr>
        <w:t>: Retirees govern knowledge transfer protocols</w:t>
      </w:r>
    </w:p>
    <w:p w14:paraId="64AD8FB9" w14:textId="77777777" w:rsidR="00EF4B6B" w:rsidRPr="00CD7160" w:rsidRDefault="00EF4B6B">
      <w:pPr>
        <w:rPr>
          <w:lang w:val="en-US"/>
        </w:rPr>
      </w:pPr>
    </w:p>
    <w:sectPr w:rsidR="00EF4B6B" w:rsidRPr="00CD71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61B01"/>
    <w:multiLevelType w:val="multilevel"/>
    <w:tmpl w:val="516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93B08"/>
    <w:multiLevelType w:val="multilevel"/>
    <w:tmpl w:val="A0F8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62B5E"/>
    <w:multiLevelType w:val="multilevel"/>
    <w:tmpl w:val="FCC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73472"/>
    <w:multiLevelType w:val="multilevel"/>
    <w:tmpl w:val="646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0E7D"/>
    <w:multiLevelType w:val="multilevel"/>
    <w:tmpl w:val="E40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745B5"/>
    <w:multiLevelType w:val="multilevel"/>
    <w:tmpl w:val="F196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D18B8"/>
    <w:multiLevelType w:val="multilevel"/>
    <w:tmpl w:val="DE5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D569F"/>
    <w:multiLevelType w:val="multilevel"/>
    <w:tmpl w:val="CC12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079A7"/>
    <w:multiLevelType w:val="multilevel"/>
    <w:tmpl w:val="A59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466983">
    <w:abstractNumId w:val="7"/>
  </w:num>
  <w:num w:numId="2" w16cid:durableId="1172187483">
    <w:abstractNumId w:val="0"/>
  </w:num>
  <w:num w:numId="3" w16cid:durableId="816414500">
    <w:abstractNumId w:val="4"/>
  </w:num>
  <w:num w:numId="4" w16cid:durableId="1240292129">
    <w:abstractNumId w:val="5"/>
  </w:num>
  <w:num w:numId="5" w16cid:durableId="930046863">
    <w:abstractNumId w:val="3"/>
  </w:num>
  <w:num w:numId="6" w16cid:durableId="1103496358">
    <w:abstractNumId w:val="2"/>
  </w:num>
  <w:num w:numId="7" w16cid:durableId="37705709">
    <w:abstractNumId w:val="8"/>
  </w:num>
  <w:num w:numId="8" w16cid:durableId="1921451894">
    <w:abstractNumId w:val="1"/>
  </w:num>
  <w:num w:numId="9" w16cid:durableId="932665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60"/>
    <w:rsid w:val="0027471E"/>
    <w:rsid w:val="004313CD"/>
    <w:rsid w:val="005411A9"/>
    <w:rsid w:val="005A50FD"/>
    <w:rsid w:val="00AD3AA2"/>
    <w:rsid w:val="00CD7160"/>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BAACB"/>
  <w15:chartTrackingRefBased/>
  <w15:docId w15:val="{87FED22E-5AC9-4809-B0FF-A1AF0CC8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7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D7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D71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D71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D71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D71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D71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D71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D71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1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D71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D71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D71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D71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D71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D71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D71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D7160"/>
    <w:rPr>
      <w:rFonts w:eastAsiaTheme="majorEastAsia" w:cstheme="majorBidi"/>
      <w:color w:val="272727" w:themeColor="text1" w:themeTint="D8"/>
    </w:rPr>
  </w:style>
  <w:style w:type="paragraph" w:styleId="Titel">
    <w:name w:val="Title"/>
    <w:basedOn w:val="Standard"/>
    <w:next w:val="Standard"/>
    <w:link w:val="TitelZchn"/>
    <w:uiPriority w:val="10"/>
    <w:qFormat/>
    <w:rsid w:val="00CD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71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D71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D71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D71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D7160"/>
    <w:rPr>
      <w:i/>
      <w:iCs/>
      <w:color w:val="404040" w:themeColor="text1" w:themeTint="BF"/>
    </w:rPr>
  </w:style>
  <w:style w:type="paragraph" w:styleId="Listenabsatz">
    <w:name w:val="List Paragraph"/>
    <w:basedOn w:val="Standard"/>
    <w:uiPriority w:val="34"/>
    <w:qFormat/>
    <w:rsid w:val="00CD7160"/>
    <w:pPr>
      <w:ind w:left="720"/>
      <w:contextualSpacing/>
    </w:pPr>
  </w:style>
  <w:style w:type="character" w:styleId="IntensiveHervorhebung">
    <w:name w:val="Intense Emphasis"/>
    <w:basedOn w:val="Absatz-Standardschriftart"/>
    <w:uiPriority w:val="21"/>
    <w:qFormat/>
    <w:rsid w:val="00CD7160"/>
    <w:rPr>
      <w:i/>
      <w:iCs/>
      <w:color w:val="0F4761" w:themeColor="accent1" w:themeShade="BF"/>
    </w:rPr>
  </w:style>
  <w:style w:type="paragraph" w:styleId="IntensivesZitat">
    <w:name w:val="Intense Quote"/>
    <w:basedOn w:val="Standard"/>
    <w:next w:val="Standard"/>
    <w:link w:val="IntensivesZitatZchn"/>
    <w:uiPriority w:val="30"/>
    <w:qFormat/>
    <w:rsid w:val="00CD7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D7160"/>
    <w:rPr>
      <w:i/>
      <w:iCs/>
      <w:color w:val="0F4761" w:themeColor="accent1" w:themeShade="BF"/>
    </w:rPr>
  </w:style>
  <w:style w:type="character" w:styleId="IntensiverVerweis">
    <w:name w:val="Intense Reference"/>
    <w:basedOn w:val="Absatz-Standardschriftart"/>
    <w:uiPriority w:val="32"/>
    <w:qFormat/>
    <w:rsid w:val="00CD71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215">
      <w:bodyDiv w:val="1"/>
      <w:marLeft w:val="0"/>
      <w:marRight w:val="0"/>
      <w:marTop w:val="0"/>
      <w:marBottom w:val="0"/>
      <w:divBdr>
        <w:top w:val="none" w:sz="0" w:space="0" w:color="auto"/>
        <w:left w:val="none" w:sz="0" w:space="0" w:color="auto"/>
        <w:bottom w:val="none" w:sz="0" w:space="0" w:color="auto"/>
        <w:right w:val="none" w:sz="0" w:space="0" w:color="auto"/>
      </w:divBdr>
      <w:divsChild>
        <w:div w:id="1596480965">
          <w:marLeft w:val="0"/>
          <w:marRight w:val="0"/>
          <w:marTop w:val="0"/>
          <w:marBottom w:val="0"/>
          <w:divBdr>
            <w:top w:val="none" w:sz="0" w:space="0" w:color="auto"/>
            <w:left w:val="none" w:sz="0" w:space="0" w:color="auto"/>
            <w:bottom w:val="none" w:sz="0" w:space="0" w:color="auto"/>
            <w:right w:val="none" w:sz="0" w:space="0" w:color="auto"/>
          </w:divBdr>
        </w:div>
      </w:divsChild>
    </w:div>
    <w:div w:id="1312173627">
      <w:bodyDiv w:val="1"/>
      <w:marLeft w:val="0"/>
      <w:marRight w:val="0"/>
      <w:marTop w:val="0"/>
      <w:marBottom w:val="0"/>
      <w:divBdr>
        <w:top w:val="none" w:sz="0" w:space="0" w:color="auto"/>
        <w:left w:val="none" w:sz="0" w:space="0" w:color="auto"/>
        <w:bottom w:val="none" w:sz="0" w:space="0" w:color="auto"/>
        <w:right w:val="none" w:sz="0" w:space="0" w:color="auto"/>
      </w:divBdr>
    </w:div>
    <w:div w:id="1493565464">
      <w:bodyDiv w:val="1"/>
      <w:marLeft w:val="0"/>
      <w:marRight w:val="0"/>
      <w:marTop w:val="0"/>
      <w:marBottom w:val="0"/>
      <w:divBdr>
        <w:top w:val="none" w:sz="0" w:space="0" w:color="auto"/>
        <w:left w:val="none" w:sz="0" w:space="0" w:color="auto"/>
        <w:bottom w:val="none" w:sz="0" w:space="0" w:color="auto"/>
        <w:right w:val="none" w:sz="0" w:space="0" w:color="auto"/>
      </w:divBdr>
    </w:div>
    <w:div w:id="2027439278">
      <w:bodyDiv w:val="1"/>
      <w:marLeft w:val="0"/>
      <w:marRight w:val="0"/>
      <w:marTop w:val="0"/>
      <w:marBottom w:val="0"/>
      <w:divBdr>
        <w:top w:val="none" w:sz="0" w:space="0" w:color="auto"/>
        <w:left w:val="none" w:sz="0" w:space="0" w:color="auto"/>
        <w:bottom w:val="none" w:sz="0" w:space="0" w:color="auto"/>
        <w:right w:val="none" w:sz="0" w:space="0" w:color="auto"/>
      </w:divBdr>
      <w:divsChild>
        <w:div w:id="16674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5616</Characters>
  <Application>Microsoft Office Word</Application>
  <DocSecurity>0</DocSecurity>
  <Lines>114</Lines>
  <Paragraphs>51</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2025-06-06T21:44:00Z</dcterms:created>
  <dcterms:modified xsi:type="dcterms:W3CDTF">2025-06-08T21:39:00Z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829ff894-f66d-40d8-b05b-146f70859d06</vt:lpwstr>
  </property>
</Properties>
</file>