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39B64" w14:textId="77777777" w:rsidR="0033178E" w:rsidRPr="0033178E" w:rsidRDefault="0033178E" w:rsidP="0033178E">
      <w:pPr>
        <w:rPr>
          <w:lang w:val="en-US"/>
        </w:rPr>
      </w:pPr>
      <w:r w:rsidRPr="0033178E">
        <w:rPr>
          <w:b/>
          <w:bCs/>
          <w:lang w:val="en-US"/>
        </w:rPr>
        <w:t>NextTech IT Management 2026-2028 Strategic Roadmap</w:t>
      </w:r>
    </w:p>
    <w:p w14:paraId="0ABCFAE9" w14:textId="77777777" w:rsidR="0033178E" w:rsidRPr="0033178E" w:rsidRDefault="0033178E" w:rsidP="0033178E">
      <w:pPr>
        <w:rPr>
          <w:lang w:val="en-US"/>
        </w:rPr>
      </w:pPr>
      <w:r w:rsidRPr="0033178E">
        <w:rPr>
          <w:b/>
          <w:bCs/>
          <w:lang w:val="en-US"/>
        </w:rPr>
        <w:t>Building the Autonomous Digital Nervous System for Industry 5.0</w:t>
      </w:r>
    </w:p>
    <w:p w14:paraId="0EF27D3C" w14:textId="77777777" w:rsidR="0033178E" w:rsidRPr="0033178E" w:rsidRDefault="0033178E" w:rsidP="0033178E">
      <w:pPr>
        <w:rPr>
          <w:lang w:val="en-US"/>
        </w:rPr>
      </w:pPr>
      <w:r w:rsidRPr="0033178E">
        <w:rPr>
          <w:b/>
          <w:bCs/>
          <w:lang w:val="en-US"/>
        </w:rPr>
        <w:t>1. Strategic Context: The 2025 Baseline</w:t>
      </w:r>
    </w:p>
    <w:p w14:paraId="07BB304E" w14:textId="77777777" w:rsidR="0033178E" w:rsidRPr="0033178E" w:rsidRDefault="0033178E" w:rsidP="0033178E">
      <w:r w:rsidRPr="0033178E">
        <w:rPr>
          <w:lang w:val="en-US"/>
        </w:rPr>
        <w:t xml:space="preserve">As we stand in mid-2025, NextTech's IT landscape has achieved significant milestones—85% cloud adoption, AI-driven service desks, and 99.95% uptime for core manufacturing systems. </w:t>
      </w:r>
      <w:r w:rsidRPr="0033178E">
        <w:t>However, three seismic shifts demand radical transformation by 2028:</w:t>
      </w:r>
    </w:p>
    <w:p w14:paraId="3338DB15" w14:textId="77777777" w:rsidR="0033178E" w:rsidRPr="0033178E" w:rsidRDefault="0033178E" w:rsidP="0033178E">
      <w:pPr>
        <w:numPr>
          <w:ilvl w:val="0"/>
          <w:numId w:val="1"/>
        </w:numPr>
        <w:rPr>
          <w:lang w:val="en-US"/>
        </w:rPr>
      </w:pPr>
      <w:r w:rsidRPr="0033178E">
        <w:rPr>
          <w:b/>
          <w:bCs/>
          <w:lang w:val="en-US"/>
        </w:rPr>
        <w:t>The Cognitive Enterprise</w:t>
      </w:r>
      <w:r w:rsidRPr="0033178E">
        <w:rPr>
          <w:lang w:val="en-US"/>
        </w:rPr>
        <w:t>: AI agents will autonomously manage &gt;40% of IT operations</w:t>
      </w:r>
    </w:p>
    <w:p w14:paraId="273977B1" w14:textId="77777777" w:rsidR="0033178E" w:rsidRPr="0033178E" w:rsidRDefault="0033178E" w:rsidP="0033178E">
      <w:pPr>
        <w:numPr>
          <w:ilvl w:val="0"/>
          <w:numId w:val="1"/>
        </w:numPr>
        <w:rPr>
          <w:lang w:val="en-US"/>
        </w:rPr>
      </w:pPr>
      <w:r w:rsidRPr="0033178E">
        <w:rPr>
          <w:b/>
          <w:bCs/>
          <w:lang w:val="en-US"/>
        </w:rPr>
        <w:t>Quantum-Ready Infrastructure</w:t>
      </w:r>
      <w:r w:rsidRPr="0033178E">
        <w:rPr>
          <w:lang w:val="en-US"/>
        </w:rPr>
        <w:t>: Post-quantum cryptography becomes mandatory for industrial IoT</w:t>
      </w:r>
    </w:p>
    <w:p w14:paraId="62B18A94" w14:textId="77777777" w:rsidR="0033178E" w:rsidRPr="0033178E" w:rsidRDefault="0033178E" w:rsidP="0033178E">
      <w:pPr>
        <w:numPr>
          <w:ilvl w:val="0"/>
          <w:numId w:val="1"/>
        </w:numPr>
        <w:rPr>
          <w:lang w:val="en-US"/>
        </w:rPr>
      </w:pPr>
      <w:r w:rsidRPr="0033178E">
        <w:rPr>
          <w:b/>
          <w:bCs/>
          <w:lang w:val="en-US"/>
        </w:rPr>
        <w:t>Self-Healing Architecture</w:t>
      </w:r>
      <w:r w:rsidRPr="0033178E">
        <w:rPr>
          <w:lang w:val="en-US"/>
        </w:rPr>
        <w:t>: Systems that predict and resolve incidents before human awareness</w:t>
      </w:r>
    </w:p>
    <w:p w14:paraId="501E4255" w14:textId="77777777" w:rsidR="0033178E" w:rsidRPr="0033178E" w:rsidRDefault="0033178E" w:rsidP="0033178E">
      <w:pPr>
        <w:rPr>
          <w:lang w:val="en-US"/>
        </w:rPr>
      </w:pPr>
      <w:r w:rsidRPr="0033178E">
        <w:rPr>
          <w:lang w:val="en-US"/>
        </w:rPr>
        <w:t>This plan reimagines IT Management from a support function to </w:t>
      </w:r>
      <w:r w:rsidRPr="0033178E">
        <w:rPr>
          <w:b/>
          <w:bCs/>
          <w:lang w:val="en-US"/>
        </w:rPr>
        <w:t>NextTech's autonomous digital nervous system</w:t>
      </w:r>
      <w:r w:rsidRPr="0033178E">
        <w:rPr>
          <w:lang w:val="en-US"/>
        </w:rPr>
        <w:t>—anticipating needs, self-optimizing performance, and seamlessly merging physical and digital operations.</w:t>
      </w:r>
    </w:p>
    <w:p w14:paraId="33E3864E" w14:textId="77777777" w:rsidR="0033178E" w:rsidRPr="0033178E" w:rsidRDefault="0033178E" w:rsidP="0033178E">
      <w:r w:rsidRPr="0033178E">
        <w:rPr>
          <w:b/>
          <w:bCs/>
        </w:rPr>
        <w:t>2. 2026-2028 Vision &amp; Strategic Shifts</w:t>
      </w:r>
    </w:p>
    <w:p w14:paraId="3AA4267E" w14:textId="77777777" w:rsidR="0033178E" w:rsidRPr="0033178E" w:rsidRDefault="0033178E" w:rsidP="0033178E">
      <w:r w:rsidRPr="0033178E">
        <w:rPr>
          <w:b/>
          <w:bCs/>
        </w:rPr>
        <w:t>From</w:t>
      </w:r>
      <w:r w:rsidRPr="0033178E">
        <w:t> → </w:t>
      </w:r>
      <w:r w:rsidRPr="0033178E">
        <w:rPr>
          <w:b/>
          <w:bCs/>
        </w:rPr>
        <w:t>To</w:t>
      </w:r>
    </w:p>
    <w:p w14:paraId="4665868A" w14:textId="77777777" w:rsidR="0033178E" w:rsidRPr="0033178E" w:rsidRDefault="0033178E" w:rsidP="0033178E">
      <w:pPr>
        <w:numPr>
          <w:ilvl w:val="0"/>
          <w:numId w:val="2"/>
        </w:numPr>
        <w:rPr>
          <w:lang w:val="en-US"/>
        </w:rPr>
      </w:pPr>
      <w:r w:rsidRPr="0033178E">
        <w:rPr>
          <w:b/>
          <w:bCs/>
          <w:lang w:val="en-US"/>
        </w:rPr>
        <w:t>Cloud-First</w:t>
      </w:r>
      <w:r w:rsidRPr="0033178E">
        <w:rPr>
          <w:lang w:val="en-US"/>
        </w:rPr>
        <w:t> → </w:t>
      </w:r>
      <w:r w:rsidRPr="0033178E">
        <w:rPr>
          <w:b/>
          <w:bCs/>
          <w:lang w:val="en-US"/>
        </w:rPr>
        <w:t>Cognitive-Cloud Fusion</w:t>
      </w:r>
      <w:r w:rsidRPr="0033178E">
        <w:rPr>
          <w:lang w:val="en-US"/>
        </w:rPr>
        <w:t> (AI-managed hybrid infrastructure)</w:t>
      </w:r>
    </w:p>
    <w:p w14:paraId="3FE74302" w14:textId="77777777" w:rsidR="0033178E" w:rsidRPr="0033178E" w:rsidRDefault="0033178E" w:rsidP="0033178E">
      <w:pPr>
        <w:numPr>
          <w:ilvl w:val="0"/>
          <w:numId w:val="2"/>
        </w:numPr>
        <w:rPr>
          <w:lang w:val="en-US"/>
        </w:rPr>
      </w:pPr>
      <w:r w:rsidRPr="0033178E">
        <w:rPr>
          <w:b/>
          <w:bCs/>
          <w:lang w:val="en-US"/>
        </w:rPr>
        <w:t>Incident Response</w:t>
      </w:r>
      <w:r w:rsidRPr="0033178E">
        <w:rPr>
          <w:lang w:val="en-US"/>
        </w:rPr>
        <w:t> → </w:t>
      </w:r>
      <w:r w:rsidRPr="0033178E">
        <w:rPr>
          <w:b/>
          <w:bCs/>
          <w:lang w:val="en-US"/>
        </w:rPr>
        <w:t>Preemptive Healing</w:t>
      </w:r>
      <w:r w:rsidRPr="0033178E">
        <w:rPr>
          <w:lang w:val="en-US"/>
        </w:rPr>
        <w:t> (Systems that auto-resolve 90% of disruptions)</w:t>
      </w:r>
    </w:p>
    <w:p w14:paraId="26028CA1" w14:textId="77777777" w:rsidR="0033178E" w:rsidRPr="0033178E" w:rsidRDefault="0033178E" w:rsidP="0033178E">
      <w:pPr>
        <w:numPr>
          <w:ilvl w:val="0"/>
          <w:numId w:val="2"/>
        </w:numPr>
        <w:rPr>
          <w:lang w:val="en-US"/>
        </w:rPr>
      </w:pPr>
      <w:r w:rsidRPr="0033178E">
        <w:rPr>
          <w:b/>
          <w:bCs/>
          <w:lang w:val="en-US"/>
        </w:rPr>
        <w:t>Cybersecurity</w:t>
      </w:r>
      <w:r w:rsidRPr="0033178E">
        <w:rPr>
          <w:lang w:val="en-US"/>
        </w:rPr>
        <w:t> → </w:t>
      </w:r>
      <w:r w:rsidRPr="0033178E">
        <w:rPr>
          <w:b/>
          <w:bCs/>
          <w:lang w:val="en-US"/>
        </w:rPr>
        <w:t>Autonomous Cyber Immunity</w:t>
      </w:r>
      <w:r w:rsidRPr="0033178E">
        <w:rPr>
          <w:lang w:val="en-US"/>
        </w:rPr>
        <w:t> (Self-defending infrastructure)</w:t>
      </w:r>
    </w:p>
    <w:p w14:paraId="4AD9BB5A" w14:textId="77777777" w:rsidR="0033178E" w:rsidRPr="0033178E" w:rsidRDefault="0033178E" w:rsidP="0033178E">
      <w:pPr>
        <w:numPr>
          <w:ilvl w:val="0"/>
          <w:numId w:val="2"/>
        </w:numPr>
        <w:rPr>
          <w:lang w:val="en-US"/>
        </w:rPr>
      </w:pPr>
      <w:r w:rsidRPr="0033178E">
        <w:rPr>
          <w:b/>
          <w:bCs/>
          <w:lang w:val="en-US"/>
        </w:rPr>
        <w:t>IT Budgeting</w:t>
      </w:r>
      <w:r w:rsidRPr="0033178E">
        <w:rPr>
          <w:lang w:val="en-US"/>
        </w:rPr>
        <w:t> → </w:t>
      </w:r>
      <w:r w:rsidRPr="0033178E">
        <w:rPr>
          <w:b/>
          <w:bCs/>
          <w:lang w:val="en-US"/>
        </w:rPr>
        <w:t>Value Stream Funding</w:t>
      </w:r>
      <w:r w:rsidRPr="0033178E">
        <w:rPr>
          <w:lang w:val="en-US"/>
        </w:rPr>
        <w:t> (Dynamic investment aligned to real-time ROI)</w:t>
      </w:r>
    </w:p>
    <w:p w14:paraId="1DF554BF" w14:textId="77777777" w:rsidR="0033178E" w:rsidRPr="0033178E" w:rsidRDefault="0033178E" w:rsidP="0033178E">
      <w:pPr>
        <w:rPr>
          <w:lang w:val="en-US"/>
        </w:rPr>
      </w:pPr>
      <w:r w:rsidRPr="0033178E">
        <w:rPr>
          <w:b/>
          <w:bCs/>
          <w:lang w:val="en-US"/>
        </w:rPr>
        <w:t>North Star Metric</w:t>
      </w:r>
      <w:r w:rsidRPr="0033178E">
        <w:rPr>
          <w:lang w:val="en-US"/>
        </w:rPr>
        <w:t>: </w:t>
      </w:r>
      <w:r w:rsidRPr="0033178E">
        <w:rPr>
          <w:b/>
          <w:bCs/>
          <w:lang w:val="en-US"/>
        </w:rPr>
        <w:t>Zero-Touch IT Operations</w:t>
      </w:r>
      <w:r w:rsidRPr="0033178E">
        <w:rPr>
          <w:lang w:val="en-US"/>
        </w:rPr>
        <w:t> (95% of decisions/actions autonomous by 2028)</w:t>
      </w:r>
    </w:p>
    <w:p w14:paraId="67C0F030" w14:textId="77777777" w:rsidR="0033178E" w:rsidRPr="0033178E" w:rsidRDefault="0033178E" w:rsidP="0033178E">
      <w:pPr>
        <w:rPr>
          <w:lang w:val="en-US"/>
        </w:rPr>
      </w:pPr>
      <w:r w:rsidRPr="0033178E">
        <w:rPr>
          <w:b/>
          <w:bCs/>
          <w:lang w:val="en-US"/>
        </w:rPr>
        <w:t>3. Strategic Execution: The Autonomous IT Ecosystem</w:t>
      </w:r>
    </w:p>
    <w:p w14:paraId="7CD2E7C2" w14:textId="77777777" w:rsidR="0033178E" w:rsidRPr="0033178E" w:rsidRDefault="0033178E" w:rsidP="0033178E">
      <w:pPr>
        <w:rPr>
          <w:lang w:val="en-US"/>
        </w:rPr>
      </w:pPr>
      <w:r w:rsidRPr="0033178E">
        <w:rPr>
          <w:lang w:val="en-US"/>
        </w:rPr>
        <w:t>The future of NextTech’s IT Management lies in transcending traditional support functions to become the autonomous nervous system of our industrial operations. By 2028, our digital infrastructure will evolve from a collection of systems into a self-regulating organism—anticipating disruptions, optimizing performance in real-time, and defending itself against emerging threats without human intervention. This transformation will unfold across three interconnected revolutions that redefine how technology serves NextTech’s smart manufacturing and digital twin ambitions.</w:t>
      </w:r>
    </w:p>
    <w:p w14:paraId="4211EE2B" w14:textId="77777777" w:rsidR="0033178E" w:rsidRPr="0033178E" w:rsidRDefault="0033178E" w:rsidP="0033178E">
      <w:pPr>
        <w:rPr>
          <w:b/>
          <w:bCs/>
          <w:lang w:val="en-US"/>
        </w:rPr>
      </w:pPr>
      <w:r w:rsidRPr="0033178E">
        <w:rPr>
          <w:b/>
          <w:bCs/>
          <w:lang w:val="en-US"/>
        </w:rPr>
        <w:lastRenderedPageBreak/>
        <w:t>The Cognitive Infrastructure Revolution (2026)</w:t>
      </w:r>
    </w:p>
    <w:p w14:paraId="44EAC8A7" w14:textId="20725A5D" w:rsidR="0033178E" w:rsidRDefault="0033178E" w:rsidP="0033178E">
      <w:pPr>
        <w:rPr>
          <w:lang w:val="en-US"/>
        </w:rPr>
      </w:pPr>
      <w:r w:rsidRPr="0033178E">
        <w:rPr>
          <w:lang w:val="en-US"/>
        </w:rPr>
        <w:t>NextTech will</w:t>
      </w:r>
      <w:r w:rsidR="005E0054">
        <w:rPr>
          <w:lang w:val="en-US"/>
        </w:rPr>
        <w:t xml:space="preserve"> </w:t>
      </w:r>
      <w:r w:rsidRPr="0033178E">
        <w:rPr>
          <w:lang w:val="en-US"/>
        </w:rPr>
        <w:t>pioneer living digital twins for our entire technology stack—not just as monitoring tools, but as proactive governors of our hybrid cloud environment. These AI-powered twins will operate like autonomic systems in the human body, constantly adjusting resources to maintain equilibrium without conscious direction. Imagine our Budapest factory’s digital twin detecting an impending network congestion event 14 hours before it impacts production. The system doesn’t just alert engineers; it autonomously reconfigures traffic flows, negotiates additional bandwidth with Azure’s spot instance marketplace, and temporarily shifts non-critical digital twin simulations to edge nodes—all while ensuring energy consumption stays within carbon targets.</w:t>
      </w:r>
    </w:p>
    <w:p w14:paraId="7602680F" w14:textId="555EF7C4" w:rsidR="005E0054" w:rsidRPr="0033178E" w:rsidRDefault="005E0054" w:rsidP="0033178E">
      <w:pPr>
        <w:rPr>
          <w:lang w:val="en-US"/>
        </w:rPr>
      </w:pPr>
      <w:r>
        <w:rPr>
          <w:lang w:val="en-US"/>
        </w:rPr>
        <w:t>This approach follows the failed infrastructure project INFRAnext, which needed to be aborted for the sake of budget and resource availability.</w:t>
      </w:r>
    </w:p>
    <w:p w14:paraId="7E20911F" w14:textId="1A40A851" w:rsidR="0033178E" w:rsidRDefault="0033178E" w:rsidP="0033178E">
      <w:pPr>
        <w:rPr>
          <w:lang w:val="en-US"/>
        </w:rPr>
      </w:pPr>
      <w:r w:rsidRPr="0033178E">
        <w:rPr>
          <w:lang w:val="en-US"/>
        </w:rPr>
        <w:t xml:space="preserve">This cognitive layer will fundamentally change how we provision infrastructure. When our SAP S/4HANA systems predict quarter-end processing spikes, the digital twins won’t just scale up resources—they’ll evaluate cost/performance tradeoffs across six dimensions (latency, cost, carbon impact, security posture, compliance requirements, and business criticality) to make optimal deployment decisions. The system might determine that shifting German payroll processing to our Frankfurt edge nodes while delaying </w:t>
      </w:r>
      <w:r>
        <w:rPr>
          <w:lang w:val="en-US"/>
        </w:rPr>
        <w:t>French</w:t>
      </w:r>
      <w:r w:rsidRPr="0033178E">
        <w:rPr>
          <w:lang w:val="en-US"/>
        </w:rPr>
        <w:t xml:space="preserve"> inventory analytics by 90 minutes creates the ideal balance, executing these adjustments before finance teams even submit their closing reports.</w:t>
      </w:r>
    </w:p>
    <w:p w14:paraId="38C36604" w14:textId="3145ECA5" w:rsidR="005E0054" w:rsidRPr="0033178E" w:rsidRDefault="005E0054" w:rsidP="0033178E">
      <w:pPr>
        <w:rPr>
          <w:lang w:val="en-US"/>
        </w:rPr>
      </w:pPr>
    </w:p>
    <w:p w14:paraId="426C4607" w14:textId="77777777" w:rsidR="0033178E" w:rsidRPr="0033178E" w:rsidRDefault="0033178E" w:rsidP="0033178E">
      <w:pPr>
        <w:rPr>
          <w:b/>
          <w:bCs/>
          <w:lang w:val="en-US"/>
        </w:rPr>
      </w:pPr>
      <w:r w:rsidRPr="0033178E">
        <w:rPr>
          <w:b/>
          <w:bCs/>
          <w:lang w:val="en-US"/>
        </w:rPr>
        <w:t>The Autonomous Service Fabric (2027)</w:t>
      </w:r>
    </w:p>
    <w:p w14:paraId="4EC74672" w14:textId="77777777" w:rsidR="0033178E" w:rsidRPr="0033178E" w:rsidRDefault="0033178E" w:rsidP="0033178E">
      <w:pPr>
        <w:rPr>
          <w:lang w:val="en-US"/>
        </w:rPr>
      </w:pPr>
      <w:r w:rsidRPr="0033178E">
        <w:rPr>
          <w:lang w:val="en-US"/>
        </w:rPr>
        <w:t>The traditional IT service desk will dissolve into an ambient intelligence layer that blends into the work environment. Employees will interact with personalized AI service agents that understand not just their technical needs, but their work patterns and cognitive preferences. When a production manager in Munich encounters a glitch in our digital twin visualization tools, their AI agent doesn’t open a ticket—it already knows.</w:t>
      </w:r>
    </w:p>
    <w:p w14:paraId="4DE65D54" w14:textId="77777777" w:rsidR="0033178E" w:rsidRPr="0033178E" w:rsidRDefault="0033178E" w:rsidP="0033178E">
      <w:pPr>
        <w:rPr>
          <w:lang w:val="en-US"/>
        </w:rPr>
      </w:pPr>
      <w:r w:rsidRPr="0033178E">
        <w:rPr>
          <w:lang w:val="en-US"/>
        </w:rPr>
        <w:t>Through continuous analysis of telemetry data and augmented reality interfaces, the agent can guide the manager through troubleshooting while simultaneously analyzing whether this represents an isolated incident or the leading edge of a systemic issue. As the manager points their AR glasses at the malfunctioning equipment, the AI overlays repair protocols while running diagnostics in the background. If the issue stems from a known vulnerability, the system automatically patches all affected instances across our European operations before the Munich manager finishes their coffee.</w:t>
      </w:r>
    </w:p>
    <w:p w14:paraId="19973829" w14:textId="77777777" w:rsidR="0033178E" w:rsidRPr="0033178E" w:rsidRDefault="0033178E" w:rsidP="0033178E">
      <w:pPr>
        <w:rPr>
          <w:lang w:val="en-US"/>
        </w:rPr>
      </w:pPr>
      <w:r w:rsidRPr="0033178E">
        <w:rPr>
          <w:lang w:val="en-US"/>
        </w:rPr>
        <w:t xml:space="preserve">This fabric extends to application lifecycle management. Our microservices architecture will embed self-healing protocols that make human intervention the exception rather than the rule. When a containerized service in our SaaS platform fails, the system doesn’t just restart it—it conducts a forensic analysis, isolates the failure pattern, rolls </w:t>
      </w:r>
      <w:r w:rsidRPr="0033178E">
        <w:rPr>
          <w:lang w:val="en-US"/>
        </w:rPr>
        <w:lastRenderedPageBreak/>
        <w:t>back to a stable version, and updates all dependent services with immunization protocols—typically within 30 seconds. What used to require incident bridges with 15 engineers now happens silently in the background, with a succinct natural language summary delivered to relevant teams.</w:t>
      </w:r>
    </w:p>
    <w:p w14:paraId="59522BCC" w14:textId="77777777" w:rsidR="0033178E" w:rsidRPr="0033178E" w:rsidRDefault="0033178E" w:rsidP="0033178E">
      <w:pPr>
        <w:rPr>
          <w:b/>
          <w:bCs/>
          <w:lang w:val="en-US"/>
        </w:rPr>
      </w:pPr>
      <w:r w:rsidRPr="0033178E">
        <w:rPr>
          <w:b/>
          <w:bCs/>
          <w:lang w:val="en-US"/>
        </w:rPr>
        <w:t>The Quantum-Secure Industrial Cloud (2028)</w:t>
      </w:r>
    </w:p>
    <w:p w14:paraId="40672613" w14:textId="77777777" w:rsidR="0033178E" w:rsidRPr="0033178E" w:rsidRDefault="0033178E" w:rsidP="0033178E">
      <w:pPr>
        <w:rPr>
          <w:lang w:val="en-US"/>
        </w:rPr>
      </w:pPr>
      <w:r w:rsidRPr="0033178E">
        <w:rPr>
          <w:lang w:val="en-US"/>
        </w:rPr>
        <w:t>As NextTech’s operations become increasingly autonomous, our security architecture must evolve beyond human-scale threat response. We’ll implement a decentralized cyber immune system where every device—from factory-floor IoT sensors to executive tablets—participates in collective defense. This isn’t merely stronger firewalls, but a fundamental rearchitecture of trust.</w:t>
      </w:r>
    </w:p>
    <w:p w14:paraId="502C6F22" w14:textId="77777777" w:rsidR="0033178E" w:rsidRPr="0033178E" w:rsidRDefault="0033178E" w:rsidP="0033178E">
      <w:pPr>
        <w:rPr>
          <w:lang w:val="en-US"/>
        </w:rPr>
      </w:pPr>
      <w:r w:rsidRPr="0033178E">
        <w:rPr>
          <w:lang w:val="en-US"/>
        </w:rPr>
        <w:t>Our 50,000+ connected devices will form a neural network of threat detection, sharing encrypted anomaly patterns via blockchain. When a sensor in our Swedish plant detects unusual network behavior, it doesn’t wait for central SOC analysis—it immediately shares encrypted indicators with peer devices across our network. If three devices corroborate the pattern, countermeasures deploy automatically: isolating affected segments, rotating cryptographic keys using quantum-resistant algorithms, and initiating forensic capture—all within milliseconds.</w:t>
      </w:r>
    </w:p>
    <w:p w14:paraId="53B04916" w14:textId="77777777" w:rsidR="0033178E" w:rsidRPr="0033178E" w:rsidRDefault="0033178E" w:rsidP="0033178E">
      <w:pPr>
        <w:rPr>
          <w:lang w:val="en-US"/>
        </w:rPr>
      </w:pPr>
      <w:r w:rsidRPr="0033178E">
        <w:rPr>
          <w:lang w:val="en-US"/>
        </w:rPr>
        <w:t>The most transformative aspect will be our ethical AI guardians. These autonomous security agents employ neural-symbolic AI to interpret attacker intent, not just patterns. When detecting a sophisticated supply chain attack targeting our automotive customers, the system might:</w:t>
      </w:r>
    </w:p>
    <w:p w14:paraId="2CF0B3C0" w14:textId="77777777" w:rsidR="0033178E" w:rsidRPr="0033178E" w:rsidRDefault="0033178E" w:rsidP="0033178E">
      <w:pPr>
        <w:numPr>
          <w:ilvl w:val="0"/>
          <w:numId w:val="10"/>
        </w:numPr>
        <w:rPr>
          <w:lang w:val="en-US"/>
        </w:rPr>
      </w:pPr>
      <w:r w:rsidRPr="0033178E">
        <w:rPr>
          <w:lang w:val="en-US"/>
        </w:rPr>
        <w:t>Temporarily sever connections with vulnerable supplier systems</w:t>
      </w:r>
    </w:p>
    <w:p w14:paraId="292C8FAA" w14:textId="77777777" w:rsidR="0033178E" w:rsidRPr="0033178E" w:rsidRDefault="0033178E" w:rsidP="0033178E">
      <w:pPr>
        <w:numPr>
          <w:ilvl w:val="0"/>
          <w:numId w:val="10"/>
        </w:numPr>
        <w:rPr>
          <w:lang w:val="en-US"/>
        </w:rPr>
      </w:pPr>
      <w:r w:rsidRPr="0033178E">
        <w:rPr>
          <w:lang w:val="en-US"/>
        </w:rPr>
        <w:t>Generate synthetic false data to mislead attackers</w:t>
      </w:r>
    </w:p>
    <w:p w14:paraId="2D90281A" w14:textId="77777777" w:rsidR="0033178E" w:rsidRPr="0033178E" w:rsidRDefault="0033178E" w:rsidP="0033178E">
      <w:pPr>
        <w:numPr>
          <w:ilvl w:val="0"/>
          <w:numId w:val="10"/>
        </w:numPr>
        <w:rPr>
          <w:lang w:val="en-US"/>
        </w:rPr>
      </w:pPr>
      <w:r w:rsidRPr="0033178E">
        <w:rPr>
          <w:lang w:val="en-US"/>
        </w:rPr>
        <w:t>Initiate legal response protocols by analyzing EU cybersecurity regulations</w:t>
      </w:r>
    </w:p>
    <w:p w14:paraId="0E5F41E5" w14:textId="77777777" w:rsidR="0033178E" w:rsidRPr="0033178E" w:rsidRDefault="0033178E" w:rsidP="0033178E">
      <w:pPr>
        <w:numPr>
          <w:ilvl w:val="0"/>
          <w:numId w:val="10"/>
        </w:numPr>
        <w:rPr>
          <w:lang w:val="en-US"/>
        </w:rPr>
      </w:pPr>
      <w:r w:rsidRPr="0033178E">
        <w:rPr>
          <w:lang w:val="en-US"/>
        </w:rPr>
        <w:t>Produce plain-language briefs for both technical teams and the board</w:t>
      </w:r>
    </w:p>
    <w:p w14:paraId="776F9680" w14:textId="77777777" w:rsidR="0033178E" w:rsidRPr="0033178E" w:rsidRDefault="0033178E" w:rsidP="0033178E">
      <w:pPr>
        <w:rPr>
          <w:lang w:val="en-US"/>
        </w:rPr>
      </w:pPr>
      <w:r w:rsidRPr="0033178E">
        <w:rPr>
          <w:lang w:val="en-US"/>
        </w:rPr>
        <w:t>This creates a security posture that adapts as fast as threats evolve, with human oversight focused on strategy rather than tactical response.</w:t>
      </w:r>
    </w:p>
    <w:p w14:paraId="0EEDA211" w14:textId="77777777" w:rsidR="0033178E" w:rsidRPr="0033178E" w:rsidRDefault="0033178E" w:rsidP="0033178E">
      <w:pPr>
        <w:rPr>
          <w:b/>
          <w:bCs/>
          <w:lang w:val="en-US"/>
        </w:rPr>
      </w:pPr>
      <w:r w:rsidRPr="0033178E">
        <w:rPr>
          <w:b/>
          <w:bCs/>
          <w:lang w:val="en-US"/>
        </w:rPr>
        <w:t>The Bigger Picture</w:t>
      </w:r>
    </w:p>
    <w:p w14:paraId="4D6F1980" w14:textId="77777777" w:rsidR="0033178E" w:rsidRDefault="0033178E" w:rsidP="0033178E">
      <w:pPr>
        <w:rPr>
          <w:lang w:val="en-US"/>
        </w:rPr>
      </w:pPr>
      <w:r w:rsidRPr="0033178E">
        <w:rPr>
          <w:lang w:val="en-US"/>
        </w:rPr>
        <w:t>By 2028, NextTech’s IT management won’t just support the business—it will become the business’s predictive capability. Our infrastructure will sense production needs before plant managers do, our security will neutralize threats before they’re fully formed, and our systems will self-optimize for both performance and sustainability. This transformation positions IT not as a cost center, but as the central nervous system of NextTech’s industrial leadership—constantly learning, adapting, and anticipating in ways that create insurmountable competitive advantage.</w:t>
      </w:r>
    </w:p>
    <w:p w14:paraId="79C4A2D5" w14:textId="12FFE2BE" w:rsidR="005E0054" w:rsidRPr="0033178E" w:rsidRDefault="005E0054" w:rsidP="0033178E">
      <w:pPr>
        <w:rPr>
          <w:lang w:val="en-US"/>
        </w:rPr>
      </w:pPr>
      <w:r>
        <w:rPr>
          <w:lang w:val="en-US"/>
        </w:rPr>
        <w:lastRenderedPageBreak/>
        <w:t>Besides the strategic plans, change management operations proceed as they have for the last decade.</w:t>
      </w:r>
    </w:p>
    <w:p w14:paraId="1F93F58D" w14:textId="77777777" w:rsidR="0033178E" w:rsidRPr="0033178E" w:rsidRDefault="0033178E" w:rsidP="0033178E">
      <w:r w:rsidRPr="0033178E">
        <w:rPr>
          <w:b/>
          <w:bCs/>
        </w:rPr>
        <w:t>4. Implementation Horizon</w:t>
      </w:r>
    </w:p>
    <w:tbl>
      <w:tblPr>
        <w:tblW w:w="0" w:type="auto"/>
        <w:tblCellMar>
          <w:top w:w="15" w:type="dxa"/>
          <w:left w:w="15" w:type="dxa"/>
          <w:bottom w:w="15" w:type="dxa"/>
          <w:right w:w="15" w:type="dxa"/>
        </w:tblCellMar>
        <w:tblLook w:val="04A0" w:firstRow="1" w:lastRow="0" w:firstColumn="1" w:lastColumn="0" w:noHBand="0" w:noVBand="1"/>
      </w:tblPr>
      <w:tblGrid>
        <w:gridCol w:w="1984"/>
        <w:gridCol w:w="1241"/>
        <w:gridCol w:w="5847"/>
      </w:tblGrid>
      <w:tr w:rsidR="0033178E" w:rsidRPr="0033178E" w14:paraId="7FDBD05A" w14:textId="77777777" w:rsidTr="0033178E">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0A3FE789" w14:textId="77777777" w:rsidR="0033178E" w:rsidRPr="0033178E" w:rsidRDefault="0033178E" w:rsidP="0033178E">
            <w:pPr>
              <w:rPr>
                <w:b/>
                <w:bCs/>
              </w:rPr>
            </w:pPr>
            <w:r w:rsidRPr="0033178E">
              <w:rPr>
                <w:b/>
                <w:bCs/>
              </w:rPr>
              <w:t>Phase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0A226EB" w14:textId="77777777" w:rsidR="0033178E" w:rsidRPr="0033178E" w:rsidRDefault="0033178E" w:rsidP="0033178E">
            <w:pPr>
              <w:rPr>
                <w:b/>
                <w:bCs/>
              </w:rPr>
            </w:pPr>
            <w:r w:rsidRPr="0033178E">
              <w:rPr>
                <w:b/>
                <w:bCs/>
              </w:rPr>
              <w:t>Timeline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7BBEF64" w14:textId="77777777" w:rsidR="0033178E" w:rsidRPr="0033178E" w:rsidRDefault="0033178E" w:rsidP="0033178E">
            <w:pPr>
              <w:rPr>
                <w:b/>
                <w:bCs/>
              </w:rPr>
            </w:pPr>
            <w:r w:rsidRPr="0033178E">
              <w:rPr>
                <w:b/>
                <w:bCs/>
              </w:rPr>
              <w:t>Key Breakthroughs</w:t>
            </w:r>
          </w:p>
        </w:tc>
      </w:tr>
      <w:tr w:rsidR="0033178E" w:rsidRPr="00735F15" w14:paraId="2610C016" w14:textId="77777777" w:rsidTr="0033178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ED504CF" w14:textId="77777777" w:rsidR="0033178E" w:rsidRPr="0033178E" w:rsidRDefault="0033178E" w:rsidP="0033178E">
            <w:r w:rsidRPr="0033178E">
              <w:rPr>
                <w:b/>
                <w:bCs/>
              </w:rPr>
              <w:t>Cognitive Core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D263345" w14:textId="77777777" w:rsidR="0033178E" w:rsidRPr="0033178E" w:rsidRDefault="0033178E" w:rsidP="0033178E">
            <w:r w:rsidRPr="0033178E">
              <w:t>2026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D89AF23" w14:textId="77777777" w:rsidR="0033178E" w:rsidRPr="0033178E" w:rsidRDefault="0033178E" w:rsidP="0033178E">
            <w:pPr>
              <w:rPr>
                <w:lang w:val="en-US"/>
              </w:rPr>
            </w:pPr>
            <w:r w:rsidRPr="0033178E">
              <w:rPr>
                <w:lang w:val="en-US"/>
              </w:rPr>
              <w:t>Digital twins manage 30% of infrastructure • First AI-negotiated cloud contracts</w:t>
            </w:r>
          </w:p>
        </w:tc>
      </w:tr>
      <w:tr w:rsidR="0033178E" w:rsidRPr="00735F15" w14:paraId="0D2952F0" w14:textId="77777777" w:rsidTr="0033178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BA5D4E5" w14:textId="77777777" w:rsidR="0033178E" w:rsidRPr="0033178E" w:rsidRDefault="0033178E" w:rsidP="0033178E">
            <w:r w:rsidRPr="0033178E">
              <w:rPr>
                <w:b/>
                <w:bCs/>
              </w:rPr>
              <w:t>Autonomous Ops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3E54B47" w14:textId="77777777" w:rsidR="0033178E" w:rsidRPr="0033178E" w:rsidRDefault="0033178E" w:rsidP="0033178E">
            <w:r w:rsidRPr="0033178E">
              <w:t>2027</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E85C6D3" w14:textId="77777777" w:rsidR="0033178E" w:rsidRPr="0033178E" w:rsidRDefault="0033178E" w:rsidP="0033178E">
            <w:pPr>
              <w:rPr>
                <w:lang w:val="en-US"/>
              </w:rPr>
            </w:pPr>
            <w:r w:rsidRPr="0033178E">
              <w:rPr>
                <w:lang w:val="en-US"/>
              </w:rPr>
              <w:t>70% incident auto-resolution • AR service agents deployed</w:t>
            </w:r>
          </w:p>
        </w:tc>
      </w:tr>
      <w:tr w:rsidR="0033178E" w:rsidRPr="00735F15" w14:paraId="24221A42" w14:textId="77777777" w:rsidTr="0033178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55F8334" w14:textId="77777777" w:rsidR="0033178E" w:rsidRPr="0033178E" w:rsidRDefault="0033178E" w:rsidP="0033178E">
            <w:r w:rsidRPr="0033178E">
              <w:rPr>
                <w:b/>
                <w:bCs/>
              </w:rPr>
              <w:t>Quantum Immunity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C391657" w14:textId="77777777" w:rsidR="0033178E" w:rsidRPr="0033178E" w:rsidRDefault="0033178E" w:rsidP="0033178E">
            <w:r w:rsidRPr="0033178E">
              <w:t>2028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51AE723" w14:textId="77777777" w:rsidR="0033178E" w:rsidRPr="0033178E" w:rsidRDefault="0033178E" w:rsidP="0033178E">
            <w:pPr>
              <w:rPr>
                <w:lang w:val="en-US"/>
              </w:rPr>
            </w:pPr>
            <w:r w:rsidRPr="0033178E">
              <w:rPr>
                <w:lang w:val="en-US"/>
              </w:rPr>
              <w:t>Full post-quantum migration • Decentralized cyber defense network live</w:t>
            </w:r>
          </w:p>
        </w:tc>
      </w:tr>
    </w:tbl>
    <w:p w14:paraId="4B562939" w14:textId="77777777" w:rsidR="0033178E" w:rsidRPr="0033178E" w:rsidRDefault="0033178E" w:rsidP="0033178E">
      <w:pPr>
        <w:rPr>
          <w:lang w:val="en-US"/>
        </w:rPr>
      </w:pPr>
      <w:r w:rsidRPr="0033178E">
        <w:rPr>
          <w:b/>
          <w:bCs/>
          <w:lang w:val="en-US"/>
        </w:rPr>
        <w:t>5. Future Governance Framework</w:t>
      </w:r>
    </w:p>
    <w:p w14:paraId="437841FA" w14:textId="77777777" w:rsidR="0033178E" w:rsidRPr="0033178E" w:rsidRDefault="0033178E" w:rsidP="0033178E">
      <w:pPr>
        <w:rPr>
          <w:lang w:val="en-US"/>
        </w:rPr>
      </w:pPr>
      <w:r w:rsidRPr="0033178E">
        <w:rPr>
          <w:b/>
          <w:bCs/>
          <w:lang w:val="en-US"/>
        </w:rPr>
        <w:t>Autonomous IT Council</w:t>
      </w:r>
    </w:p>
    <w:p w14:paraId="7787FE97" w14:textId="77777777" w:rsidR="0033178E" w:rsidRPr="0033178E" w:rsidRDefault="0033178E" w:rsidP="0033178E">
      <w:pPr>
        <w:numPr>
          <w:ilvl w:val="0"/>
          <w:numId w:val="9"/>
        </w:numPr>
        <w:rPr>
          <w:lang w:val="en-US"/>
        </w:rPr>
      </w:pPr>
      <w:r w:rsidRPr="0033178E">
        <w:rPr>
          <w:b/>
          <w:bCs/>
          <w:lang w:val="en-US"/>
        </w:rPr>
        <w:t>Chief Cognitive Officer</w:t>
      </w:r>
      <w:r w:rsidRPr="0033178E">
        <w:rPr>
          <w:lang w:val="en-US"/>
        </w:rPr>
        <w:t>: Oversees AI decision-making boundaries</w:t>
      </w:r>
    </w:p>
    <w:p w14:paraId="373EE0D7" w14:textId="77777777" w:rsidR="0033178E" w:rsidRPr="0033178E" w:rsidRDefault="0033178E" w:rsidP="0033178E">
      <w:pPr>
        <w:numPr>
          <w:ilvl w:val="0"/>
          <w:numId w:val="9"/>
        </w:numPr>
        <w:rPr>
          <w:lang w:val="en-US"/>
        </w:rPr>
      </w:pPr>
      <w:r w:rsidRPr="0033178E">
        <w:rPr>
          <w:b/>
          <w:bCs/>
          <w:lang w:val="en-US"/>
        </w:rPr>
        <w:t>Quantum Readiness Team</w:t>
      </w:r>
      <w:r w:rsidRPr="0033178E">
        <w:rPr>
          <w:lang w:val="en-US"/>
        </w:rPr>
        <w:t>: Ensures crypto-agility</w:t>
      </w:r>
    </w:p>
    <w:p w14:paraId="024466DC" w14:textId="77777777" w:rsidR="0033178E" w:rsidRPr="0033178E" w:rsidRDefault="0033178E" w:rsidP="0033178E">
      <w:pPr>
        <w:numPr>
          <w:ilvl w:val="0"/>
          <w:numId w:val="9"/>
        </w:numPr>
        <w:rPr>
          <w:lang w:val="en-US"/>
        </w:rPr>
      </w:pPr>
      <w:r w:rsidRPr="0033178E">
        <w:rPr>
          <w:b/>
          <w:bCs/>
          <w:lang w:val="en-US"/>
        </w:rPr>
        <w:t>Ethical AI Review Board</w:t>
      </w:r>
      <w:r w:rsidRPr="0033178E">
        <w:rPr>
          <w:lang w:val="en-US"/>
        </w:rPr>
        <w:t>: Monthly audits of autonomous systems</w:t>
      </w:r>
    </w:p>
    <w:p w14:paraId="0A351D4F" w14:textId="77777777" w:rsidR="00EF4B6B" w:rsidRPr="0033178E" w:rsidRDefault="00EF4B6B">
      <w:pPr>
        <w:rPr>
          <w:lang w:val="en-US"/>
        </w:rPr>
      </w:pPr>
    </w:p>
    <w:sectPr w:rsidR="00EF4B6B" w:rsidRPr="003317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12FB2"/>
    <w:multiLevelType w:val="multilevel"/>
    <w:tmpl w:val="1B88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254CC"/>
    <w:multiLevelType w:val="multilevel"/>
    <w:tmpl w:val="B09E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562EA"/>
    <w:multiLevelType w:val="multilevel"/>
    <w:tmpl w:val="DB8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B7FB8"/>
    <w:multiLevelType w:val="multilevel"/>
    <w:tmpl w:val="2BF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63978"/>
    <w:multiLevelType w:val="multilevel"/>
    <w:tmpl w:val="FD92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34DB9"/>
    <w:multiLevelType w:val="multilevel"/>
    <w:tmpl w:val="EF72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C699C"/>
    <w:multiLevelType w:val="multilevel"/>
    <w:tmpl w:val="B10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D5C75"/>
    <w:multiLevelType w:val="multilevel"/>
    <w:tmpl w:val="7DA4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C75DF"/>
    <w:multiLevelType w:val="multilevel"/>
    <w:tmpl w:val="8D28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20CEB"/>
    <w:multiLevelType w:val="multilevel"/>
    <w:tmpl w:val="AB1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341306">
    <w:abstractNumId w:val="3"/>
  </w:num>
  <w:num w:numId="2" w16cid:durableId="1969506514">
    <w:abstractNumId w:val="9"/>
  </w:num>
  <w:num w:numId="3" w16cid:durableId="1387877073">
    <w:abstractNumId w:val="6"/>
  </w:num>
  <w:num w:numId="4" w16cid:durableId="279648985">
    <w:abstractNumId w:val="4"/>
  </w:num>
  <w:num w:numId="5" w16cid:durableId="1168592193">
    <w:abstractNumId w:val="1"/>
  </w:num>
  <w:num w:numId="6" w16cid:durableId="477495741">
    <w:abstractNumId w:val="7"/>
  </w:num>
  <w:num w:numId="7" w16cid:durableId="812331744">
    <w:abstractNumId w:val="5"/>
  </w:num>
  <w:num w:numId="8" w16cid:durableId="605236448">
    <w:abstractNumId w:val="8"/>
  </w:num>
  <w:num w:numId="9" w16cid:durableId="1467819077">
    <w:abstractNumId w:val="2"/>
  </w:num>
  <w:num w:numId="10" w16cid:durableId="26570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8E"/>
    <w:rsid w:val="0027471E"/>
    <w:rsid w:val="0033178E"/>
    <w:rsid w:val="005411A9"/>
    <w:rsid w:val="005A50FD"/>
    <w:rsid w:val="005E0054"/>
    <w:rsid w:val="00735F15"/>
    <w:rsid w:val="00AD0A5A"/>
    <w:rsid w:val="00AD3AA2"/>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A24BB"/>
  <w15:chartTrackingRefBased/>
  <w15:docId w15:val="{8974F000-308B-4A98-87CC-3F4CCE0C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1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31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3178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3178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3178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3178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3178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3178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3178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178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3178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3178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3178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3178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3178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3178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3178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3178E"/>
    <w:rPr>
      <w:rFonts w:eastAsiaTheme="majorEastAsia" w:cstheme="majorBidi"/>
      <w:color w:val="272727" w:themeColor="text1" w:themeTint="D8"/>
    </w:rPr>
  </w:style>
  <w:style w:type="paragraph" w:styleId="Titel">
    <w:name w:val="Title"/>
    <w:basedOn w:val="Standard"/>
    <w:next w:val="Standard"/>
    <w:link w:val="TitelZchn"/>
    <w:uiPriority w:val="10"/>
    <w:qFormat/>
    <w:rsid w:val="00331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17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3178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3178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3178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3178E"/>
    <w:rPr>
      <w:i/>
      <w:iCs/>
      <w:color w:val="404040" w:themeColor="text1" w:themeTint="BF"/>
    </w:rPr>
  </w:style>
  <w:style w:type="paragraph" w:styleId="Listenabsatz">
    <w:name w:val="List Paragraph"/>
    <w:basedOn w:val="Standard"/>
    <w:uiPriority w:val="34"/>
    <w:qFormat/>
    <w:rsid w:val="0033178E"/>
    <w:pPr>
      <w:ind w:left="720"/>
      <w:contextualSpacing/>
    </w:pPr>
  </w:style>
  <w:style w:type="character" w:styleId="IntensiveHervorhebung">
    <w:name w:val="Intense Emphasis"/>
    <w:basedOn w:val="Absatz-Standardschriftart"/>
    <w:uiPriority w:val="21"/>
    <w:qFormat/>
    <w:rsid w:val="0033178E"/>
    <w:rPr>
      <w:i/>
      <w:iCs/>
      <w:color w:val="0F4761" w:themeColor="accent1" w:themeShade="BF"/>
    </w:rPr>
  </w:style>
  <w:style w:type="paragraph" w:styleId="IntensivesZitat">
    <w:name w:val="Intense Quote"/>
    <w:basedOn w:val="Standard"/>
    <w:next w:val="Standard"/>
    <w:link w:val="IntensivesZitatZchn"/>
    <w:uiPriority w:val="30"/>
    <w:qFormat/>
    <w:rsid w:val="00331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3178E"/>
    <w:rPr>
      <w:i/>
      <w:iCs/>
      <w:color w:val="0F4761" w:themeColor="accent1" w:themeShade="BF"/>
    </w:rPr>
  </w:style>
  <w:style w:type="character" w:styleId="IntensiverVerweis">
    <w:name w:val="Intense Reference"/>
    <w:basedOn w:val="Absatz-Standardschriftart"/>
    <w:uiPriority w:val="32"/>
    <w:qFormat/>
    <w:rsid w:val="00331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5381">
      <w:bodyDiv w:val="1"/>
      <w:marLeft w:val="0"/>
      <w:marRight w:val="0"/>
      <w:marTop w:val="0"/>
      <w:marBottom w:val="0"/>
      <w:divBdr>
        <w:top w:val="none" w:sz="0" w:space="0" w:color="auto"/>
        <w:left w:val="none" w:sz="0" w:space="0" w:color="auto"/>
        <w:bottom w:val="none" w:sz="0" w:space="0" w:color="auto"/>
        <w:right w:val="none" w:sz="0" w:space="0" w:color="auto"/>
      </w:divBdr>
    </w:div>
    <w:div w:id="302468023">
      <w:bodyDiv w:val="1"/>
      <w:marLeft w:val="0"/>
      <w:marRight w:val="0"/>
      <w:marTop w:val="0"/>
      <w:marBottom w:val="0"/>
      <w:divBdr>
        <w:top w:val="none" w:sz="0" w:space="0" w:color="auto"/>
        <w:left w:val="none" w:sz="0" w:space="0" w:color="auto"/>
        <w:bottom w:val="none" w:sz="0" w:space="0" w:color="auto"/>
        <w:right w:val="none" w:sz="0" w:space="0" w:color="auto"/>
      </w:divBdr>
      <w:divsChild>
        <w:div w:id="372733581">
          <w:marLeft w:val="0"/>
          <w:marRight w:val="0"/>
          <w:marTop w:val="0"/>
          <w:marBottom w:val="0"/>
          <w:divBdr>
            <w:top w:val="none" w:sz="0" w:space="0" w:color="auto"/>
            <w:left w:val="none" w:sz="0" w:space="0" w:color="auto"/>
            <w:bottom w:val="none" w:sz="0" w:space="0" w:color="auto"/>
            <w:right w:val="none" w:sz="0" w:space="0" w:color="auto"/>
          </w:divBdr>
        </w:div>
      </w:divsChild>
    </w:div>
    <w:div w:id="501245024">
      <w:bodyDiv w:val="1"/>
      <w:marLeft w:val="0"/>
      <w:marRight w:val="0"/>
      <w:marTop w:val="0"/>
      <w:marBottom w:val="0"/>
      <w:divBdr>
        <w:top w:val="none" w:sz="0" w:space="0" w:color="auto"/>
        <w:left w:val="none" w:sz="0" w:space="0" w:color="auto"/>
        <w:bottom w:val="none" w:sz="0" w:space="0" w:color="auto"/>
        <w:right w:val="none" w:sz="0" w:space="0" w:color="auto"/>
      </w:divBdr>
      <w:divsChild>
        <w:div w:id="1044787997">
          <w:marLeft w:val="0"/>
          <w:marRight w:val="0"/>
          <w:marTop w:val="0"/>
          <w:marBottom w:val="0"/>
          <w:divBdr>
            <w:top w:val="none" w:sz="0" w:space="0" w:color="auto"/>
            <w:left w:val="none" w:sz="0" w:space="0" w:color="auto"/>
            <w:bottom w:val="none" w:sz="0" w:space="0" w:color="auto"/>
            <w:right w:val="none" w:sz="0" w:space="0" w:color="auto"/>
          </w:divBdr>
        </w:div>
      </w:divsChild>
    </w:div>
    <w:div w:id="79830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7055</Characters>
  <Application>Microsoft Office Word</Application>
  <DocSecurity>0</DocSecurity>
  <Lines>133</Lines>
  <Paragraphs>62</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3</cp:revision>
  <dcterms:created xsi:type="dcterms:W3CDTF">2025-06-06T21:49:00Z</dcterms:created>
  <dcterms:modified xsi:type="dcterms:W3CDTF">2025-06-08T23:22:00Z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2a46ab49-9ee8-4706-8440-db3c038cd86d</vt:lpwstr>
  </property>
</Properties>
</file>