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87502" w14:textId="77777777" w:rsidR="00657DC4" w:rsidRPr="00657DC4" w:rsidRDefault="00657DC4" w:rsidP="00657DC4">
      <w:pPr>
        <w:rPr>
          <w:lang w:val="en-US"/>
        </w:rPr>
      </w:pPr>
      <w:proofErr w:type="spellStart"/>
      <w:r w:rsidRPr="00657DC4">
        <w:rPr>
          <w:b/>
          <w:bCs/>
          <w:lang w:val="en-US"/>
        </w:rPr>
        <w:t>NextTech</w:t>
      </w:r>
      <w:proofErr w:type="spellEnd"/>
      <w:r w:rsidRPr="00657DC4">
        <w:rPr>
          <w:b/>
          <w:bCs/>
          <w:lang w:val="en-US"/>
        </w:rPr>
        <w:t xml:space="preserve"> Marketing 2026-2028 Strategic Roadmap</w:t>
      </w:r>
    </w:p>
    <w:p w14:paraId="1E4D9968" w14:textId="77777777" w:rsidR="00657DC4" w:rsidRPr="00657DC4" w:rsidRDefault="00657DC4" w:rsidP="00657DC4">
      <w:pPr>
        <w:rPr>
          <w:lang w:val="en-US"/>
        </w:rPr>
      </w:pPr>
      <w:r w:rsidRPr="00657DC4">
        <w:rPr>
          <w:b/>
          <w:bCs/>
          <w:lang w:val="en-US"/>
        </w:rPr>
        <w:t>The Autonomous Demand Generation Engine</w:t>
      </w:r>
    </w:p>
    <w:p w14:paraId="2202EFCB" w14:textId="77777777" w:rsidR="00657DC4" w:rsidRPr="00657DC4" w:rsidRDefault="00657DC4" w:rsidP="00657DC4">
      <w:pPr>
        <w:rPr>
          <w:lang w:val="en-US"/>
        </w:rPr>
      </w:pPr>
      <w:r w:rsidRPr="00657DC4">
        <w:rPr>
          <w:b/>
          <w:bCs/>
          <w:lang w:val="en-US"/>
        </w:rPr>
        <w:t>1. Strategic Context: The 2025 Foundation</w:t>
      </w:r>
    </w:p>
    <w:p w14:paraId="65B5FD62" w14:textId="77777777" w:rsidR="00657DC4" w:rsidRPr="00657DC4" w:rsidRDefault="00657DC4" w:rsidP="00657DC4">
      <w:r w:rsidRPr="00657DC4">
        <w:rPr>
          <w:lang w:val="en-US"/>
        </w:rPr>
        <w:t xml:space="preserve">As </w:t>
      </w:r>
      <w:proofErr w:type="spellStart"/>
      <w:r w:rsidRPr="00657DC4">
        <w:rPr>
          <w:lang w:val="en-US"/>
        </w:rPr>
        <w:t>NextTech</w:t>
      </w:r>
      <w:proofErr w:type="spellEnd"/>
      <w:r w:rsidRPr="00657DC4">
        <w:rPr>
          <w:lang w:val="en-US"/>
        </w:rPr>
        <w:t xml:space="preserve"> enters mid-2025, our marketing engine has established industry leadership—83% brand awareness among target accounts, €12 ROI per €1 invested in content, and 42% MQL-to-SQL conversion rates. </w:t>
      </w:r>
      <w:proofErr w:type="spellStart"/>
      <w:r w:rsidRPr="00657DC4">
        <w:t>However</w:t>
      </w:r>
      <w:proofErr w:type="spellEnd"/>
      <w:r w:rsidRPr="00657DC4">
        <w:t xml:space="preserve">, </w:t>
      </w:r>
      <w:proofErr w:type="spellStart"/>
      <w:r w:rsidRPr="00657DC4">
        <w:t>three</w:t>
      </w:r>
      <w:proofErr w:type="spellEnd"/>
      <w:r w:rsidRPr="00657DC4">
        <w:t xml:space="preserve"> </w:t>
      </w:r>
      <w:proofErr w:type="spellStart"/>
      <w:r w:rsidRPr="00657DC4">
        <w:t>paradigm</w:t>
      </w:r>
      <w:proofErr w:type="spellEnd"/>
      <w:r w:rsidRPr="00657DC4">
        <w:t xml:space="preserve"> </w:t>
      </w:r>
      <w:proofErr w:type="spellStart"/>
      <w:r w:rsidRPr="00657DC4">
        <w:t>shifts</w:t>
      </w:r>
      <w:proofErr w:type="spellEnd"/>
      <w:r w:rsidRPr="00657DC4">
        <w:t xml:space="preserve"> </w:t>
      </w:r>
      <w:proofErr w:type="spellStart"/>
      <w:r w:rsidRPr="00657DC4">
        <w:t>demand</w:t>
      </w:r>
      <w:proofErr w:type="spellEnd"/>
      <w:r w:rsidRPr="00657DC4">
        <w:t xml:space="preserve"> </w:t>
      </w:r>
      <w:proofErr w:type="spellStart"/>
      <w:r w:rsidRPr="00657DC4">
        <w:t>radical</w:t>
      </w:r>
      <w:proofErr w:type="spellEnd"/>
      <w:r w:rsidRPr="00657DC4">
        <w:t xml:space="preserve"> </w:t>
      </w:r>
      <w:proofErr w:type="spellStart"/>
      <w:r w:rsidRPr="00657DC4">
        <w:t>reinvention</w:t>
      </w:r>
      <w:proofErr w:type="spellEnd"/>
      <w:r w:rsidRPr="00657DC4">
        <w:t xml:space="preserve"> </w:t>
      </w:r>
      <w:proofErr w:type="spellStart"/>
      <w:r w:rsidRPr="00657DC4">
        <w:t>by</w:t>
      </w:r>
      <w:proofErr w:type="spellEnd"/>
      <w:r w:rsidRPr="00657DC4">
        <w:t xml:space="preserve"> 2028:</w:t>
      </w:r>
    </w:p>
    <w:p w14:paraId="11C6931D" w14:textId="77777777" w:rsidR="00657DC4" w:rsidRPr="00657DC4" w:rsidRDefault="00657DC4" w:rsidP="00657DC4">
      <w:pPr>
        <w:numPr>
          <w:ilvl w:val="0"/>
          <w:numId w:val="1"/>
        </w:numPr>
        <w:rPr>
          <w:lang w:val="en-US"/>
        </w:rPr>
      </w:pPr>
      <w:r w:rsidRPr="00657DC4">
        <w:rPr>
          <w:b/>
          <w:bCs/>
          <w:lang w:val="en-US"/>
        </w:rPr>
        <w:t>AI-First Buyer Journeys</w:t>
      </w:r>
      <w:r w:rsidRPr="00657DC4">
        <w:rPr>
          <w:lang w:val="en-US"/>
        </w:rPr>
        <w:t>: 70% of B2B research will be conducted via conversational AI</w:t>
      </w:r>
    </w:p>
    <w:p w14:paraId="0A067257" w14:textId="77777777" w:rsidR="00657DC4" w:rsidRPr="00657DC4" w:rsidRDefault="00657DC4" w:rsidP="00657DC4">
      <w:pPr>
        <w:numPr>
          <w:ilvl w:val="0"/>
          <w:numId w:val="1"/>
        </w:numPr>
        <w:rPr>
          <w:lang w:val="en-US"/>
        </w:rPr>
      </w:pPr>
      <w:r w:rsidRPr="00657DC4">
        <w:rPr>
          <w:b/>
          <w:bCs/>
          <w:lang w:val="en-US"/>
        </w:rPr>
        <w:t>Predictive Demand Sensing</w:t>
      </w:r>
      <w:r w:rsidRPr="00657DC4">
        <w:rPr>
          <w:lang w:val="en-US"/>
        </w:rPr>
        <w:t>: IoT data from customer operations will reveal needs before RFPs</w:t>
      </w:r>
    </w:p>
    <w:p w14:paraId="345D2CED" w14:textId="77777777" w:rsidR="00657DC4" w:rsidRPr="00657DC4" w:rsidRDefault="00657DC4" w:rsidP="00657DC4">
      <w:pPr>
        <w:numPr>
          <w:ilvl w:val="0"/>
          <w:numId w:val="1"/>
        </w:numPr>
        <w:rPr>
          <w:lang w:val="en-US"/>
        </w:rPr>
      </w:pPr>
      <w:r w:rsidRPr="00657DC4">
        <w:rPr>
          <w:b/>
          <w:bCs/>
          <w:lang w:val="en-US"/>
        </w:rPr>
        <w:t>Immersive Industrial Metaverse</w:t>
      </w:r>
      <w:r w:rsidRPr="00657DC4">
        <w:rPr>
          <w:lang w:val="en-US"/>
        </w:rPr>
        <w:t>: Product experiences will shift to persistent digital twin environments</w:t>
      </w:r>
    </w:p>
    <w:p w14:paraId="75915836" w14:textId="77777777" w:rsidR="00657DC4" w:rsidRPr="00657DC4" w:rsidRDefault="00657DC4" w:rsidP="00657DC4">
      <w:pPr>
        <w:rPr>
          <w:lang w:val="en-US"/>
        </w:rPr>
      </w:pPr>
      <w:r w:rsidRPr="00657DC4">
        <w:rPr>
          <w:lang w:val="en-US"/>
        </w:rPr>
        <w:t xml:space="preserve">This plan transforms </w:t>
      </w:r>
      <w:proofErr w:type="spellStart"/>
      <w:r w:rsidRPr="00657DC4">
        <w:rPr>
          <w:lang w:val="en-US"/>
        </w:rPr>
        <w:t>NextTech</w:t>
      </w:r>
      <w:proofErr w:type="spellEnd"/>
      <w:r w:rsidRPr="00657DC4">
        <w:rPr>
          <w:lang w:val="en-US"/>
        </w:rPr>
        <w:t xml:space="preserve"> Marketing from a campaign-driven function to an </w:t>
      </w:r>
      <w:r w:rsidRPr="00657DC4">
        <w:rPr>
          <w:b/>
          <w:bCs/>
          <w:lang w:val="en-US"/>
        </w:rPr>
        <w:t>autonomous demand generation system</w:t>
      </w:r>
      <w:r w:rsidRPr="00657DC4">
        <w:rPr>
          <w:lang w:val="en-US"/>
        </w:rPr>
        <w:t> that anticipates customer needs, personalizes at scale, and converts interest into revenue through AI-optimized experiences.</w:t>
      </w:r>
    </w:p>
    <w:p w14:paraId="63F200D5" w14:textId="77777777" w:rsidR="00657DC4" w:rsidRPr="00657DC4" w:rsidRDefault="00657DC4" w:rsidP="00657DC4">
      <w:r w:rsidRPr="00657DC4">
        <w:rPr>
          <w:b/>
          <w:bCs/>
        </w:rPr>
        <w:t xml:space="preserve">2. 2026-2028 Vision &amp; Strategic </w:t>
      </w:r>
      <w:proofErr w:type="spellStart"/>
      <w:r w:rsidRPr="00657DC4">
        <w:rPr>
          <w:b/>
          <w:bCs/>
        </w:rPr>
        <w:t>Shifts</w:t>
      </w:r>
      <w:proofErr w:type="spellEnd"/>
    </w:p>
    <w:p w14:paraId="5616D6E6" w14:textId="77777777" w:rsidR="00657DC4" w:rsidRPr="00657DC4" w:rsidRDefault="00657DC4" w:rsidP="00657DC4">
      <w:proofErr w:type="spellStart"/>
      <w:r w:rsidRPr="00657DC4">
        <w:rPr>
          <w:b/>
          <w:bCs/>
        </w:rPr>
        <w:t>From</w:t>
      </w:r>
      <w:proofErr w:type="spellEnd"/>
      <w:r w:rsidRPr="00657DC4">
        <w:t> → </w:t>
      </w:r>
      <w:proofErr w:type="spellStart"/>
      <w:r w:rsidRPr="00657DC4">
        <w:rPr>
          <w:b/>
          <w:bCs/>
        </w:rPr>
        <w:t>To</w:t>
      </w:r>
      <w:proofErr w:type="spellEnd"/>
    </w:p>
    <w:p w14:paraId="453F287F" w14:textId="77777777" w:rsidR="00657DC4" w:rsidRPr="00657DC4" w:rsidRDefault="00657DC4" w:rsidP="00657DC4">
      <w:pPr>
        <w:numPr>
          <w:ilvl w:val="0"/>
          <w:numId w:val="2"/>
        </w:numPr>
        <w:rPr>
          <w:lang w:val="en-US"/>
        </w:rPr>
      </w:pPr>
      <w:r w:rsidRPr="00657DC4">
        <w:rPr>
          <w:b/>
          <w:bCs/>
          <w:lang w:val="en-US"/>
        </w:rPr>
        <w:t>Outbound Campaigns</w:t>
      </w:r>
      <w:r w:rsidRPr="00657DC4">
        <w:rPr>
          <w:lang w:val="en-US"/>
        </w:rPr>
        <w:t> → </w:t>
      </w:r>
      <w:r w:rsidRPr="00657DC4">
        <w:rPr>
          <w:b/>
          <w:bCs/>
          <w:lang w:val="en-US"/>
        </w:rPr>
        <w:t>Anticipatory Engagement</w:t>
      </w:r>
      <w:r w:rsidRPr="00657DC4">
        <w:rPr>
          <w:lang w:val="en-US"/>
        </w:rPr>
        <w:t> (AI predicting customer needs 90 days ahead)</w:t>
      </w:r>
    </w:p>
    <w:p w14:paraId="23015C0B" w14:textId="77777777" w:rsidR="00657DC4" w:rsidRPr="00657DC4" w:rsidRDefault="00657DC4" w:rsidP="00657DC4">
      <w:pPr>
        <w:numPr>
          <w:ilvl w:val="0"/>
          <w:numId w:val="2"/>
        </w:numPr>
        <w:rPr>
          <w:lang w:val="en-US"/>
        </w:rPr>
      </w:pPr>
      <w:r w:rsidRPr="00657DC4">
        <w:rPr>
          <w:b/>
          <w:bCs/>
          <w:lang w:val="en-US"/>
        </w:rPr>
        <w:t>Static Content</w:t>
      </w:r>
      <w:r w:rsidRPr="00657DC4">
        <w:rPr>
          <w:lang w:val="en-US"/>
        </w:rPr>
        <w:t> → </w:t>
      </w:r>
      <w:r w:rsidRPr="00657DC4">
        <w:rPr>
          <w:b/>
          <w:bCs/>
          <w:lang w:val="en-US"/>
        </w:rPr>
        <w:t>Living Knowledge Assets</w:t>
      </w:r>
      <w:r w:rsidRPr="00657DC4">
        <w:rPr>
          <w:lang w:val="en-US"/>
        </w:rPr>
        <w:t> (Self-updating technical materials powered by product usage data)</w:t>
      </w:r>
    </w:p>
    <w:p w14:paraId="0634C58D" w14:textId="77777777" w:rsidR="00657DC4" w:rsidRPr="00657DC4" w:rsidRDefault="00657DC4" w:rsidP="00657DC4">
      <w:pPr>
        <w:numPr>
          <w:ilvl w:val="0"/>
          <w:numId w:val="2"/>
        </w:numPr>
        <w:rPr>
          <w:lang w:val="en-US"/>
        </w:rPr>
      </w:pPr>
      <w:r w:rsidRPr="00657DC4">
        <w:rPr>
          <w:b/>
          <w:bCs/>
          <w:lang w:val="en-US"/>
        </w:rPr>
        <w:t>Lead Generation</w:t>
      </w:r>
      <w:r w:rsidRPr="00657DC4">
        <w:rPr>
          <w:lang w:val="en-US"/>
        </w:rPr>
        <w:t> → </w:t>
      </w:r>
      <w:r w:rsidRPr="00657DC4">
        <w:rPr>
          <w:b/>
          <w:bCs/>
          <w:lang w:val="en-US"/>
        </w:rPr>
        <w:t>Revenue Orchestration</w:t>
      </w:r>
      <w:r w:rsidRPr="00657DC4">
        <w:rPr>
          <w:lang w:val="en-US"/>
        </w:rPr>
        <w:t> (Seamless handoffs between marketing AI and sales digital twins)</w:t>
      </w:r>
    </w:p>
    <w:p w14:paraId="318B6480" w14:textId="77777777" w:rsidR="00657DC4" w:rsidRPr="00657DC4" w:rsidRDefault="00657DC4" w:rsidP="00657DC4">
      <w:pPr>
        <w:rPr>
          <w:lang w:val="en-US"/>
        </w:rPr>
      </w:pPr>
      <w:r w:rsidRPr="00657DC4">
        <w:rPr>
          <w:b/>
          <w:bCs/>
          <w:lang w:val="en-US"/>
        </w:rPr>
        <w:t>North Star Metric</w:t>
      </w:r>
      <w:r w:rsidRPr="00657DC4">
        <w:rPr>
          <w:lang w:val="en-US"/>
        </w:rPr>
        <w:t>: </w:t>
      </w:r>
      <w:r w:rsidRPr="00657DC4">
        <w:rPr>
          <w:b/>
          <w:bCs/>
          <w:lang w:val="en-US"/>
        </w:rPr>
        <w:t>Autonomous Pipeline Contribution</w:t>
      </w:r>
      <w:r w:rsidRPr="00657DC4">
        <w:rPr>
          <w:lang w:val="en-US"/>
        </w:rPr>
        <w:t> (40% of qualified opportunities generated without human intervention by 2028)</w:t>
      </w:r>
    </w:p>
    <w:p w14:paraId="4B9B57C5" w14:textId="77777777" w:rsidR="00657DC4" w:rsidRPr="00657DC4" w:rsidRDefault="00657DC4" w:rsidP="00657DC4">
      <w:pPr>
        <w:rPr>
          <w:lang w:val="en-US"/>
        </w:rPr>
      </w:pPr>
      <w:r w:rsidRPr="00657DC4">
        <w:rPr>
          <w:b/>
          <w:bCs/>
          <w:lang w:val="en-US"/>
        </w:rPr>
        <w:t>3. Strategic Execution: Building the Cognitive Marketing Ecosystem</w:t>
      </w:r>
    </w:p>
    <w:p w14:paraId="2182EF2B" w14:textId="77777777" w:rsidR="00657DC4" w:rsidRPr="00657DC4" w:rsidRDefault="00657DC4" w:rsidP="00657DC4">
      <w:pPr>
        <w:rPr>
          <w:lang w:val="en-US"/>
        </w:rPr>
      </w:pPr>
      <w:r w:rsidRPr="00657DC4">
        <w:rPr>
          <w:b/>
          <w:bCs/>
          <w:lang w:val="en-US"/>
        </w:rPr>
        <w:t>3.1 The Predictive Demand Engine (2026)</w:t>
      </w:r>
    </w:p>
    <w:p w14:paraId="371E0CDA" w14:textId="77777777" w:rsidR="00657DC4" w:rsidRPr="00657DC4" w:rsidRDefault="00657DC4" w:rsidP="00657DC4">
      <w:pPr>
        <w:rPr>
          <w:lang w:val="en-US"/>
        </w:rPr>
      </w:pPr>
      <w:proofErr w:type="spellStart"/>
      <w:r w:rsidRPr="00657DC4">
        <w:rPr>
          <w:lang w:val="en-US"/>
        </w:rPr>
        <w:t>NextTech</w:t>
      </w:r>
      <w:proofErr w:type="spellEnd"/>
      <w:r w:rsidRPr="00657DC4">
        <w:rPr>
          <w:lang w:val="en-US"/>
        </w:rPr>
        <w:t xml:space="preserve"> will deploy neural networks that analyze real-time signals from 50,000+ connected customer assets to predict demand before it materializes. When IoT sensors in a BMW plant show abnormal wear patterns on our automation modules, the system doesn't wait for a procurement contact—it automatically:</w:t>
      </w:r>
    </w:p>
    <w:p w14:paraId="16DFE4EF" w14:textId="77777777" w:rsidR="00657DC4" w:rsidRPr="00657DC4" w:rsidRDefault="00657DC4" w:rsidP="00657DC4">
      <w:pPr>
        <w:numPr>
          <w:ilvl w:val="0"/>
          <w:numId w:val="3"/>
        </w:numPr>
        <w:rPr>
          <w:lang w:val="en-US"/>
        </w:rPr>
      </w:pPr>
      <w:r w:rsidRPr="00657DC4">
        <w:rPr>
          <w:lang w:val="en-US"/>
        </w:rPr>
        <w:lastRenderedPageBreak/>
        <w:t>Triggers a micro-campaign educating maintenance teams on predictive replacement benefits</w:t>
      </w:r>
    </w:p>
    <w:p w14:paraId="265E6138" w14:textId="77777777" w:rsidR="00657DC4" w:rsidRPr="00657DC4" w:rsidRDefault="00657DC4" w:rsidP="00657DC4">
      <w:pPr>
        <w:numPr>
          <w:ilvl w:val="0"/>
          <w:numId w:val="3"/>
        </w:numPr>
        <w:rPr>
          <w:lang w:val="en-US"/>
        </w:rPr>
      </w:pPr>
      <w:r w:rsidRPr="00657DC4">
        <w:rPr>
          <w:lang w:val="en-US"/>
        </w:rPr>
        <w:t>Generates a personalized ROI model based on that plant's actual downtime costs</w:t>
      </w:r>
    </w:p>
    <w:p w14:paraId="0DC46442" w14:textId="77777777" w:rsidR="00657DC4" w:rsidRPr="00657DC4" w:rsidRDefault="00657DC4" w:rsidP="00657DC4">
      <w:pPr>
        <w:numPr>
          <w:ilvl w:val="0"/>
          <w:numId w:val="3"/>
        </w:numPr>
        <w:rPr>
          <w:lang w:val="en-US"/>
        </w:rPr>
      </w:pPr>
      <w:r w:rsidRPr="00657DC4">
        <w:rPr>
          <w:lang w:val="en-US"/>
        </w:rPr>
        <w:t>Reserves inventory in the nearest warehouse while alerting the sales digital twin</w:t>
      </w:r>
    </w:p>
    <w:p w14:paraId="4246F352" w14:textId="77777777" w:rsidR="00657DC4" w:rsidRPr="00657DC4" w:rsidRDefault="00657DC4" w:rsidP="00657DC4">
      <w:pPr>
        <w:rPr>
          <w:lang w:val="en-US"/>
        </w:rPr>
      </w:pPr>
      <w:r w:rsidRPr="00657DC4">
        <w:rPr>
          <w:lang w:val="en-US"/>
        </w:rPr>
        <w:t>This approach reduced sales cycles by 35% in our Munich pilot, as customers received solutions before formally recognizing problems.</w:t>
      </w:r>
    </w:p>
    <w:p w14:paraId="36F1653C" w14:textId="77777777" w:rsidR="00657DC4" w:rsidRPr="00657DC4" w:rsidRDefault="00657DC4" w:rsidP="00657DC4">
      <w:pPr>
        <w:rPr>
          <w:lang w:val="en-US"/>
        </w:rPr>
      </w:pPr>
      <w:r w:rsidRPr="00657DC4">
        <w:rPr>
          <w:b/>
          <w:bCs/>
          <w:lang w:val="en-US"/>
        </w:rPr>
        <w:t>3.2 Living Content Architecture (2027)</w:t>
      </w:r>
    </w:p>
    <w:p w14:paraId="65C57D78" w14:textId="77777777" w:rsidR="00657DC4" w:rsidRPr="00657DC4" w:rsidRDefault="00657DC4" w:rsidP="00657DC4">
      <w:pPr>
        <w:rPr>
          <w:lang w:val="en-US"/>
        </w:rPr>
      </w:pPr>
      <w:r w:rsidRPr="00657DC4">
        <w:rPr>
          <w:lang w:val="en-US"/>
        </w:rPr>
        <w:t>Our content ecosystem will evolve from static assets to self-maintaining knowledge organisms. Technical whitepapers will automatically update when new product features launch, with changes highlighted based on each reader's historical engagement. The "Factory of the Future" thought leadership program will transform into an immersive digital twin environment where customers:</w:t>
      </w:r>
    </w:p>
    <w:p w14:paraId="646B5A28" w14:textId="77777777" w:rsidR="00657DC4" w:rsidRPr="00657DC4" w:rsidRDefault="00657DC4" w:rsidP="00657DC4">
      <w:pPr>
        <w:numPr>
          <w:ilvl w:val="0"/>
          <w:numId w:val="4"/>
        </w:numPr>
        <w:rPr>
          <w:lang w:val="en-US"/>
        </w:rPr>
      </w:pPr>
      <w:r w:rsidRPr="00657DC4">
        <w:rPr>
          <w:lang w:val="en-US"/>
        </w:rPr>
        <w:t>Test automation concepts in real-time simulations</w:t>
      </w:r>
    </w:p>
    <w:p w14:paraId="056E8A26" w14:textId="77777777" w:rsidR="00657DC4" w:rsidRPr="00657DC4" w:rsidRDefault="00657DC4" w:rsidP="00657DC4">
      <w:pPr>
        <w:numPr>
          <w:ilvl w:val="0"/>
          <w:numId w:val="4"/>
        </w:numPr>
        <w:rPr>
          <w:lang w:val="en-US"/>
        </w:rPr>
      </w:pPr>
      <w:r w:rsidRPr="00657DC4">
        <w:rPr>
          <w:lang w:val="en-US"/>
        </w:rPr>
        <w:t xml:space="preserve">Collaborate with </w:t>
      </w:r>
      <w:proofErr w:type="spellStart"/>
      <w:r w:rsidRPr="00657DC4">
        <w:rPr>
          <w:lang w:val="en-US"/>
        </w:rPr>
        <w:t>NextTech</w:t>
      </w:r>
      <w:proofErr w:type="spellEnd"/>
      <w:r w:rsidRPr="00657DC4">
        <w:rPr>
          <w:lang w:val="en-US"/>
        </w:rPr>
        <w:t xml:space="preserve"> engineers via holographic workspaces</w:t>
      </w:r>
    </w:p>
    <w:p w14:paraId="7CB69091" w14:textId="77777777" w:rsidR="00657DC4" w:rsidRPr="00657DC4" w:rsidRDefault="00657DC4" w:rsidP="00657DC4">
      <w:pPr>
        <w:numPr>
          <w:ilvl w:val="0"/>
          <w:numId w:val="4"/>
        </w:numPr>
        <w:rPr>
          <w:lang w:val="en-US"/>
        </w:rPr>
      </w:pPr>
      <w:r w:rsidRPr="00657DC4">
        <w:rPr>
          <w:lang w:val="en-US"/>
        </w:rPr>
        <w:t>See personalized impact projections based on their facility data</w:t>
      </w:r>
    </w:p>
    <w:p w14:paraId="02D516CC" w14:textId="77777777" w:rsidR="00657DC4" w:rsidRDefault="00657DC4" w:rsidP="00657DC4">
      <w:pPr>
        <w:rPr>
          <w:lang w:val="en-US"/>
        </w:rPr>
      </w:pPr>
      <w:r w:rsidRPr="00657DC4">
        <w:rPr>
          <w:lang w:val="en-US"/>
        </w:rPr>
        <w:t>A German automotive supplier recently configured a €2.1M system entirely within this environment before engaging sales—cutting negotiation time by 60%.</w:t>
      </w:r>
    </w:p>
    <w:p w14:paraId="780DB124" w14:textId="55B44FD4" w:rsidR="0086696A" w:rsidRPr="00657DC4" w:rsidRDefault="0086696A" w:rsidP="00657DC4">
      <w:pPr>
        <w:rPr>
          <w:lang w:val="en-US"/>
        </w:rPr>
      </w:pPr>
      <w:r>
        <w:rPr>
          <w:lang w:val="en-US"/>
        </w:rPr>
        <w:t>This strategy has shared responsibilities between several different process owners.</w:t>
      </w:r>
    </w:p>
    <w:p w14:paraId="43D836FF" w14:textId="77777777" w:rsidR="00657DC4" w:rsidRPr="00657DC4" w:rsidRDefault="00657DC4" w:rsidP="00657DC4">
      <w:pPr>
        <w:rPr>
          <w:lang w:val="en-US"/>
        </w:rPr>
      </w:pPr>
      <w:r w:rsidRPr="00657DC4">
        <w:rPr>
          <w:b/>
          <w:bCs/>
          <w:lang w:val="en-US"/>
        </w:rPr>
        <w:t>3.3 Autonomous Conversion Networks (2028)</w:t>
      </w:r>
    </w:p>
    <w:p w14:paraId="58C2B8E4" w14:textId="77777777" w:rsidR="00657DC4" w:rsidRPr="00657DC4" w:rsidRDefault="00657DC4" w:rsidP="00657DC4">
      <w:pPr>
        <w:rPr>
          <w:lang w:val="en-US"/>
        </w:rPr>
      </w:pPr>
      <w:r w:rsidRPr="00657DC4">
        <w:rPr>
          <w:lang w:val="en-US"/>
        </w:rPr>
        <w:t>Marketing and sales will merge into a continuous AI-driven revenue flow:</w:t>
      </w:r>
    </w:p>
    <w:p w14:paraId="413BF505" w14:textId="77777777" w:rsidR="00657DC4" w:rsidRPr="00657DC4" w:rsidRDefault="00657DC4" w:rsidP="00657DC4">
      <w:pPr>
        <w:numPr>
          <w:ilvl w:val="0"/>
          <w:numId w:val="5"/>
        </w:numPr>
        <w:rPr>
          <w:lang w:val="en-US"/>
        </w:rPr>
      </w:pPr>
      <w:r w:rsidRPr="00657DC4">
        <w:rPr>
          <w:b/>
          <w:bCs/>
          <w:lang w:val="en-US"/>
        </w:rPr>
        <w:t>Conversational AI Avatars</w:t>
      </w:r>
      <w:r w:rsidRPr="00657DC4">
        <w:rPr>
          <w:lang w:val="en-US"/>
        </w:rPr>
        <w:t> handle 80% of pre-sales technical queries by accessing real-time product data and customer usage patterns</w:t>
      </w:r>
    </w:p>
    <w:p w14:paraId="343393C3" w14:textId="77777777" w:rsidR="00657DC4" w:rsidRPr="00657DC4" w:rsidRDefault="00657DC4" w:rsidP="00657DC4">
      <w:pPr>
        <w:numPr>
          <w:ilvl w:val="0"/>
          <w:numId w:val="5"/>
        </w:numPr>
        <w:rPr>
          <w:lang w:val="en-US"/>
        </w:rPr>
      </w:pPr>
      <w:r w:rsidRPr="00657DC4">
        <w:rPr>
          <w:b/>
          <w:bCs/>
          <w:lang w:val="en-US"/>
        </w:rPr>
        <w:t>Self-Optimizing Campaigns</w:t>
      </w:r>
      <w:r w:rsidRPr="00657DC4">
        <w:rPr>
          <w:lang w:val="en-US"/>
        </w:rPr>
        <w:t> automatically adjust messaging and channel mix based on live pipeline impact</w:t>
      </w:r>
    </w:p>
    <w:p w14:paraId="39B87C9A" w14:textId="77777777" w:rsidR="00657DC4" w:rsidRPr="00657DC4" w:rsidRDefault="00657DC4" w:rsidP="00657DC4">
      <w:pPr>
        <w:numPr>
          <w:ilvl w:val="0"/>
          <w:numId w:val="5"/>
        </w:numPr>
        <w:rPr>
          <w:lang w:val="en-US"/>
        </w:rPr>
      </w:pPr>
      <w:r w:rsidRPr="00657DC4">
        <w:rPr>
          <w:b/>
          <w:bCs/>
          <w:lang w:val="en-US"/>
        </w:rPr>
        <w:t>Blockchain Attribution</w:t>
      </w:r>
      <w:r w:rsidRPr="00657DC4">
        <w:rPr>
          <w:lang w:val="en-US"/>
        </w:rPr>
        <w:t> provides immutable proof of marketing influence across complex, multi-year deals</w:t>
      </w:r>
    </w:p>
    <w:p w14:paraId="7590F4D6" w14:textId="77777777" w:rsidR="00657DC4" w:rsidRPr="00657DC4" w:rsidRDefault="00657DC4" w:rsidP="00657DC4">
      <w:pPr>
        <w:rPr>
          <w:lang w:val="en-US"/>
        </w:rPr>
      </w:pPr>
      <w:r w:rsidRPr="00657DC4">
        <w:rPr>
          <w:lang w:val="en-US"/>
        </w:rPr>
        <w:t>When a French energy company explored our carbon-neutral automation solutions, the system:</w:t>
      </w:r>
    </w:p>
    <w:p w14:paraId="550DAE3A" w14:textId="77777777" w:rsidR="00657DC4" w:rsidRPr="00657DC4" w:rsidRDefault="00657DC4" w:rsidP="00657DC4">
      <w:pPr>
        <w:numPr>
          <w:ilvl w:val="0"/>
          <w:numId w:val="6"/>
        </w:numPr>
        <w:rPr>
          <w:lang w:val="en-US"/>
        </w:rPr>
      </w:pPr>
      <w:r w:rsidRPr="00657DC4">
        <w:rPr>
          <w:lang w:val="en-US"/>
        </w:rPr>
        <w:t>Detected their sustainability report citations via NLP</w:t>
      </w:r>
    </w:p>
    <w:p w14:paraId="08E1C3E9" w14:textId="77777777" w:rsidR="00657DC4" w:rsidRPr="00657DC4" w:rsidRDefault="00657DC4" w:rsidP="00657DC4">
      <w:pPr>
        <w:numPr>
          <w:ilvl w:val="0"/>
          <w:numId w:val="6"/>
        </w:numPr>
        <w:rPr>
          <w:lang w:val="en-US"/>
        </w:rPr>
      </w:pPr>
      <w:r w:rsidRPr="00657DC4">
        <w:rPr>
          <w:lang w:val="en-US"/>
        </w:rPr>
        <w:t>Assembled a custom proposal integrating their published emissions targets</w:t>
      </w:r>
    </w:p>
    <w:p w14:paraId="58257724" w14:textId="77777777" w:rsidR="00657DC4" w:rsidRPr="00657DC4" w:rsidRDefault="00657DC4" w:rsidP="00657DC4">
      <w:pPr>
        <w:numPr>
          <w:ilvl w:val="0"/>
          <w:numId w:val="6"/>
        </w:numPr>
        <w:rPr>
          <w:lang w:val="en-US"/>
        </w:rPr>
      </w:pPr>
      <w:r w:rsidRPr="00657DC4">
        <w:rPr>
          <w:lang w:val="en-US"/>
        </w:rPr>
        <w:t>Scheduled a meeting with their CFO during a detected budget planning window</w:t>
      </w:r>
    </w:p>
    <w:p w14:paraId="30589471" w14:textId="77777777" w:rsidR="00657DC4" w:rsidRPr="00657DC4" w:rsidRDefault="00657DC4" w:rsidP="00657DC4">
      <w:r w:rsidRPr="00657DC4">
        <w:rPr>
          <w:b/>
          <w:bCs/>
        </w:rPr>
        <w:lastRenderedPageBreak/>
        <w:t>4. Implementation Horizon</w:t>
      </w:r>
    </w:p>
    <w:tbl>
      <w:tblPr>
        <w:tblW w:w="0" w:type="auto"/>
        <w:tblCellMar>
          <w:top w:w="15" w:type="dxa"/>
          <w:left w:w="15" w:type="dxa"/>
          <w:bottom w:w="15" w:type="dxa"/>
          <w:right w:w="15" w:type="dxa"/>
        </w:tblCellMar>
        <w:tblLook w:val="04A0" w:firstRow="1" w:lastRow="0" w:firstColumn="1" w:lastColumn="0" w:noHBand="0" w:noVBand="1"/>
      </w:tblPr>
      <w:tblGrid>
        <w:gridCol w:w="2337"/>
        <w:gridCol w:w="1241"/>
        <w:gridCol w:w="5494"/>
      </w:tblGrid>
      <w:tr w:rsidR="00657DC4" w:rsidRPr="00657DC4" w14:paraId="16E7352E" w14:textId="77777777" w:rsidTr="00657DC4">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14:paraId="51439043" w14:textId="77777777" w:rsidR="00657DC4" w:rsidRPr="00657DC4" w:rsidRDefault="00657DC4" w:rsidP="00657DC4">
            <w:pPr>
              <w:rPr>
                <w:b/>
                <w:bCs/>
              </w:rPr>
            </w:pPr>
            <w:r w:rsidRPr="00657DC4">
              <w:rPr>
                <w:b/>
                <w:bCs/>
              </w:rPr>
              <w:t>Phase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280232AF" w14:textId="77777777" w:rsidR="00657DC4" w:rsidRPr="00657DC4" w:rsidRDefault="00657DC4" w:rsidP="00657DC4">
            <w:pPr>
              <w:rPr>
                <w:b/>
                <w:bCs/>
              </w:rPr>
            </w:pPr>
            <w:r w:rsidRPr="00657DC4">
              <w:rPr>
                <w:b/>
                <w:bCs/>
              </w:rPr>
              <w:t>Timeline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14:paraId="775F1CF7" w14:textId="77777777" w:rsidR="00657DC4" w:rsidRPr="00657DC4" w:rsidRDefault="00657DC4" w:rsidP="00657DC4">
            <w:pPr>
              <w:rPr>
                <w:b/>
                <w:bCs/>
              </w:rPr>
            </w:pPr>
            <w:r w:rsidRPr="00657DC4">
              <w:rPr>
                <w:b/>
                <w:bCs/>
              </w:rPr>
              <w:t>Key Breakthroughs</w:t>
            </w:r>
          </w:p>
        </w:tc>
      </w:tr>
      <w:tr w:rsidR="00657DC4" w:rsidRPr="0086696A" w14:paraId="0802CDDB" w14:textId="77777777" w:rsidTr="00657DC4">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3EEFEC85" w14:textId="77777777" w:rsidR="00657DC4" w:rsidRPr="00657DC4" w:rsidRDefault="00657DC4" w:rsidP="00657DC4">
            <w:proofErr w:type="spellStart"/>
            <w:r w:rsidRPr="00657DC4">
              <w:rPr>
                <w:b/>
                <w:bCs/>
              </w:rPr>
              <w:t>Predictive</w:t>
            </w:r>
            <w:proofErr w:type="spellEnd"/>
            <w:r w:rsidRPr="00657DC4">
              <w:rPr>
                <w:b/>
                <w:bCs/>
              </w:rPr>
              <w:t xml:space="preserve"> </w:t>
            </w:r>
            <w:proofErr w:type="spellStart"/>
            <w:r w:rsidRPr="00657DC4">
              <w:rPr>
                <w:b/>
                <w:bCs/>
              </w:rPr>
              <w:t>Activation</w:t>
            </w:r>
            <w:proofErr w:type="spellEnd"/>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155176BF" w14:textId="77777777" w:rsidR="00657DC4" w:rsidRPr="00657DC4" w:rsidRDefault="00657DC4" w:rsidP="00657DC4">
            <w:r w:rsidRPr="00657DC4">
              <w:t>2026</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1453B5A" w14:textId="77777777" w:rsidR="00657DC4" w:rsidRPr="00657DC4" w:rsidRDefault="00657DC4" w:rsidP="00657DC4">
            <w:pPr>
              <w:rPr>
                <w:lang w:val="en-US"/>
              </w:rPr>
            </w:pPr>
            <w:r w:rsidRPr="00657DC4">
              <w:rPr>
                <w:lang w:val="en-US"/>
              </w:rPr>
              <w:t>IoT demand sensing live • First self-updating whitepapers</w:t>
            </w:r>
          </w:p>
        </w:tc>
      </w:tr>
      <w:tr w:rsidR="00657DC4" w:rsidRPr="0086696A" w14:paraId="7C0D74A6" w14:textId="77777777" w:rsidTr="00657DC4">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6E9FFC3C" w14:textId="77777777" w:rsidR="00657DC4" w:rsidRPr="00657DC4" w:rsidRDefault="00657DC4" w:rsidP="00657DC4">
            <w:r w:rsidRPr="00657DC4">
              <w:rPr>
                <w:b/>
                <w:bCs/>
              </w:rPr>
              <w:t>Immersive Engagement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0A9C740C" w14:textId="77777777" w:rsidR="00657DC4" w:rsidRPr="00657DC4" w:rsidRDefault="00657DC4" w:rsidP="00657DC4">
            <w:r w:rsidRPr="00657DC4">
              <w:t>2027</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F1CB9B7" w14:textId="77777777" w:rsidR="00657DC4" w:rsidRPr="00657DC4" w:rsidRDefault="00657DC4" w:rsidP="00657DC4">
            <w:pPr>
              <w:rPr>
                <w:lang w:val="en-US"/>
              </w:rPr>
            </w:pPr>
            <w:r w:rsidRPr="00657DC4">
              <w:rPr>
                <w:lang w:val="en-US"/>
              </w:rPr>
              <w:t>Digital twin demo environment • Holographic campaign launches</w:t>
            </w:r>
          </w:p>
        </w:tc>
      </w:tr>
      <w:tr w:rsidR="00657DC4" w:rsidRPr="0086696A" w14:paraId="378F84B2" w14:textId="77777777" w:rsidTr="00657DC4">
        <w:tc>
          <w:tcPr>
            <w:tcW w:w="0" w:type="auto"/>
            <w:tcBorders>
              <w:top w:val="nil"/>
              <w:left w:val="nil"/>
              <w:bottom w:val="single" w:sz="6" w:space="0" w:color="E5E5E5"/>
              <w:right w:val="nil"/>
            </w:tcBorders>
            <w:tcMar>
              <w:top w:w="150" w:type="dxa"/>
              <w:left w:w="0" w:type="dxa"/>
              <w:bottom w:w="150" w:type="dxa"/>
              <w:right w:w="150" w:type="dxa"/>
            </w:tcMar>
            <w:vAlign w:val="center"/>
            <w:hideMark/>
          </w:tcPr>
          <w:p w14:paraId="2B40F5F9" w14:textId="77777777" w:rsidR="00657DC4" w:rsidRPr="00657DC4" w:rsidRDefault="00657DC4" w:rsidP="00657DC4">
            <w:proofErr w:type="spellStart"/>
            <w:r w:rsidRPr="00657DC4">
              <w:rPr>
                <w:b/>
                <w:bCs/>
              </w:rPr>
              <w:t>Autonomous</w:t>
            </w:r>
            <w:proofErr w:type="spellEnd"/>
            <w:r w:rsidRPr="00657DC4">
              <w:rPr>
                <w:b/>
                <w:bCs/>
              </w:rPr>
              <w:t xml:space="preserve"> Revenue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76291A0F" w14:textId="77777777" w:rsidR="00657DC4" w:rsidRPr="00657DC4" w:rsidRDefault="00657DC4" w:rsidP="00657DC4">
            <w:r w:rsidRPr="00657DC4">
              <w:t>2028</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14:paraId="21D9B207" w14:textId="77777777" w:rsidR="00657DC4" w:rsidRPr="00657DC4" w:rsidRDefault="00657DC4" w:rsidP="00657DC4">
            <w:pPr>
              <w:rPr>
                <w:lang w:val="en-US"/>
              </w:rPr>
            </w:pPr>
            <w:r w:rsidRPr="00657DC4">
              <w:rPr>
                <w:lang w:val="en-US"/>
              </w:rPr>
              <w:t>AI avatars handle 40% of pipeline • Blockchain attribution standard</w:t>
            </w:r>
          </w:p>
        </w:tc>
      </w:tr>
    </w:tbl>
    <w:p w14:paraId="17E26573" w14:textId="77777777" w:rsidR="00657DC4" w:rsidRPr="00657DC4" w:rsidRDefault="00657DC4" w:rsidP="00657DC4">
      <w:pPr>
        <w:rPr>
          <w:lang w:val="en-US"/>
        </w:rPr>
      </w:pPr>
      <w:r w:rsidRPr="00657DC4">
        <w:rPr>
          <w:b/>
          <w:bCs/>
          <w:lang w:val="en-US"/>
        </w:rPr>
        <w:t>5. Future Governance Framework</w:t>
      </w:r>
    </w:p>
    <w:p w14:paraId="635ABCE0" w14:textId="77777777" w:rsidR="00657DC4" w:rsidRPr="00657DC4" w:rsidRDefault="00657DC4" w:rsidP="00657DC4">
      <w:pPr>
        <w:rPr>
          <w:lang w:val="en-US"/>
        </w:rPr>
      </w:pPr>
      <w:r w:rsidRPr="00657DC4">
        <w:rPr>
          <w:b/>
          <w:bCs/>
          <w:lang w:val="en-US"/>
        </w:rPr>
        <w:t>Cognitive Marketing Council</w:t>
      </w:r>
    </w:p>
    <w:p w14:paraId="2B0CBDE2" w14:textId="77777777" w:rsidR="00657DC4" w:rsidRPr="00657DC4" w:rsidRDefault="00657DC4" w:rsidP="00657DC4">
      <w:pPr>
        <w:numPr>
          <w:ilvl w:val="0"/>
          <w:numId w:val="7"/>
        </w:numPr>
        <w:rPr>
          <w:lang w:val="en-US"/>
        </w:rPr>
      </w:pPr>
      <w:r w:rsidRPr="00657DC4">
        <w:rPr>
          <w:b/>
          <w:bCs/>
          <w:lang w:val="en-US"/>
        </w:rPr>
        <w:t>Chief Growth Technologist</w:t>
      </w:r>
      <w:r w:rsidRPr="00657DC4">
        <w:rPr>
          <w:lang w:val="en-US"/>
        </w:rPr>
        <w:t>: Oversees AI-human collaboration</w:t>
      </w:r>
    </w:p>
    <w:p w14:paraId="22DD5F25" w14:textId="77777777" w:rsidR="00657DC4" w:rsidRPr="00657DC4" w:rsidRDefault="00657DC4" w:rsidP="00657DC4">
      <w:pPr>
        <w:numPr>
          <w:ilvl w:val="0"/>
          <w:numId w:val="7"/>
        </w:numPr>
        <w:rPr>
          <w:lang w:val="en-US"/>
        </w:rPr>
      </w:pPr>
      <w:r w:rsidRPr="00657DC4">
        <w:rPr>
          <w:b/>
          <w:bCs/>
          <w:lang w:val="en-US"/>
        </w:rPr>
        <w:t>Metaverse Experience Lab</w:t>
      </w:r>
      <w:r w:rsidRPr="00657DC4">
        <w:rPr>
          <w:lang w:val="en-US"/>
        </w:rPr>
        <w:t>: Designs industrial digital twin environments</w:t>
      </w:r>
    </w:p>
    <w:p w14:paraId="2197D254" w14:textId="77777777" w:rsidR="00657DC4" w:rsidRPr="00657DC4" w:rsidRDefault="00657DC4" w:rsidP="00657DC4">
      <w:pPr>
        <w:numPr>
          <w:ilvl w:val="0"/>
          <w:numId w:val="7"/>
        </w:numPr>
        <w:rPr>
          <w:lang w:val="en-US"/>
        </w:rPr>
      </w:pPr>
      <w:r w:rsidRPr="00657DC4">
        <w:rPr>
          <w:b/>
          <w:bCs/>
          <w:lang w:val="en-US"/>
        </w:rPr>
        <w:t>Ethical AI Review</w:t>
      </w:r>
      <w:r w:rsidRPr="00657DC4">
        <w:rPr>
          <w:lang w:val="en-US"/>
        </w:rPr>
        <w:t>: Ensures transparent algorithmic decision-making</w:t>
      </w:r>
    </w:p>
    <w:p w14:paraId="1CDEAE60" w14:textId="77777777" w:rsidR="00EF4B6B" w:rsidRPr="00657DC4" w:rsidRDefault="00EF4B6B">
      <w:pPr>
        <w:rPr>
          <w:lang w:val="en-US"/>
        </w:rPr>
      </w:pPr>
    </w:p>
    <w:sectPr w:rsidR="00EF4B6B" w:rsidRPr="00657D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3489"/>
    <w:multiLevelType w:val="multilevel"/>
    <w:tmpl w:val="6D14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534745"/>
    <w:multiLevelType w:val="multilevel"/>
    <w:tmpl w:val="A6FE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5088E"/>
    <w:multiLevelType w:val="multilevel"/>
    <w:tmpl w:val="A6EE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E09DB"/>
    <w:multiLevelType w:val="multilevel"/>
    <w:tmpl w:val="9D78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E142A"/>
    <w:multiLevelType w:val="multilevel"/>
    <w:tmpl w:val="80C8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4649CA"/>
    <w:multiLevelType w:val="multilevel"/>
    <w:tmpl w:val="0E84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831B14"/>
    <w:multiLevelType w:val="multilevel"/>
    <w:tmpl w:val="0118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888880">
    <w:abstractNumId w:val="4"/>
  </w:num>
  <w:num w:numId="2" w16cid:durableId="320013653">
    <w:abstractNumId w:val="5"/>
  </w:num>
  <w:num w:numId="3" w16cid:durableId="1900049860">
    <w:abstractNumId w:val="1"/>
  </w:num>
  <w:num w:numId="4" w16cid:durableId="204367594">
    <w:abstractNumId w:val="2"/>
  </w:num>
  <w:num w:numId="5" w16cid:durableId="576671582">
    <w:abstractNumId w:val="6"/>
  </w:num>
  <w:num w:numId="6" w16cid:durableId="996953834">
    <w:abstractNumId w:val="0"/>
  </w:num>
  <w:num w:numId="7" w16cid:durableId="117263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C4"/>
    <w:rsid w:val="0027471E"/>
    <w:rsid w:val="005411A9"/>
    <w:rsid w:val="005A50FD"/>
    <w:rsid w:val="00657DC4"/>
    <w:rsid w:val="0086696A"/>
    <w:rsid w:val="00AD3AA2"/>
    <w:rsid w:val="00EF4B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F6F2B9"/>
  <w15:chartTrackingRefBased/>
  <w15:docId w15:val="{E03B7D14-D83A-4AA7-AED0-E3A26539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7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57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57D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57D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57D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57D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57D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57D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57D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7D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57DC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57D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57D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57D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57D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57D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57D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57DC4"/>
    <w:rPr>
      <w:rFonts w:eastAsiaTheme="majorEastAsia" w:cstheme="majorBidi"/>
      <w:color w:val="272727" w:themeColor="text1" w:themeTint="D8"/>
    </w:rPr>
  </w:style>
  <w:style w:type="paragraph" w:styleId="Titel">
    <w:name w:val="Title"/>
    <w:basedOn w:val="Standard"/>
    <w:next w:val="Standard"/>
    <w:link w:val="TitelZchn"/>
    <w:uiPriority w:val="10"/>
    <w:qFormat/>
    <w:rsid w:val="00657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7D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57D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57D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57D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57DC4"/>
    <w:rPr>
      <w:i/>
      <w:iCs/>
      <w:color w:val="404040" w:themeColor="text1" w:themeTint="BF"/>
    </w:rPr>
  </w:style>
  <w:style w:type="paragraph" w:styleId="Listenabsatz">
    <w:name w:val="List Paragraph"/>
    <w:basedOn w:val="Standard"/>
    <w:uiPriority w:val="34"/>
    <w:qFormat/>
    <w:rsid w:val="00657DC4"/>
    <w:pPr>
      <w:ind w:left="720"/>
      <w:contextualSpacing/>
    </w:pPr>
  </w:style>
  <w:style w:type="character" w:styleId="IntensiveHervorhebung">
    <w:name w:val="Intense Emphasis"/>
    <w:basedOn w:val="Absatz-Standardschriftart"/>
    <w:uiPriority w:val="21"/>
    <w:qFormat/>
    <w:rsid w:val="00657DC4"/>
    <w:rPr>
      <w:i/>
      <w:iCs/>
      <w:color w:val="0F4761" w:themeColor="accent1" w:themeShade="BF"/>
    </w:rPr>
  </w:style>
  <w:style w:type="paragraph" w:styleId="IntensivesZitat">
    <w:name w:val="Intense Quote"/>
    <w:basedOn w:val="Standard"/>
    <w:next w:val="Standard"/>
    <w:link w:val="IntensivesZitatZchn"/>
    <w:uiPriority w:val="30"/>
    <w:qFormat/>
    <w:rsid w:val="00657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57DC4"/>
    <w:rPr>
      <w:i/>
      <w:iCs/>
      <w:color w:val="0F4761" w:themeColor="accent1" w:themeShade="BF"/>
    </w:rPr>
  </w:style>
  <w:style w:type="character" w:styleId="IntensiverVerweis">
    <w:name w:val="Intense Reference"/>
    <w:basedOn w:val="Absatz-Standardschriftart"/>
    <w:uiPriority w:val="32"/>
    <w:qFormat/>
    <w:rsid w:val="00657D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293453">
      <w:bodyDiv w:val="1"/>
      <w:marLeft w:val="0"/>
      <w:marRight w:val="0"/>
      <w:marTop w:val="0"/>
      <w:marBottom w:val="0"/>
      <w:divBdr>
        <w:top w:val="none" w:sz="0" w:space="0" w:color="auto"/>
        <w:left w:val="none" w:sz="0" w:space="0" w:color="auto"/>
        <w:bottom w:val="none" w:sz="0" w:space="0" w:color="auto"/>
        <w:right w:val="none" w:sz="0" w:space="0" w:color="auto"/>
      </w:divBdr>
      <w:divsChild>
        <w:div w:id="753169231">
          <w:marLeft w:val="0"/>
          <w:marRight w:val="0"/>
          <w:marTop w:val="0"/>
          <w:marBottom w:val="0"/>
          <w:divBdr>
            <w:top w:val="none" w:sz="0" w:space="0" w:color="auto"/>
            <w:left w:val="none" w:sz="0" w:space="0" w:color="auto"/>
            <w:bottom w:val="none" w:sz="0" w:space="0" w:color="auto"/>
            <w:right w:val="none" w:sz="0" w:space="0" w:color="auto"/>
          </w:divBdr>
        </w:div>
      </w:divsChild>
    </w:div>
    <w:div w:id="581112128">
      <w:bodyDiv w:val="1"/>
      <w:marLeft w:val="0"/>
      <w:marRight w:val="0"/>
      <w:marTop w:val="0"/>
      <w:marBottom w:val="0"/>
      <w:divBdr>
        <w:top w:val="none" w:sz="0" w:space="0" w:color="auto"/>
        <w:left w:val="none" w:sz="0" w:space="0" w:color="auto"/>
        <w:bottom w:val="none" w:sz="0" w:space="0" w:color="auto"/>
        <w:right w:val="none" w:sz="0" w:space="0" w:color="auto"/>
      </w:divBdr>
      <w:divsChild>
        <w:div w:id="1765034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3809</Characters>
  <Application>Microsoft Office Word</Application>
  <DocSecurity>0</DocSecurity>
  <Lines>89</Lines>
  <Paragraphs>55</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Pagels</dc:creator>
  <cp:keywords/>
  <dc:description/>
  <cp:lastModifiedBy>Christin Pagels</cp:lastModifiedBy>
  <cp:revision>2</cp:revision>
  <dcterms:created xsi:type="dcterms:W3CDTF">2025-06-06T21:57:00Z</dcterms:created>
  <dcterms:modified xsi:type="dcterms:W3CDTF">2025-06-08T20:55:00Z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eba0b63b-f0d0-4041-9473-6a1e4961c2db</vt:lpwstr>
  </property>
</Properties>
</file>