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D6319" w14:textId="77777777" w:rsidR="009912E6" w:rsidRDefault="00FE66BA">
      <w:pPr>
        <w:spacing w:after="40"/>
        <w:jc w:val="center"/>
      </w:pPr>
      <w:r>
        <w:rPr>
          <w:b/>
          <w:sz w:val="30"/>
        </w:rPr>
        <w:t>Project Design Phase</w:t>
      </w:r>
    </w:p>
    <w:p w14:paraId="07AF8416" w14:textId="77777777" w:rsidR="009912E6" w:rsidRDefault="00FE66BA">
      <w:pPr>
        <w:spacing w:after="40"/>
        <w:jc w:val="center"/>
        <w:rPr>
          <w:b/>
          <w:sz w:val="26"/>
        </w:rPr>
      </w:pPr>
      <w:r>
        <w:rPr>
          <w:b/>
          <w:sz w:val="26"/>
        </w:rPr>
        <w:t>Proposed Solution Template</w:t>
      </w:r>
    </w:p>
    <w:p w14:paraId="4160430B" w14:textId="77777777" w:rsidR="00386545" w:rsidRDefault="00386545">
      <w:pPr>
        <w:spacing w:after="40"/>
        <w:jc w:val="center"/>
      </w:pPr>
    </w:p>
    <w:tbl>
      <w:tblPr>
        <w:tblStyle w:val="TableGrid"/>
        <w:tblW w:w="0" w:type="auto"/>
        <w:jc w:val="center"/>
        <w:tblLook w:val="04A0" w:firstRow="1" w:lastRow="0" w:firstColumn="1" w:lastColumn="0" w:noHBand="0" w:noVBand="1"/>
      </w:tblPr>
      <w:tblGrid>
        <w:gridCol w:w="5184"/>
        <w:gridCol w:w="5184"/>
      </w:tblGrid>
      <w:tr w:rsidR="009912E6" w14:paraId="4B75EB3F" w14:textId="77777777">
        <w:trPr>
          <w:jc w:val="center"/>
        </w:trPr>
        <w:tc>
          <w:tcPr>
            <w:tcW w:w="5184" w:type="dxa"/>
            <w:shd w:val="clear" w:color="auto" w:fill="D9EAF7"/>
            <w:tcMar>
              <w:top w:w="65" w:type="dxa"/>
              <w:left w:w="65" w:type="dxa"/>
              <w:bottom w:w="65" w:type="dxa"/>
              <w:right w:w="65" w:type="dxa"/>
            </w:tcMar>
            <w:vAlign w:val="center"/>
          </w:tcPr>
          <w:p w14:paraId="736AF6D6" w14:textId="77777777" w:rsidR="009912E6" w:rsidRDefault="00FE66BA">
            <w:r>
              <w:rPr>
                <w:b/>
                <w:sz w:val="19"/>
              </w:rPr>
              <w:t>Date</w:t>
            </w:r>
          </w:p>
        </w:tc>
        <w:tc>
          <w:tcPr>
            <w:tcW w:w="5184" w:type="dxa"/>
            <w:tcMar>
              <w:top w:w="65" w:type="dxa"/>
              <w:left w:w="65" w:type="dxa"/>
              <w:bottom w:w="65" w:type="dxa"/>
              <w:right w:w="65" w:type="dxa"/>
            </w:tcMar>
            <w:vAlign w:val="center"/>
          </w:tcPr>
          <w:p w14:paraId="698C6E72" w14:textId="77777777" w:rsidR="009912E6" w:rsidRDefault="00FE66BA">
            <w:r>
              <w:rPr>
                <w:sz w:val="19"/>
              </w:rPr>
              <w:t>________________________________________</w:t>
            </w:r>
          </w:p>
        </w:tc>
      </w:tr>
      <w:tr w:rsidR="009912E6" w14:paraId="73018E17" w14:textId="77777777">
        <w:trPr>
          <w:jc w:val="center"/>
        </w:trPr>
        <w:tc>
          <w:tcPr>
            <w:tcW w:w="5184" w:type="dxa"/>
            <w:shd w:val="clear" w:color="auto" w:fill="D9EAF7"/>
            <w:tcMar>
              <w:top w:w="65" w:type="dxa"/>
              <w:left w:w="65" w:type="dxa"/>
              <w:bottom w:w="65" w:type="dxa"/>
              <w:right w:w="65" w:type="dxa"/>
            </w:tcMar>
            <w:vAlign w:val="center"/>
          </w:tcPr>
          <w:p w14:paraId="05CEB5F1" w14:textId="77777777" w:rsidR="009912E6" w:rsidRDefault="00FE66BA">
            <w:r>
              <w:rPr>
                <w:b/>
                <w:sz w:val="19"/>
              </w:rPr>
              <w:t>Team ID</w:t>
            </w:r>
          </w:p>
        </w:tc>
        <w:tc>
          <w:tcPr>
            <w:tcW w:w="5184" w:type="dxa"/>
            <w:tcMar>
              <w:top w:w="65" w:type="dxa"/>
              <w:left w:w="65" w:type="dxa"/>
              <w:bottom w:w="65" w:type="dxa"/>
              <w:right w:w="65" w:type="dxa"/>
            </w:tcMar>
            <w:vAlign w:val="center"/>
          </w:tcPr>
          <w:p w14:paraId="6626A129" w14:textId="77777777" w:rsidR="009912E6" w:rsidRDefault="00FE66BA">
            <w:r>
              <w:rPr>
                <w:sz w:val="19"/>
              </w:rPr>
              <w:t>________________________________________</w:t>
            </w:r>
          </w:p>
        </w:tc>
      </w:tr>
      <w:tr w:rsidR="009912E6" w14:paraId="31DF27D2" w14:textId="77777777">
        <w:trPr>
          <w:jc w:val="center"/>
        </w:trPr>
        <w:tc>
          <w:tcPr>
            <w:tcW w:w="5184" w:type="dxa"/>
            <w:shd w:val="clear" w:color="auto" w:fill="D9EAF7"/>
            <w:tcMar>
              <w:top w:w="65" w:type="dxa"/>
              <w:left w:w="65" w:type="dxa"/>
              <w:bottom w:w="65" w:type="dxa"/>
              <w:right w:w="65" w:type="dxa"/>
            </w:tcMar>
            <w:vAlign w:val="center"/>
          </w:tcPr>
          <w:p w14:paraId="1DB4ED49" w14:textId="77777777" w:rsidR="009912E6" w:rsidRDefault="00FE66BA">
            <w:r>
              <w:rPr>
                <w:b/>
                <w:sz w:val="19"/>
              </w:rPr>
              <w:t>Project Name</w:t>
            </w:r>
          </w:p>
        </w:tc>
        <w:tc>
          <w:tcPr>
            <w:tcW w:w="5184" w:type="dxa"/>
            <w:tcMar>
              <w:top w:w="65" w:type="dxa"/>
              <w:left w:w="65" w:type="dxa"/>
              <w:bottom w:w="65" w:type="dxa"/>
              <w:right w:w="65" w:type="dxa"/>
            </w:tcMar>
            <w:vAlign w:val="center"/>
          </w:tcPr>
          <w:p w14:paraId="40FFD6C5" w14:textId="77777777" w:rsidR="009912E6" w:rsidRDefault="00FE66BA">
            <w:r>
              <w:rPr>
                <w:sz w:val="19"/>
              </w:rPr>
              <w:t>Incident Lifecycle Automation in ServiceNow</w:t>
            </w:r>
          </w:p>
        </w:tc>
      </w:tr>
      <w:tr w:rsidR="009912E6" w14:paraId="05A99AD2" w14:textId="77777777">
        <w:trPr>
          <w:jc w:val="center"/>
        </w:trPr>
        <w:tc>
          <w:tcPr>
            <w:tcW w:w="5184" w:type="dxa"/>
            <w:shd w:val="clear" w:color="auto" w:fill="D9EAF7"/>
            <w:tcMar>
              <w:top w:w="65" w:type="dxa"/>
              <w:left w:w="65" w:type="dxa"/>
              <w:bottom w:w="65" w:type="dxa"/>
              <w:right w:w="65" w:type="dxa"/>
            </w:tcMar>
            <w:vAlign w:val="center"/>
          </w:tcPr>
          <w:p w14:paraId="59077E7A" w14:textId="77777777" w:rsidR="009912E6" w:rsidRDefault="00FE66BA">
            <w:r>
              <w:rPr>
                <w:b/>
                <w:sz w:val="19"/>
              </w:rPr>
              <w:t>Maximum Marks</w:t>
            </w:r>
          </w:p>
        </w:tc>
        <w:tc>
          <w:tcPr>
            <w:tcW w:w="5184" w:type="dxa"/>
            <w:tcMar>
              <w:top w:w="65" w:type="dxa"/>
              <w:left w:w="65" w:type="dxa"/>
              <w:bottom w:w="65" w:type="dxa"/>
              <w:right w:w="65" w:type="dxa"/>
            </w:tcMar>
            <w:vAlign w:val="center"/>
          </w:tcPr>
          <w:p w14:paraId="0F8BEA56" w14:textId="77777777" w:rsidR="009912E6" w:rsidRDefault="00FE66BA">
            <w:r>
              <w:rPr>
                <w:sz w:val="19"/>
              </w:rPr>
              <w:t>2 Marks</w:t>
            </w:r>
          </w:p>
        </w:tc>
      </w:tr>
    </w:tbl>
    <w:p w14:paraId="03148276" w14:textId="77777777" w:rsidR="009A18B3" w:rsidRDefault="009A18B3">
      <w:pPr>
        <w:rPr>
          <w:b/>
        </w:rPr>
      </w:pPr>
    </w:p>
    <w:p w14:paraId="3A86076C" w14:textId="0B4F6F99" w:rsidR="0028622E" w:rsidRDefault="00FE66BA">
      <w:r>
        <w:rPr>
          <w:b/>
        </w:rPr>
        <w:t>Proposed Solution Template:</w:t>
      </w:r>
      <w:r>
        <w:t xml:space="preserve"> </w:t>
      </w:r>
    </w:p>
    <w:tbl>
      <w:tblPr>
        <w:tblStyle w:val="TableGrid"/>
        <w:tblW w:w="0" w:type="auto"/>
        <w:jc w:val="center"/>
        <w:tblLook w:val="04A0" w:firstRow="1" w:lastRow="0" w:firstColumn="1" w:lastColumn="0" w:noHBand="0" w:noVBand="1"/>
      </w:tblPr>
      <w:tblGrid>
        <w:gridCol w:w="3456"/>
        <w:gridCol w:w="3456"/>
        <w:gridCol w:w="3456"/>
      </w:tblGrid>
      <w:tr w:rsidR="009912E6" w14:paraId="73557689" w14:textId="77777777">
        <w:trPr>
          <w:jc w:val="center"/>
        </w:trPr>
        <w:tc>
          <w:tcPr>
            <w:tcW w:w="3456" w:type="dxa"/>
            <w:shd w:val="clear" w:color="auto" w:fill="D9EAF7"/>
            <w:tcMar>
              <w:top w:w="65" w:type="dxa"/>
              <w:left w:w="65" w:type="dxa"/>
              <w:bottom w:w="65" w:type="dxa"/>
              <w:right w:w="65" w:type="dxa"/>
            </w:tcMar>
            <w:vAlign w:val="center"/>
          </w:tcPr>
          <w:p w14:paraId="4DCDBCDF" w14:textId="77777777" w:rsidR="009912E6" w:rsidRDefault="00FE66BA">
            <w:pPr>
              <w:jc w:val="center"/>
            </w:pPr>
            <w:r>
              <w:rPr>
                <w:b/>
                <w:sz w:val="19"/>
              </w:rPr>
              <w:t>S.No.</w:t>
            </w:r>
          </w:p>
        </w:tc>
        <w:tc>
          <w:tcPr>
            <w:tcW w:w="3456" w:type="dxa"/>
            <w:shd w:val="clear" w:color="auto" w:fill="D9EAF7"/>
            <w:tcMar>
              <w:top w:w="65" w:type="dxa"/>
              <w:left w:w="65" w:type="dxa"/>
              <w:bottom w:w="65" w:type="dxa"/>
              <w:right w:w="65" w:type="dxa"/>
            </w:tcMar>
            <w:vAlign w:val="center"/>
          </w:tcPr>
          <w:p w14:paraId="68D3933F" w14:textId="77777777" w:rsidR="009912E6" w:rsidRDefault="00FE66BA">
            <w:pPr>
              <w:jc w:val="center"/>
            </w:pPr>
            <w:r>
              <w:rPr>
                <w:b/>
                <w:sz w:val="19"/>
              </w:rPr>
              <w:t>Parameter</w:t>
            </w:r>
          </w:p>
        </w:tc>
        <w:tc>
          <w:tcPr>
            <w:tcW w:w="3456" w:type="dxa"/>
            <w:shd w:val="clear" w:color="auto" w:fill="D9EAF7"/>
            <w:tcMar>
              <w:top w:w="65" w:type="dxa"/>
              <w:left w:w="65" w:type="dxa"/>
              <w:bottom w:w="65" w:type="dxa"/>
              <w:right w:w="65" w:type="dxa"/>
            </w:tcMar>
            <w:vAlign w:val="center"/>
          </w:tcPr>
          <w:p w14:paraId="17C4C8BB" w14:textId="77777777" w:rsidR="009912E6" w:rsidRDefault="00FE66BA">
            <w:pPr>
              <w:jc w:val="center"/>
            </w:pPr>
            <w:r>
              <w:rPr>
                <w:b/>
                <w:sz w:val="19"/>
              </w:rPr>
              <w:t>Description</w:t>
            </w:r>
          </w:p>
        </w:tc>
      </w:tr>
      <w:tr w:rsidR="009912E6" w14:paraId="2A07527B" w14:textId="77777777">
        <w:trPr>
          <w:jc w:val="center"/>
        </w:trPr>
        <w:tc>
          <w:tcPr>
            <w:tcW w:w="3456" w:type="dxa"/>
            <w:tcMar>
              <w:top w:w="65" w:type="dxa"/>
              <w:left w:w="65" w:type="dxa"/>
              <w:bottom w:w="65" w:type="dxa"/>
              <w:right w:w="65" w:type="dxa"/>
            </w:tcMar>
            <w:vAlign w:val="center"/>
          </w:tcPr>
          <w:p w14:paraId="30B16659" w14:textId="77777777" w:rsidR="009912E6" w:rsidRDefault="00FE66BA">
            <w:r>
              <w:rPr>
                <w:b/>
                <w:sz w:val="18"/>
              </w:rPr>
              <w:t>1</w:t>
            </w:r>
          </w:p>
        </w:tc>
        <w:tc>
          <w:tcPr>
            <w:tcW w:w="3456" w:type="dxa"/>
            <w:tcMar>
              <w:top w:w="65" w:type="dxa"/>
              <w:left w:w="65" w:type="dxa"/>
              <w:bottom w:w="65" w:type="dxa"/>
              <w:right w:w="65" w:type="dxa"/>
            </w:tcMar>
            <w:vAlign w:val="center"/>
          </w:tcPr>
          <w:p w14:paraId="20B0327C" w14:textId="77777777" w:rsidR="009912E6" w:rsidRDefault="00FE66BA">
            <w:r>
              <w:rPr>
                <w:sz w:val="18"/>
              </w:rPr>
              <w:t>Problem Statement (Problem to be solved)</w:t>
            </w:r>
          </w:p>
        </w:tc>
        <w:tc>
          <w:tcPr>
            <w:tcW w:w="3456" w:type="dxa"/>
            <w:tcMar>
              <w:top w:w="65" w:type="dxa"/>
              <w:left w:w="65" w:type="dxa"/>
              <w:bottom w:w="65" w:type="dxa"/>
              <w:right w:w="65" w:type="dxa"/>
            </w:tcMar>
            <w:vAlign w:val="center"/>
          </w:tcPr>
          <w:p w14:paraId="228D83D5" w14:textId="77777777" w:rsidR="009912E6" w:rsidRDefault="00FE66BA">
            <w:r>
              <w:rPr>
                <w:sz w:val="18"/>
              </w:rPr>
              <w:t>Incidents are often reported through email, phone, or informal communication. This can lead to inconsistent incident recording and classification, unclear ownership, delayed escalation and resolution, limited SLA visibility, manual coordination, and difficulty tracking related records such as change requests and child incidents.</w:t>
            </w:r>
          </w:p>
        </w:tc>
      </w:tr>
      <w:tr w:rsidR="009912E6" w14:paraId="6BC6A251" w14:textId="77777777">
        <w:trPr>
          <w:jc w:val="center"/>
        </w:trPr>
        <w:tc>
          <w:tcPr>
            <w:tcW w:w="3456" w:type="dxa"/>
            <w:tcMar>
              <w:top w:w="65" w:type="dxa"/>
              <w:left w:w="65" w:type="dxa"/>
              <w:bottom w:w="65" w:type="dxa"/>
              <w:right w:w="65" w:type="dxa"/>
            </w:tcMar>
            <w:vAlign w:val="center"/>
          </w:tcPr>
          <w:p w14:paraId="75F3F2D3" w14:textId="77777777" w:rsidR="009912E6" w:rsidRDefault="00FE66BA">
            <w:r>
              <w:rPr>
                <w:b/>
                <w:sz w:val="18"/>
              </w:rPr>
              <w:t>2</w:t>
            </w:r>
          </w:p>
        </w:tc>
        <w:tc>
          <w:tcPr>
            <w:tcW w:w="3456" w:type="dxa"/>
            <w:tcMar>
              <w:top w:w="65" w:type="dxa"/>
              <w:left w:w="65" w:type="dxa"/>
              <w:bottom w:w="65" w:type="dxa"/>
              <w:right w:w="65" w:type="dxa"/>
            </w:tcMar>
            <w:vAlign w:val="center"/>
          </w:tcPr>
          <w:p w14:paraId="2AB7870F" w14:textId="77777777" w:rsidR="009912E6" w:rsidRDefault="00FE66BA">
            <w:r>
              <w:rPr>
                <w:sz w:val="18"/>
              </w:rPr>
              <w:t>Idea / Solution description</w:t>
            </w:r>
          </w:p>
        </w:tc>
        <w:tc>
          <w:tcPr>
            <w:tcW w:w="3456" w:type="dxa"/>
            <w:tcMar>
              <w:top w:w="65" w:type="dxa"/>
              <w:left w:w="65" w:type="dxa"/>
              <w:bottom w:w="65" w:type="dxa"/>
              <w:right w:w="65" w:type="dxa"/>
            </w:tcMar>
            <w:vAlign w:val="center"/>
          </w:tcPr>
          <w:p w14:paraId="5DC50E68" w14:textId="77777777" w:rsidR="009912E6" w:rsidRDefault="00FE66BA">
            <w:r>
              <w:rPr>
                <w:sz w:val="18"/>
              </w:rPr>
              <w:t>Incident Lifecycle Automation in ServiceNow standardizes the Incident Management lifecycle. The solution supports Service and Service Offering setup, incident creation and classification, Knowledge and Agent Assist, assignment and reassignment, Level 2 investigation, emergency change creation, child incident creation, cause and resolution documentation, Knowledge article creation from resolved incidents, SLA tracking, and final validation.</w:t>
            </w:r>
          </w:p>
        </w:tc>
      </w:tr>
      <w:tr w:rsidR="009912E6" w14:paraId="4172FEB9" w14:textId="77777777">
        <w:trPr>
          <w:jc w:val="center"/>
        </w:trPr>
        <w:tc>
          <w:tcPr>
            <w:tcW w:w="3456" w:type="dxa"/>
            <w:tcMar>
              <w:top w:w="65" w:type="dxa"/>
              <w:left w:w="65" w:type="dxa"/>
              <w:bottom w:w="65" w:type="dxa"/>
              <w:right w:w="65" w:type="dxa"/>
            </w:tcMar>
            <w:vAlign w:val="center"/>
          </w:tcPr>
          <w:p w14:paraId="3E4DE4E7" w14:textId="77777777" w:rsidR="009912E6" w:rsidRDefault="00FE66BA">
            <w:r>
              <w:rPr>
                <w:b/>
                <w:sz w:val="18"/>
              </w:rPr>
              <w:t>3</w:t>
            </w:r>
          </w:p>
        </w:tc>
        <w:tc>
          <w:tcPr>
            <w:tcW w:w="3456" w:type="dxa"/>
            <w:tcMar>
              <w:top w:w="65" w:type="dxa"/>
              <w:left w:w="65" w:type="dxa"/>
              <w:bottom w:w="65" w:type="dxa"/>
              <w:right w:w="65" w:type="dxa"/>
            </w:tcMar>
            <w:vAlign w:val="center"/>
          </w:tcPr>
          <w:p w14:paraId="4D5345E9" w14:textId="77777777" w:rsidR="009912E6" w:rsidRDefault="00FE66BA">
            <w:r>
              <w:rPr>
                <w:sz w:val="18"/>
              </w:rPr>
              <w:t>Novelty / Uniqueness</w:t>
            </w:r>
          </w:p>
        </w:tc>
        <w:tc>
          <w:tcPr>
            <w:tcW w:w="3456" w:type="dxa"/>
            <w:tcMar>
              <w:top w:w="65" w:type="dxa"/>
              <w:left w:w="65" w:type="dxa"/>
              <w:bottom w:w="65" w:type="dxa"/>
              <w:right w:w="65" w:type="dxa"/>
            </w:tcMar>
            <w:vAlign w:val="center"/>
          </w:tcPr>
          <w:p w14:paraId="0EADED3D" w14:textId="77777777" w:rsidR="009912E6" w:rsidRDefault="00FE66BA">
            <w:r>
              <w:rPr>
                <w:sz w:val="18"/>
              </w:rPr>
              <w:t>The proposed solution brings the major activities of the incident lifecycle into a structured ServiceNow process. Incident, Knowledge, Change, child-incident, SLA, and related-record activities are connected within the documented lifecycle, providing a consistent flow from incident creation through resolution and knowledge creation.</w:t>
            </w:r>
          </w:p>
        </w:tc>
      </w:tr>
      <w:tr w:rsidR="009912E6" w14:paraId="59FD6203" w14:textId="77777777">
        <w:trPr>
          <w:jc w:val="center"/>
        </w:trPr>
        <w:tc>
          <w:tcPr>
            <w:tcW w:w="3456" w:type="dxa"/>
            <w:tcMar>
              <w:top w:w="65" w:type="dxa"/>
              <w:left w:w="65" w:type="dxa"/>
              <w:bottom w:w="65" w:type="dxa"/>
              <w:right w:w="65" w:type="dxa"/>
            </w:tcMar>
            <w:vAlign w:val="center"/>
          </w:tcPr>
          <w:p w14:paraId="73A2D692" w14:textId="77777777" w:rsidR="009912E6" w:rsidRDefault="00FE66BA">
            <w:r>
              <w:rPr>
                <w:b/>
                <w:sz w:val="18"/>
              </w:rPr>
              <w:t>4</w:t>
            </w:r>
          </w:p>
        </w:tc>
        <w:tc>
          <w:tcPr>
            <w:tcW w:w="3456" w:type="dxa"/>
            <w:tcMar>
              <w:top w:w="65" w:type="dxa"/>
              <w:left w:w="65" w:type="dxa"/>
              <w:bottom w:w="65" w:type="dxa"/>
              <w:right w:w="65" w:type="dxa"/>
            </w:tcMar>
            <w:vAlign w:val="center"/>
          </w:tcPr>
          <w:p w14:paraId="490E974C" w14:textId="77777777" w:rsidR="009912E6" w:rsidRDefault="00FE66BA">
            <w:r>
              <w:rPr>
                <w:sz w:val="18"/>
              </w:rPr>
              <w:t>Social Impact / Customer Satisfaction</w:t>
            </w:r>
          </w:p>
        </w:tc>
        <w:tc>
          <w:tcPr>
            <w:tcW w:w="3456" w:type="dxa"/>
            <w:tcMar>
              <w:top w:w="65" w:type="dxa"/>
              <w:left w:w="65" w:type="dxa"/>
              <w:bottom w:w="65" w:type="dxa"/>
              <w:right w:w="65" w:type="dxa"/>
            </w:tcMar>
            <w:vAlign w:val="center"/>
          </w:tcPr>
          <w:p w14:paraId="4FCF2CFA" w14:textId="77777777" w:rsidR="009912E6" w:rsidRDefault="00FE66BA">
            <w:r>
              <w:rPr>
                <w:sz w:val="18"/>
              </w:rPr>
              <w:t>The solution can improve the experience of End Users and support teams by providing clearer incident ownership, better tracking visibility, structured escalation, Knowledge-supported resolution, and documented resolution information. This supports faster and more transparent incident handling.</w:t>
            </w:r>
          </w:p>
        </w:tc>
      </w:tr>
      <w:tr w:rsidR="009912E6" w14:paraId="24A7A7D6" w14:textId="77777777">
        <w:trPr>
          <w:jc w:val="center"/>
        </w:trPr>
        <w:tc>
          <w:tcPr>
            <w:tcW w:w="3456" w:type="dxa"/>
            <w:tcMar>
              <w:top w:w="65" w:type="dxa"/>
              <w:left w:w="65" w:type="dxa"/>
              <w:bottom w:w="65" w:type="dxa"/>
              <w:right w:w="65" w:type="dxa"/>
            </w:tcMar>
            <w:vAlign w:val="center"/>
          </w:tcPr>
          <w:p w14:paraId="68A5FC35" w14:textId="77777777" w:rsidR="009912E6" w:rsidRDefault="00FE66BA">
            <w:r>
              <w:rPr>
                <w:b/>
                <w:sz w:val="18"/>
              </w:rPr>
              <w:t>5</w:t>
            </w:r>
          </w:p>
        </w:tc>
        <w:tc>
          <w:tcPr>
            <w:tcW w:w="3456" w:type="dxa"/>
            <w:tcMar>
              <w:top w:w="65" w:type="dxa"/>
              <w:left w:w="65" w:type="dxa"/>
              <w:bottom w:w="65" w:type="dxa"/>
              <w:right w:w="65" w:type="dxa"/>
            </w:tcMar>
            <w:vAlign w:val="center"/>
          </w:tcPr>
          <w:p w14:paraId="42C96568" w14:textId="77777777" w:rsidR="009912E6" w:rsidRDefault="00FE66BA">
            <w:r>
              <w:rPr>
                <w:sz w:val="18"/>
              </w:rPr>
              <w:t>Business Model (Revenue Model)</w:t>
            </w:r>
          </w:p>
        </w:tc>
        <w:tc>
          <w:tcPr>
            <w:tcW w:w="3456" w:type="dxa"/>
            <w:tcMar>
              <w:top w:w="65" w:type="dxa"/>
              <w:left w:w="65" w:type="dxa"/>
              <w:bottom w:w="65" w:type="dxa"/>
              <w:right w:w="65" w:type="dxa"/>
            </w:tcMar>
            <w:vAlign w:val="center"/>
          </w:tcPr>
          <w:p w14:paraId="43440CB1" w14:textId="77777777" w:rsidR="009912E6" w:rsidRDefault="00FE66BA">
            <w:r>
              <w:rPr>
                <w:sz w:val="18"/>
              </w:rPr>
              <w:t>No independent revenue model is specified for this academic project. The proposed solution is focused on demonstrating standardized and automated Incident Management using ServiceNow capabilities within an organizational IT service environment.</w:t>
            </w:r>
          </w:p>
        </w:tc>
      </w:tr>
      <w:tr w:rsidR="009912E6" w14:paraId="7C336716" w14:textId="77777777">
        <w:trPr>
          <w:jc w:val="center"/>
        </w:trPr>
        <w:tc>
          <w:tcPr>
            <w:tcW w:w="3456" w:type="dxa"/>
            <w:tcMar>
              <w:top w:w="65" w:type="dxa"/>
              <w:left w:w="65" w:type="dxa"/>
              <w:bottom w:w="65" w:type="dxa"/>
              <w:right w:w="65" w:type="dxa"/>
            </w:tcMar>
            <w:vAlign w:val="center"/>
          </w:tcPr>
          <w:p w14:paraId="4EDE85CC" w14:textId="77777777" w:rsidR="009912E6" w:rsidRDefault="00FE66BA">
            <w:r>
              <w:rPr>
                <w:b/>
                <w:sz w:val="18"/>
              </w:rPr>
              <w:t>6</w:t>
            </w:r>
          </w:p>
        </w:tc>
        <w:tc>
          <w:tcPr>
            <w:tcW w:w="3456" w:type="dxa"/>
            <w:tcMar>
              <w:top w:w="65" w:type="dxa"/>
              <w:left w:w="65" w:type="dxa"/>
              <w:bottom w:w="65" w:type="dxa"/>
              <w:right w:w="65" w:type="dxa"/>
            </w:tcMar>
            <w:vAlign w:val="center"/>
          </w:tcPr>
          <w:p w14:paraId="49BFC0C5" w14:textId="77777777" w:rsidR="009912E6" w:rsidRDefault="00FE66BA">
            <w:r>
              <w:rPr>
                <w:sz w:val="18"/>
              </w:rPr>
              <w:t>Scalability of the Solution</w:t>
            </w:r>
          </w:p>
        </w:tc>
        <w:tc>
          <w:tcPr>
            <w:tcW w:w="3456" w:type="dxa"/>
            <w:tcMar>
              <w:top w:w="65" w:type="dxa"/>
              <w:left w:w="65" w:type="dxa"/>
              <w:bottom w:w="65" w:type="dxa"/>
              <w:right w:w="65" w:type="dxa"/>
            </w:tcMar>
            <w:vAlign w:val="center"/>
          </w:tcPr>
          <w:p w14:paraId="5C53215A" w14:textId="77777777" w:rsidR="009912E6" w:rsidRDefault="00FE66BA">
            <w:r>
              <w:rPr>
                <w:sz w:val="18"/>
              </w:rPr>
              <w:t xml:space="preserve">The structured ServiceNow Incident Management approach can support increasing numbers of incidents, support groups, related </w:t>
            </w:r>
            <w:r>
              <w:rPr>
                <w:sz w:val="18"/>
              </w:rPr>
              <w:lastRenderedPageBreak/>
              <w:t>records, Knowledge articles, and users while maintaining consistent classification, assignment, escalation, resolution, SLA tracking, and lifecycle visibility.</w:t>
            </w:r>
          </w:p>
        </w:tc>
      </w:tr>
    </w:tbl>
    <w:p w14:paraId="33E8942D" w14:textId="77777777" w:rsidR="0028622E" w:rsidRDefault="0028622E">
      <w:pPr>
        <w:rPr>
          <w:b/>
        </w:rPr>
      </w:pPr>
    </w:p>
    <w:p w14:paraId="5B06BEB0" w14:textId="47CA388F" w:rsidR="009912E6" w:rsidRDefault="00FE66BA">
      <w:r>
        <w:rPr>
          <w:b/>
        </w:rPr>
        <w:t>Proposed Solution Summary:</w:t>
      </w:r>
      <w:r>
        <w:t xml:space="preserve"> The project proposes a structured ServiceNow-based Incident Management lifecycle that connects incident creation, classification, Knowledge support, assignment, Level 2 investigation, related change and child-incident handling, resolution, Knowledge creation, and SLA/final validation.</w:t>
      </w:r>
    </w:p>
    <w:sectPr w:rsidR="009912E6"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3E4E1" w14:textId="77777777" w:rsidR="00845C3B" w:rsidRDefault="00845C3B">
      <w:pPr>
        <w:spacing w:after="0" w:line="240" w:lineRule="auto"/>
      </w:pPr>
      <w:r>
        <w:separator/>
      </w:r>
    </w:p>
  </w:endnote>
  <w:endnote w:type="continuationSeparator" w:id="0">
    <w:p w14:paraId="5AF969DB" w14:textId="77777777" w:rsidR="00845C3B" w:rsidRDefault="00845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83598" w14:textId="77777777" w:rsidR="009912E6" w:rsidRDefault="00FE66BA">
    <w:pPr>
      <w:pStyle w:val="Footer"/>
      <w:jc w:val="center"/>
    </w:pPr>
    <w:r>
      <w:rPr>
        <w:sz w:val="16"/>
      </w:rPr>
      <w:t>Incident Lifecycle Automation in ServiceNow – Proposed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A71F3C" w14:textId="77777777" w:rsidR="00845C3B" w:rsidRDefault="00845C3B">
      <w:pPr>
        <w:spacing w:after="0" w:line="240" w:lineRule="auto"/>
      </w:pPr>
      <w:r>
        <w:separator/>
      </w:r>
    </w:p>
  </w:footnote>
  <w:footnote w:type="continuationSeparator" w:id="0">
    <w:p w14:paraId="3138D1FF" w14:textId="77777777" w:rsidR="00845C3B" w:rsidRDefault="00845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485323">
    <w:abstractNumId w:val="1"/>
  </w:num>
  <w:num w:numId="2" w16cid:durableId="1289893790">
    <w:abstractNumId w:val="4"/>
  </w:num>
  <w:num w:numId="3" w16cid:durableId="1757095177">
    <w:abstractNumId w:val="2"/>
  </w:num>
  <w:num w:numId="4" w16cid:durableId="176236257">
    <w:abstractNumId w:val="7"/>
  </w:num>
  <w:num w:numId="5" w16cid:durableId="1997100603">
    <w:abstractNumId w:val="8"/>
  </w:num>
  <w:num w:numId="6" w16cid:durableId="224612035">
    <w:abstractNumId w:val="0"/>
  </w:num>
  <w:num w:numId="7" w16cid:durableId="605501088">
    <w:abstractNumId w:val="6"/>
  </w:num>
  <w:num w:numId="8" w16cid:durableId="841628760">
    <w:abstractNumId w:val="3"/>
  </w:num>
  <w:num w:numId="9" w16cid:durableId="8835605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346"/>
    <w:rsid w:val="00034616"/>
    <w:rsid w:val="0006063C"/>
    <w:rsid w:val="00116157"/>
    <w:rsid w:val="0015074B"/>
    <w:rsid w:val="00197E27"/>
    <w:rsid w:val="001C64A8"/>
    <w:rsid w:val="0028622E"/>
    <w:rsid w:val="0029639D"/>
    <w:rsid w:val="002E16DE"/>
    <w:rsid w:val="00326F90"/>
    <w:rsid w:val="00386545"/>
    <w:rsid w:val="00845C3B"/>
    <w:rsid w:val="009912E6"/>
    <w:rsid w:val="009A18B3"/>
    <w:rsid w:val="00AA1D8D"/>
    <w:rsid w:val="00B47730"/>
    <w:rsid w:val="00CB0664"/>
    <w:rsid w:val="00CE53B7"/>
    <w:rsid w:val="00EF51AA"/>
    <w:rsid w:val="00FC693F"/>
    <w:rsid w:val="00FE66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FFFDA"/>
  <w14:defaultImageDpi w14:val="300"/>
  <w15:docId w15:val="{E437E7E1-85E8-7244-B927-013CF2E03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Chowdary Chilakapati</cp:lastModifiedBy>
  <cp:revision>2</cp:revision>
  <dcterms:created xsi:type="dcterms:W3CDTF">2026-09-19T06:15:00Z</dcterms:created>
  <dcterms:modified xsi:type="dcterms:W3CDTF">2026-09-19T06:15:00Z</dcterms:modified>
  <cp:category/>
</cp:coreProperties>
</file>