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02D88" w14:textId="77777777" w:rsidR="00E37BB5" w:rsidRDefault="00E37BB5" w:rsidP="00E37BB5">
      <w:pPr>
        <w:rPr>
          <w:lang w:val="en-US"/>
        </w:rPr>
      </w:pPr>
      <w:r>
        <w:rPr>
          <w:noProof/>
          <w:lang w:val="en-US"/>
        </w:rPr>
        <w:drawing>
          <wp:inline distT="0" distB="0" distL="0" distR="0" wp14:anchorId="4072D286" wp14:editId="10034795">
            <wp:extent cx="2472537" cy="1390705"/>
            <wp:effectExtent l="0" t="0" r="4445" b="0"/>
            <wp:docPr id="11" name="Immagine 11" descr="Immagine che contiene Carattere, Elementi grafici, testo,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Carattere, Elementi grafici, testo, grafica&#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6683" cy="1432409"/>
                    </a:xfrm>
                    <a:prstGeom prst="rect">
                      <a:avLst/>
                    </a:prstGeom>
                  </pic:spPr>
                </pic:pic>
              </a:graphicData>
            </a:graphic>
          </wp:inline>
        </w:drawing>
      </w:r>
    </w:p>
    <w:p w14:paraId="1B9FA3D5" w14:textId="77777777" w:rsidR="00E37BB5" w:rsidRPr="00355A18" w:rsidRDefault="00E37BB5" w:rsidP="00E37BB5">
      <w:pPr>
        <w:pBdr>
          <w:top w:val="nil"/>
          <w:left w:val="nil"/>
          <w:bottom w:val="nil"/>
          <w:right w:val="nil"/>
          <w:between w:val="nil"/>
        </w:pBdr>
        <w:jc w:val="right"/>
        <w:rPr>
          <w:rFonts w:ascii="Times New Roman" w:hAnsi="Times New Roman" w:cs="Times New Roman"/>
          <w:color w:val="000000"/>
          <w:lang w:val="en-US"/>
        </w:rPr>
      </w:pPr>
      <w:r>
        <w:rPr>
          <w:b/>
          <w:color w:val="000000"/>
          <w:sz w:val="28"/>
          <w:szCs w:val="28"/>
          <w:lang w:val="en-US"/>
        </w:rPr>
        <w:t xml:space="preserve">                                                                                   </w:t>
      </w:r>
      <w:r w:rsidRPr="00355A18">
        <w:rPr>
          <w:rFonts w:ascii="Times New Roman" w:hAnsi="Times New Roman" w:cs="Times New Roman"/>
          <w:b/>
          <w:color w:val="000000"/>
          <w:sz w:val="28"/>
          <w:szCs w:val="28"/>
          <w:lang w:val="en-US"/>
        </w:rPr>
        <w:t>Sociology and Demography (MA)</w:t>
      </w:r>
    </w:p>
    <w:p w14:paraId="565CEBA8" w14:textId="19D7A856" w:rsidR="00E37BB5" w:rsidRPr="00355A18" w:rsidRDefault="00E37BB5" w:rsidP="00E37BB5">
      <w:pPr>
        <w:pBdr>
          <w:top w:val="nil"/>
          <w:left w:val="nil"/>
          <w:bottom w:val="nil"/>
          <w:right w:val="nil"/>
          <w:between w:val="nil"/>
        </w:pBdr>
        <w:jc w:val="right"/>
        <w:rPr>
          <w:rFonts w:ascii="Times New Roman" w:hAnsi="Times New Roman" w:cs="Times New Roman"/>
          <w:color w:val="000000"/>
          <w:lang w:val="en-US"/>
        </w:rPr>
      </w:pPr>
      <w:r w:rsidRPr="00355A18">
        <w:rPr>
          <w:rFonts w:ascii="Times New Roman" w:hAnsi="Times New Roman" w:cs="Times New Roman"/>
          <w:b/>
          <w:color w:val="000000"/>
          <w:sz w:val="28"/>
          <w:szCs w:val="28"/>
          <w:lang w:val="en-US"/>
        </w:rPr>
        <w:t xml:space="preserve">                                                          </w:t>
      </w:r>
      <w:r>
        <w:rPr>
          <w:rFonts w:ascii="Times New Roman" w:hAnsi="Times New Roman" w:cs="Times New Roman"/>
          <w:b/>
          <w:color w:val="000000"/>
          <w:sz w:val="28"/>
          <w:szCs w:val="28"/>
          <w:lang w:val="en-US"/>
        </w:rPr>
        <w:t xml:space="preserve">Labor Market </w:t>
      </w:r>
      <w:r w:rsidR="001D2541">
        <w:rPr>
          <w:rFonts w:ascii="Times New Roman" w:hAnsi="Times New Roman" w:cs="Times New Roman"/>
          <w:b/>
          <w:color w:val="000000"/>
          <w:sz w:val="28"/>
          <w:szCs w:val="28"/>
          <w:lang w:val="en-US"/>
        </w:rPr>
        <w:t>and</w:t>
      </w:r>
      <w:r>
        <w:rPr>
          <w:rFonts w:ascii="Times New Roman" w:hAnsi="Times New Roman" w:cs="Times New Roman"/>
          <w:b/>
          <w:color w:val="000000"/>
          <w:sz w:val="28"/>
          <w:szCs w:val="28"/>
          <w:lang w:val="en-US"/>
        </w:rPr>
        <w:t xml:space="preserve"> Occupation Policies</w:t>
      </w:r>
      <w:r w:rsidRPr="00355A18">
        <w:rPr>
          <w:rFonts w:ascii="Times New Roman" w:hAnsi="Times New Roman" w:cs="Times New Roman"/>
          <w:b/>
          <w:color w:val="000000"/>
          <w:sz w:val="28"/>
          <w:szCs w:val="28"/>
          <w:lang w:val="en-US"/>
        </w:rPr>
        <w:t>, A.Y. 2024/2025</w:t>
      </w:r>
    </w:p>
    <w:p w14:paraId="45C97E99" w14:textId="77777777" w:rsidR="00E37BB5" w:rsidRPr="00355A18" w:rsidRDefault="00E37BB5" w:rsidP="00E37BB5">
      <w:pPr>
        <w:jc w:val="right"/>
        <w:rPr>
          <w:rFonts w:ascii="Times New Roman" w:hAnsi="Times New Roman" w:cs="Times New Roman"/>
          <w:lang w:val="en-US"/>
        </w:rPr>
      </w:pPr>
    </w:p>
    <w:p w14:paraId="5E0A8301" w14:textId="77777777" w:rsidR="00E37BB5" w:rsidRPr="00355A18" w:rsidRDefault="00E37BB5" w:rsidP="00E37BB5">
      <w:pPr>
        <w:jc w:val="right"/>
        <w:rPr>
          <w:rFonts w:ascii="Times New Roman" w:hAnsi="Times New Roman" w:cs="Times New Roman"/>
          <w:b/>
          <w:bCs/>
          <w:lang w:val="en-US"/>
        </w:rPr>
      </w:pPr>
      <w:r w:rsidRPr="00355A18">
        <w:rPr>
          <w:rFonts w:ascii="Times New Roman" w:hAnsi="Times New Roman" w:cs="Times New Roman"/>
          <w:b/>
          <w:bCs/>
          <w:lang w:val="en-US"/>
        </w:rPr>
        <w:t>Joli Christian u255226 christian.joli01@estudiant.upf.edu</w:t>
      </w:r>
    </w:p>
    <w:p w14:paraId="5450ABE2" w14:textId="77777777" w:rsidR="00E37BB5" w:rsidRPr="00355A18" w:rsidRDefault="00E37BB5" w:rsidP="00E37BB5">
      <w:pPr>
        <w:rPr>
          <w:rFonts w:ascii="Times New Roman" w:hAnsi="Times New Roman" w:cs="Times New Roman"/>
          <w:lang w:val="en-US"/>
        </w:rPr>
      </w:pPr>
    </w:p>
    <w:p w14:paraId="35DED3DF" w14:textId="0A0F4CC1" w:rsidR="00E37BB5" w:rsidRDefault="00E37BB5" w:rsidP="00E37BB5">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Regional Context, Net </w:t>
      </w:r>
      <w:r w:rsidR="007861DE">
        <w:rPr>
          <w:rFonts w:ascii="Times New Roman" w:hAnsi="Times New Roman" w:cs="Times New Roman"/>
          <w:b/>
          <w:bCs/>
          <w:sz w:val="32"/>
          <w:szCs w:val="32"/>
          <w:lang w:val="en-US"/>
        </w:rPr>
        <w:t>M</w:t>
      </w:r>
      <w:r>
        <w:rPr>
          <w:rFonts w:ascii="Times New Roman" w:hAnsi="Times New Roman" w:cs="Times New Roman"/>
          <w:b/>
          <w:bCs/>
          <w:sz w:val="32"/>
          <w:szCs w:val="32"/>
          <w:lang w:val="en-US"/>
        </w:rPr>
        <w:t xml:space="preserve">igration Rate, and </w:t>
      </w:r>
      <w:r w:rsidR="00C77A23">
        <w:rPr>
          <w:rFonts w:ascii="Times New Roman" w:hAnsi="Times New Roman" w:cs="Times New Roman"/>
          <w:b/>
          <w:bCs/>
          <w:sz w:val="32"/>
          <w:szCs w:val="32"/>
          <w:lang w:val="en-US"/>
        </w:rPr>
        <w:t xml:space="preserve">GDP Per Capita. What Is Their Relationship </w:t>
      </w:r>
      <w:r w:rsidR="001D2541">
        <w:rPr>
          <w:rFonts w:ascii="Times New Roman" w:hAnsi="Times New Roman" w:cs="Times New Roman"/>
          <w:b/>
          <w:bCs/>
          <w:sz w:val="32"/>
          <w:szCs w:val="32"/>
          <w:lang w:val="en-US"/>
        </w:rPr>
        <w:t>in</w:t>
      </w:r>
      <w:r w:rsidR="00C77A23">
        <w:rPr>
          <w:rFonts w:ascii="Times New Roman" w:hAnsi="Times New Roman" w:cs="Times New Roman"/>
          <w:b/>
          <w:bCs/>
          <w:sz w:val="32"/>
          <w:szCs w:val="32"/>
          <w:lang w:val="en-US"/>
        </w:rPr>
        <w:t xml:space="preserve"> Italy?</w:t>
      </w:r>
    </w:p>
    <w:p w14:paraId="3C5AA31B" w14:textId="6ADF5454" w:rsidR="008C77DE" w:rsidRDefault="008C77DE" w:rsidP="000B5F80">
      <w:pPr>
        <w:pStyle w:val="NormaleWeb"/>
        <w:spacing w:line="360" w:lineRule="auto"/>
        <w:jc w:val="both"/>
        <w:rPr>
          <w:color w:val="000000"/>
          <w:lang w:val="en-US"/>
        </w:rPr>
      </w:pPr>
      <w:r>
        <w:rPr>
          <w:color w:val="000000"/>
          <w:lang w:val="en-US"/>
        </w:rPr>
        <w:t>Abstract</w:t>
      </w:r>
    </w:p>
    <w:p w14:paraId="2077FCDE" w14:textId="37062CCF" w:rsidR="00CE6447" w:rsidRDefault="00CE6447" w:rsidP="00CE6447">
      <w:pPr>
        <w:pStyle w:val="NormaleWeb"/>
        <w:spacing w:line="360" w:lineRule="auto"/>
        <w:jc w:val="both"/>
        <w:rPr>
          <w:color w:val="000000"/>
          <w:lang w:val="en-US"/>
        </w:rPr>
      </w:pPr>
      <w:r w:rsidRPr="00CE6447">
        <w:rPr>
          <w:color w:val="000000"/>
          <w:lang w:val="en-US"/>
        </w:rPr>
        <w:t>This study investigates the macro-level relationship between regional context, net immigration rate, and GDP per capita in Italy from 2000 to 2023. Using data from the ESS survey at the NUTS-2 regional level, panel linear regression model</w:t>
      </w:r>
      <w:r w:rsidR="002B64BF">
        <w:rPr>
          <w:color w:val="000000"/>
          <w:lang w:val="en-US"/>
        </w:rPr>
        <w:t>l</w:t>
      </w:r>
      <w:r w:rsidRPr="00CE6447">
        <w:rPr>
          <w:color w:val="000000"/>
          <w:lang w:val="en-US"/>
        </w:rPr>
        <w:t xml:space="preserve">ing is employed. The findings highlight a significant overall </w:t>
      </w:r>
      <w:r w:rsidR="00D701EC">
        <w:rPr>
          <w:color w:val="000000"/>
          <w:lang w:val="en-US"/>
        </w:rPr>
        <w:t xml:space="preserve">positive </w:t>
      </w:r>
      <w:r w:rsidRPr="00CE6447">
        <w:rPr>
          <w:color w:val="000000"/>
          <w:lang w:val="en-US"/>
        </w:rPr>
        <w:t>relationship between the net immigration rate and GDP per capita across Italy. However, when considering the moderating effect of the net immigration rate at the regional level, distinct patterns emerge. Specifically, two regions (Lazio and Marche) exhibit a positive relationship, while two others (Emilia-Romagna and Toscana) show a negative relationship. The analysis further emphasizes a significant negative association in certain contexts. Although these results underscore the importance of adopting a regional approach when studying immigration, caution is advised when generalizing these findings, as potential endogeneity and methodological limitations may affect their robustness.</w:t>
      </w:r>
    </w:p>
    <w:p w14:paraId="7F1F31E0" w14:textId="43537D48" w:rsidR="00D701EC" w:rsidRPr="00D701EC" w:rsidRDefault="00D701EC" w:rsidP="00D701EC">
      <w:pPr>
        <w:pStyle w:val="NormaleWeb"/>
        <w:spacing w:line="360" w:lineRule="auto"/>
        <w:jc w:val="both"/>
        <w:rPr>
          <w:color w:val="000000"/>
          <w:lang w:val="en-US"/>
        </w:rPr>
      </w:pPr>
      <w:r w:rsidRPr="00D701EC">
        <w:rPr>
          <w:i/>
          <w:iCs/>
          <w:color w:val="000000"/>
          <w:lang w:val="en-US"/>
        </w:rPr>
        <w:t>Word count</w:t>
      </w:r>
      <w:r w:rsidRPr="00D701EC">
        <w:rPr>
          <w:b/>
          <w:bCs/>
          <w:i/>
          <w:iCs/>
          <w:color w:val="000000"/>
          <w:lang w:val="en-US"/>
        </w:rPr>
        <w:t xml:space="preserve">: </w:t>
      </w:r>
      <w:r w:rsidR="001D2541">
        <w:rPr>
          <w:color w:val="000000"/>
          <w:lang w:val="en-US"/>
        </w:rPr>
        <w:t xml:space="preserve">3,599 </w:t>
      </w:r>
      <w:r w:rsidRPr="00D701EC">
        <w:rPr>
          <w:color w:val="000000"/>
          <w:lang w:val="en-US"/>
        </w:rPr>
        <w:t>words (excluding abstract, tables, references and appendix)</w:t>
      </w:r>
    </w:p>
    <w:p w14:paraId="14F1F769" w14:textId="6AC96684" w:rsidR="00D701EC" w:rsidRPr="00CE6447" w:rsidRDefault="00D701EC" w:rsidP="00CE6447">
      <w:pPr>
        <w:pStyle w:val="NormaleWeb"/>
        <w:spacing w:line="360" w:lineRule="auto"/>
        <w:jc w:val="both"/>
        <w:rPr>
          <w:color w:val="000000"/>
          <w:lang w:val="en-US"/>
        </w:rPr>
      </w:pPr>
    </w:p>
    <w:p w14:paraId="47AC3632" w14:textId="77777777" w:rsidR="00124DB3" w:rsidRPr="00E37BB5" w:rsidRDefault="00124DB3" w:rsidP="00124DB3">
      <w:pPr>
        <w:pStyle w:val="NormaleWeb"/>
        <w:spacing w:line="360" w:lineRule="auto"/>
        <w:jc w:val="both"/>
        <w:rPr>
          <w:color w:val="000000"/>
          <w:lang w:val="en-US"/>
        </w:rPr>
      </w:pPr>
    </w:p>
    <w:p w14:paraId="47E90507" w14:textId="77777777" w:rsidR="00092454" w:rsidRPr="00E37BB5" w:rsidRDefault="00092454" w:rsidP="00092454">
      <w:pPr>
        <w:pStyle w:val="NormaleWeb"/>
        <w:spacing w:line="360" w:lineRule="auto"/>
        <w:jc w:val="both"/>
        <w:rPr>
          <w:color w:val="000000"/>
          <w:lang w:val="en-US"/>
        </w:rPr>
      </w:pPr>
    </w:p>
    <w:p w14:paraId="627044B4" w14:textId="77777777" w:rsidR="00092454" w:rsidRPr="00E37BB5" w:rsidRDefault="00092454" w:rsidP="00092454">
      <w:pPr>
        <w:pStyle w:val="NormaleWeb"/>
        <w:spacing w:line="360" w:lineRule="auto"/>
        <w:jc w:val="both"/>
        <w:rPr>
          <w:color w:val="000000"/>
          <w:lang w:val="en-US"/>
        </w:rPr>
      </w:pPr>
    </w:p>
    <w:p w14:paraId="0EDB0F39" w14:textId="77777777" w:rsidR="00D701EC" w:rsidRDefault="00D701EC" w:rsidP="000B5F80">
      <w:pPr>
        <w:pStyle w:val="NormaleWeb"/>
        <w:spacing w:line="360" w:lineRule="auto"/>
        <w:jc w:val="both"/>
        <w:rPr>
          <w:color w:val="000000"/>
          <w:lang w:val="en-US"/>
        </w:rPr>
      </w:pPr>
    </w:p>
    <w:p w14:paraId="45CF50E4" w14:textId="7C1A0FBF" w:rsidR="000B5F80" w:rsidRPr="000D36DF" w:rsidRDefault="00E37BB5" w:rsidP="000B5F80">
      <w:pPr>
        <w:pStyle w:val="NormaleWeb"/>
        <w:spacing w:line="360" w:lineRule="auto"/>
        <w:jc w:val="both"/>
        <w:rPr>
          <w:color w:val="000000"/>
          <w:lang w:val="en-US"/>
        </w:rPr>
      </w:pPr>
      <w:r>
        <w:rPr>
          <w:color w:val="000000"/>
          <w:lang w:val="en-US"/>
        </w:rPr>
        <w:lastRenderedPageBreak/>
        <w:t>1</w:t>
      </w:r>
      <w:r w:rsidR="00B30158" w:rsidRPr="000D36DF">
        <w:rPr>
          <w:color w:val="000000"/>
          <w:lang w:val="en-US"/>
        </w:rPr>
        <w:t>. Introduction</w:t>
      </w:r>
    </w:p>
    <w:p w14:paraId="76440FB3" w14:textId="35DBA17F" w:rsidR="008371D0" w:rsidRPr="000D36DF" w:rsidRDefault="008371D0" w:rsidP="000B5F80">
      <w:pPr>
        <w:pStyle w:val="NormaleWeb"/>
        <w:spacing w:line="360" w:lineRule="auto"/>
        <w:jc w:val="both"/>
        <w:rPr>
          <w:color w:val="000000"/>
          <w:lang w:val="en-US"/>
        </w:rPr>
      </w:pPr>
      <w:r w:rsidRPr="000D36DF">
        <w:rPr>
          <w:color w:val="000000"/>
          <w:lang w:val="en-US"/>
        </w:rPr>
        <w:t>Italy represents an intriguing and distinctive context for analyzing the interplay between immigration and regional economic performance. Over the past two decades, Italy has emerged as a major destination for immigrants, reaching unprecedented levels in terms of foreign-born residents, who now exceed 5 million people, accounting for approximately 8% of the total population (Bonatti, 2019).</w:t>
      </w:r>
    </w:p>
    <w:p w14:paraId="2C1B476E" w14:textId="1E4F5D78" w:rsidR="008371D0" w:rsidRPr="000D36DF" w:rsidRDefault="008371D0" w:rsidP="000B5F80">
      <w:pPr>
        <w:pStyle w:val="NormaleWeb"/>
        <w:spacing w:line="360" w:lineRule="auto"/>
        <w:jc w:val="both"/>
        <w:rPr>
          <w:color w:val="000000"/>
          <w:lang w:val="en-US"/>
        </w:rPr>
      </w:pPr>
      <w:r w:rsidRPr="000D36DF">
        <w:rPr>
          <w:color w:val="000000"/>
          <w:lang w:val="en-US"/>
        </w:rPr>
        <w:t>Prior research and economic theory suggest that immigration can positively affect the economies of both host and origin countries (Kahanec &amp; Pytlikova</w:t>
      </w:r>
      <w:r w:rsidR="00D6331D">
        <w:rPr>
          <w:color w:val="000000"/>
          <w:lang w:val="en-US"/>
        </w:rPr>
        <w:t xml:space="preserve"> </w:t>
      </w:r>
      <w:r w:rsidRPr="000D36DF">
        <w:rPr>
          <w:color w:val="000000"/>
          <w:lang w:val="en-US"/>
        </w:rPr>
        <w:t>2017</w:t>
      </w:r>
      <w:r w:rsidR="00D6331D">
        <w:rPr>
          <w:color w:val="000000"/>
          <w:lang w:val="en-US"/>
        </w:rPr>
        <w:t>,</w:t>
      </w:r>
      <w:r w:rsidRPr="000D36DF">
        <w:rPr>
          <w:color w:val="000000"/>
          <w:lang w:val="en-US"/>
        </w:rPr>
        <w:t xml:space="preserve"> Koczan et al. 2021). Immigrants contribute to the labor force, aggregate demand, and may introduce skills or entrepreneurial activities that enhance productivity and innovation (Borjas 2019). Borjas (2019, p. 2) specifically describes immigration as a </w:t>
      </w:r>
      <w:r w:rsidR="002B64BF">
        <w:rPr>
          <w:color w:val="000000"/>
          <w:lang w:val="en-US"/>
        </w:rPr>
        <w:t>&lt;&lt;</w:t>
      </w:r>
      <w:r w:rsidRPr="000D36DF">
        <w:rPr>
          <w:color w:val="000000"/>
          <w:lang w:val="en-US"/>
        </w:rPr>
        <w:t>key contributor to economic growth</w:t>
      </w:r>
      <w:r w:rsidR="002B64BF">
        <w:rPr>
          <w:color w:val="000000"/>
          <w:lang w:val="en-US"/>
        </w:rPr>
        <w:t>&gt;&gt;.</w:t>
      </w:r>
      <w:r w:rsidRPr="000D36DF">
        <w:rPr>
          <w:color w:val="000000"/>
          <w:lang w:val="en-US"/>
        </w:rPr>
        <w:t xml:space="preserve"> Cross-country evidence consistently indicates that migration supports economic growth and productivity in advanced economies (Brunow et al. 2015</w:t>
      </w:r>
      <w:r w:rsidR="00D6331D">
        <w:rPr>
          <w:color w:val="000000"/>
          <w:lang w:val="en-US"/>
        </w:rPr>
        <w:t>,</w:t>
      </w:r>
      <w:r w:rsidRPr="000D36DF">
        <w:rPr>
          <w:color w:val="000000"/>
          <w:lang w:val="en-US"/>
        </w:rPr>
        <w:t xml:space="preserve"> </w:t>
      </w:r>
      <w:r w:rsidRPr="00980B64">
        <w:rPr>
          <w:color w:val="000000"/>
          <w:lang w:val="en-US"/>
        </w:rPr>
        <w:t>Dustman &amp; Preston</w:t>
      </w:r>
      <w:r w:rsidR="00D6331D" w:rsidRPr="00980B64">
        <w:rPr>
          <w:color w:val="000000"/>
          <w:lang w:val="en-US"/>
        </w:rPr>
        <w:t xml:space="preserve"> </w:t>
      </w:r>
      <w:r w:rsidRPr="00980B64">
        <w:rPr>
          <w:color w:val="000000"/>
          <w:lang w:val="en-US"/>
        </w:rPr>
        <w:t>2019</w:t>
      </w:r>
      <w:r w:rsidR="00D6331D">
        <w:rPr>
          <w:color w:val="000000"/>
          <w:lang w:val="en-US"/>
        </w:rPr>
        <w:t>,</w:t>
      </w:r>
      <w:r w:rsidRPr="000D36DF">
        <w:rPr>
          <w:color w:val="000000"/>
          <w:lang w:val="en-US"/>
        </w:rPr>
        <w:t xml:space="preserve"> IMF</w:t>
      </w:r>
      <w:r w:rsidR="00D6331D">
        <w:rPr>
          <w:color w:val="000000"/>
          <w:lang w:val="en-US"/>
        </w:rPr>
        <w:t xml:space="preserve"> </w:t>
      </w:r>
      <w:r w:rsidRPr="000D36DF">
        <w:rPr>
          <w:color w:val="000000"/>
          <w:lang w:val="en-US"/>
        </w:rPr>
        <w:t>2020). For instance, IMF (2020) finds that immigration positively impacts per capita output in the short and medium term by increasing both labor supply and efficiency.</w:t>
      </w:r>
    </w:p>
    <w:p w14:paraId="2D90151D" w14:textId="4DF1B472" w:rsidR="008371D0" w:rsidRPr="000D36DF" w:rsidRDefault="008371D0" w:rsidP="000B5F80">
      <w:pPr>
        <w:pStyle w:val="NormaleWeb"/>
        <w:spacing w:line="360" w:lineRule="auto"/>
        <w:jc w:val="both"/>
        <w:rPr>
          <w:color w:val="000000"/>
          <w:lang w:val="en-US"/>
        </w:rPr>
      </w:pPr>
      <w:r w:rsidRPr="000D36DF">
        <w:rPr>
          <w:color w:val="000000"/>
          <w:lang w:val="en-US"/>
        </w:rPr>
        <w:t>Simultaneously, the Italian economy remains characterized by significant regional disparities. The historical geographical and economic divide between Northern and Southern Italy has shown minimal improvement over recent decades. For example, in 2017, GDP per capita in Southern Italy was 45% lower than in the rest of the nation, a gap similar to that recorded in the early 1970s (Bonat</w:t>
      </w:r>
      <w:r w:rsidR="00D6331D">
        <w:rPr>
          <w:color w:val="000000"/>
          <w:lang w:val="en-US"/>
        </w:rPr>
        <w:t>t</w:t>
      </w:r>
      <w:r w:rsidRPr="000D36DF">
        <w:rPr>
          <w:color w:val="000000"/>
          <w:lang w:val="en-US"/>
        </w:rPr>
        <w:t>i 2019). Furthermore, in 2022, this disparity persisted, with per capita GDP in the northwest nearly double that of the Southern regions (€40,900 compared to €21,700, ANSA). Consequently, the regional economic gap underscores the continued relevance of geographical location in analyzing economic outcomes. The historically more industrialized Northern and Central regions consistently outperform Southern regions in terms of wealth and productivity (Bonatti</w:t>
      </w:r>
      <w:r w:rsidR="00D6331D">
        <w:rPr>
          <w:color w:val="000000"/>
          <w:lang w:val="en-US"/>
        </w:rPr>
        <w:t xml:space="preserve"> </w:t>
      </w:r>
      <w:r w:rsidRPr="000D36DF">
        <w:rPr>
          <w:color w:val="000000"/>
          <w:lang w:val="en-US"/>
        </w:rPr>
        <w:t>2019). Structural factors—including infrastructure quality, human capital, and historical investment patterns—contribute to persistent regional inequality. Official statistics reinforce that Southern Italy's GDP per capita remains roughly half that of Northern Italy (Bonatti 2019</w:t>
      </w:r>
      <w:r w:rsidR="00D6331D">
        <w:rPr>
          <w:color w:val="000000"/>
          <w:lang w:val="en-US"/>
        </w:rPr>
        <w:t>,</w:t>
      </w:r>
      <w:r w:rsidRPr="000D36DF">
        <w:rPr>
          <w:color w:val="000000"/>
          <w:lang w:val="en-US"/>
        </w:rPr>
        <w:t xml:space="preserve"> ANSA).</w:t>
      </w:r>
    </w:p>
    <w:p w14:paraId="0B86BE53" w14:textId="4CA45593" w:rsidR="008371D0" w:rsidRPr="000D36DF" w:rsidRDefault="008371D0" w:rsidP="000B5F80">
      <w:pPr>
        <w:pStyle w:val="NormaleWeb"/>
        <w:spacing w:line="360" w:lineRule="auto"/>
        <w:jc w:val="both"/>
        <w:rPr>
          <w:color w:val="000000"/>
          <w:lang w:val="en-US"/>
        </w:rPr>
      </w:pPr>
      <w:r w:rsidRPr="000D36DF">
        <w:rPr>
          <w:color w:val="000000"/>
          <w:lang w:val="en-US"/>
        </w:rPr>
        <w:t>Additionally, immigration has been credited with sustaining economic growth in Italy during periods of declining native labor force. Bugamelli et al. (2018) estimate that Italy's modest GDP growth over recent decades was entirely driven by immigration-driven population growth, given the absence of productivity gains (Bonatti 2019).</w:t>
      </w:r>
    </w:p>
    <w:p w14:paraId="4B401FE3" w14:textId="77777777" w:rsidR="008371D0" w:rsidRPr="000D36DF" w:rsidRDefault="008371D0" w:rsidP="000B5F80">
      <w:pPr>
        <w:pStyle w:val="NormaleWeb"/>
        <w:spacing w:line="360" w:lineRule="auto"/>
        <w:jc w:val="both"/>
        <w:rPr>
          <w:color w:val="000000"/>
          <w:lang w:val="en-US"/>
        </w:rPr>
      </w:pPr>
      <w:r w:rsidRPr="000D36DF">
        <w:rPr>
          <w:color w:val="000000"/>
          <w:lang w:val="en-US"/>
        </w:rPr>
        <w:lastRenderedPageBreak/>
        <w:t>This study investigates the relationship between regional contexts in Italy, net immigration rates, and regional economic performance (expressed through GDP per capita) from 2000 to 2023. Using data from ESS (2023), this research addresses two central questions: Does immigration foster regional economic growth in Italy, and can it contribute to reducing (or exacerbating) regional economic disparities? Addressing these questions is not only academically significant but crucial for policy, especially considering Italy's demographic aging, labor shortages, and entrenched regional inequalities.</w:t>
      </w:r>
    </w:p>
    <w:p w14:paraId="761427F8" w14:textId="77777777" w:rsidR="008371D0" w:rsidRPr="000D36DF" w:rsidRDefault="008371D0" w:rsidP="000B5F80">
      <w:pPr>
        <w:pStyle w:val="NormaleWeb"/>
        <w:spacing w:line="360" w:lineRule="auto"/>
        <w:jc w:val="both"/>
        <w:rPr>
          <w:color w:val="000000"/>
          <w:lang w:val="en-US"/>
        </w:rPr>
      </w:pPr>
      <w:r w:rsidRPr="000D36DF">
        <w:rPr>
          <w:color w:val="000000"/>
          <w:lang w:val="en-US"/>
        </w:rPr>
        <w:t>It is important to note that this paper exclusively focuses on international immigration into Italy, excluding internal migration (e.g., from Southern to Northern regions).</w:t>
      </w:r>
    </w:p>
    <w:p w14:paraId="7E4E537F" w14:textId="327FCAA2" w:rsidR="008371D0" w:rsidRPr="000D36DF" w:rsidRDefault="00E37BB5" w:rsidP="000B5F80">
      <w:pPr>
        <w:pStyle w:val="NormaleWeb"/>
        <w:spacing w:line="360" w:lineRule="auto"/>
        <w:jc w:val="both"/>
        <w:rPr>
          <w:color w:val="000000"/>
          <w:lang w:val="en-US"/>
        </w:rPr>
      </w:pPr>
      <w:r>
        <w:rPr>
          <w:color w:val="000000"/>
          <w:lang w:val="en-US"/>
        </w:rPr>
        <w:t>2.</w:t>
      </w:r>
      <w:r w:rsidR="006822B8">
        <w:rPr>
          <w:color w:val="000000"/>
          <w:lang w:val="en-US"/>
        </w:rPr>
        <w:t xml:space="preserve"> </w:t>
      </w:r>
      <w:r w:rsidR="008371D0" w:rsidRPr="000D36DF">
        <w:rPr>
          <w:color w:val="000000"/>
          <w:lang w:val="en-US"/>
        </w:rPr>
        <w:t>Theoretical Framework, Previous Studies, and Hypotheses</w:t>
      </w:r>
    </w:p>
    <w:p w14:paraId="1DE61976" w14:textId="2824C596" w:rsidR="008371D0" w:rsidRPr="000D36DF" w:rsidRDefault="00E37BB5" w:rsidP="000B5F80">
      <w:pPr>
        <w:pStyle w:val="NormaleWeb"/>
        <w:spacing w:line="360" w:lineRule="auto"/>
        <w:jc w:val="both"/>
        <w:rPr>
          <w:color w:val="000000"/>
          <w:lang w:val="en-US"/>
        </w:rPr>
      </w:pPr>
      <w:r>
        <w:rPr>
          <w:color w:val="000000"/>
          <w:lang w:val="en-US"/>
        </w:rPr>
        <w:t>2</w:t>
      </w:r>
      <w:r w:rsidR="008371D0" w:rsidRPr="000D36DF">
        <w:rPr>
          <w:color w:val="000000"/>
          <w:lang w:val="en-US"/>
        </w:rPr>
        <w:t>.</w:t>
      </w:r>
      <w:r>
        <w:rPr>
          <w:color w:val="000000"/>
          <w:lang w:val="en-US"/>
        </w:rPr>
        <w:t>1</w:t>
      </w:r>
      <w:r w:rsidR="008371D0" w:rsidRPr="000D36DF">
        <w:rPr>
          <w:color w:val="000000"/>
          <w:lang w:val="en-US"/>
        </w:rPr>
        <w:t xml:space="preserve"> Push-Pull Theory</w:t>
      </w:r>
    </w:p>
    <w:p w14:paraId="1F6B941E" w14:textId="74D26566" w:rsidR="008371D0" w:rsidRPr="000D36DF" w:rsidRDefault="008371D0" w:rsidP="000B5F80">
      <w:pPr>
        <w:pStyle w:val="NormaleWeb"/>
        <w:spacing w:line="360" w:lineRule="auto"/>
        <w:jc w:val="both"/>
        <w:rPr>
          <w:color w:val="000000"/>
          <w:lang w:val="en-US"/>
        </w:rPr>
      </w:pPr>
      <w:r w:rsidRPr="000D36DF">
        <w:rPr>
          <w:color w:val="000000"/>
          <w:lang w:val="en-US"/>
        </w:rPr>
        <w:t>When discussing immigration, the Push-Pull Theory provides a useful analytical framework (European Commission). According to this theory, migration decisions are driven by factors that either attract individuals to another country (pull factors) or compel them to leave their home countries (push factors) (European Commission</w:t>
      </w:r>
      <w:r w:rsidR="00FB68D7" w:rsidRPr="000D36DF">
        <w:rPr>
          <w:rStyle w:val="Rimandonotaapidipagina"/>
          <w:color w:val="000000"/>
          <w:lang w:val="en-US"/>
        </w:rPr>
        <w:footnoteReference w:id="1"/>
      </w:r>
      <w:r w:rsidRPr="000D36DF">
        <w:rPr>
          <w:color w:val="000000"/>
          <w:lang w:val="en-US"/>
        </w:rPr>
        <w:t>).</w:t>
      </w:r>
    </w:p>
    <w:p w14:paraId="7D1E0AFA" w14:textId="16585350" w:rsidR="008371D0" w:rsidRPr="000D36DF" w:rsidRDefault="008371D0" w:rsidP="000B5F80">
      <w:pPr>
        <w:pStyle w:val="NormaleWeb"/>
        <w:spacing w:line="360" w:lineRule="auto"/>
        <w:jc w:val="both"/>
        <w:rPr>
          <w:color w:val="000000"/>
          <w:lang w:val="en-US"/>
        </w:rPr>
      </w:pPr>
      <w:r w:rsidRPr="000D36DF">
        <w:rPr>
          <w:color w:val="000000"/>
          <w:lang w:val="en-US"/>
        </w:rPr>
        <w:t>Push factors are contextual variables that encourage people to emigrate (</w:t>
      </w:r>
      <w:r w:rsidRPr="00293BD7">
        <w:rPr>
          <w:color w:val="000000"/>
          <w:lang w:val="en-US"/>
        </w:rPr>
        <w:t xml:space="preserve">Siyal </w:t>
      </w:r>
      <w:r w:rsidRPr="000D36DF">
        <w:rPr>
          <w:color w:val="000000"/>
          <w:lang w:val="en-US"/>
        </w:rPr>
        <w:t>et al. 201</w:t>
      </w:r>
      <w:r w:rsidR="00293BD7">
        <w:rPr>
          <w:color w:val="000000"/>
          <w:lang w:val="en-US"/>
        </w:rPr>
        <w:t>9</w:t>
      </w:r>
      <w:r w:rsidRPr="000D36DF">
        <w:rPr>
          <w:color w:val="000000"/>
          <w:lang w:val="en-US"/>
        </w:rPr>
        <w:t>). Examples include reduced agricultural yields due to climate change (Federal Ministry for Economic Cooperation and Developmen</w:t>
      </w:r>
      <w:r w:rsidR="00D6331D">
        <w:rPr>
          <w:color w:val="000000"/>
          <w:lang w:val="en-US"/>
        </w:rPr>
        <w:t>t</w:t>
      </w:r>
      <w:r w:rsidRPr="000D36DF">
        <w:rPr>
          <w:color w:val="000000"/>
          <w:lang w:val="en-US"/>
        </w:rPr>
        <w:t xml:space="preserve"> 2023</w:t>
      </w:r>
      <w:r w:rsidR="00D6331D">
        <w:rPr>
          <w:color w:val="000000"/>
          <w:lang w:val="en-US"/>
        </w:rPr>
        <w:t>,</w:t>
      </w:r>
      <w:r w:rsidRPr="000D36DF">
        <w:rPr>
          <w:color w:val="000000"/>
          <w:lang w:val="en-US"/>
        </w:rPr>
        <w:t xml:space="preserve"> Dritsaki &amp; Dritsaki</w:t>
      </w:r>
      <w:r w:rsidR="00D6331D">
        <w:rPr>
          <w:color w:val="000000"/>
          <w:lang w:val="en-US"/>
        </w:rPr>
        <w:t xml:space="preserve"> </w:t>
      </w:r>
      <w:r w:rsidRPr="000D36DF">
        <w:rPr>
          <w:color w:val="000000"/>
          <w:lang w:val="en-US"/>
        </w:rPr>
        <w:t>2024), low educational attainment, discrimination, inadequate healthcare systems, limited industrialization (Lee 1966</w:t>
      </w:r>
      <w:r w:rsidR="00D6331D">
        <w:rPr>
          <w:color w:val="000000"/>
          <w:lang w:val="en-US"/>
        </w:rPr>
        <w:t>,</w:t>
      </w:r>
      <w:r w:rsidRPr="000D36DF">
        <w:rPr>
          <w:color w:val="000000"/>
          <w:lang w:val="en-US"/>
        </w:rPr>
        <w:t xml:space="preserve"> Khan</w:t>
      </w:r>
      <w:r w:rsidR="00D6331D">
        <w:rPr>
          <w:color w:val="000000"/>
          <w:lang w:val="en-US"/>
        </w:rPr>
        <w:t xml:space="preserve"> </w:t>
      </w:r>
      <w:r w:rsidRPr="000D36DF">
        <w:rPr>
          <w:color w:val="000000"/>
          <w:lang w:val="en-US"/>
        </w:rPr>
        <w:t>2021), and lack of economic and political freedom (Ashby 2010).</w:t>
      </w:r>
    </w:p>
    <w:p w14:paraId="04980EFC" w14:textId="117777E9" w:rsidR="008371D0" w:rsidRPr="000D36DF" w:rsidRDefault="008371D0" w:rsidP="000B5F80">
      <w:pPr>
        <w:pStyle w:val="NormaleWeb"/>
        <w:spacing w:line="360" w:lineRule="auto"/>
        <w:jc w:val="both"/>
        <w:rPr>
          <w:color w:val="000000"/>
          <w:lang w:val="en-US"/>
        </w:rPr>
      </w:pPr>
      <w:r w:rsidRPr="000D36DF">
        <w:rPr>
          <w:color w:val="000000"/>
          <w:lang w:val="en-US"/>
        </w:rPr>
        <w:t>Conversely, pull factors are incentives attracting individuals to another country, such as improved living conditions, higher wages, better healthcare and education, favorable climate, and lower crime rates (Urbanski</w:t>
      </w:r>
      <w:r w:rsidR="00D6331D">
        <w:rPr>
          <w:color w:val="000000"/>
          <w:lang w:val="en-US"/>
        </w:rPr>
        <w:t xml:space="preserve"> </w:t>
      </w:r>
      <w:r w:rsidRPr="000D36DF">
        <w:rPr>
          <w:color w:val="000000"/>
          <w:lang w:val="en-US"/>
        </w:rPr>
        <w:t>2022). Extensive literature identifies economic opportunities as a primary pull factor, particularly for migrants from developing countries like India (Khalid &amp; Urbanski 202</w:t>
      </w:r>
      <w:r w:rsidR="00483390">
        <w:rPr>
          <w:color w:val="000000"/>
          <w:lang w:val="en-US"/>
        </w:rPr>
        <w:t>1</w:t>
      </w:r>
      <w:r w:rsidR="00D6331D">
        <w:rPr>
          <w:color w:val="000000"/>
          <w:lang w:val="en-US"/>
        </w:rPr>
        <w:t>,</w:t>
      </w:r>
      <w:r w:rsidRPr="000D36DF">
        <w:rPr>
          <w:color w:val="000000"/>
          <w:lang w:val="en-US"/>
        </w:rPr>
        <w:t xml:space="preserve"> Mandal et al. 2018</w:t>
      </w:r>
      <w:r w:rsidR="00D6331D">
        <w:rPr>
          <w:color w:val="000000"/>
          <w:lang w:val="en-US"/>
        </w:rPr>
        <w:t>,</w:t>
      </w:r>
      <w:r w:rsidRPr="000D36DF">
        <w:rPr>
          <w:color w:val="000000"/>
          <w:lang w:val="en-US"/>
        </w:rPr>
        <w:t xml:space="preserve"> Carbajal &amp; De Miguel Calvo 2021).</w:t>
      </w:r>
    </w:p>
    <w:p w14:paraId="58839E41" w14:textId="33FE987E" w:rsidR="008371D0" w:rsidRPr="000D36DF" w:rsidRDefault="00E37BB5" w:rsidP="000B5F80">
      <w:pPr>
        <w:pStyle w:val="NormaleWeb"/>
        <w:spacing w:line="360" w:lineRule="auto"/>
        <w:jc w:val="both"/>
        <w:rPr>
          <w:color w:val="000000"/>
          <w:lang w:val="en-US"/>
        </w:rPr>
      </w:pPr>
      <w:r>
        <w:rPr>
          <w:color w:val="000000"/>
          <w:lang w:val="en-US"/>
        </w:rPr>
        <w:t>2</w:t>
      </w:r>
      <w:r w:rsidR="008371D0" w:rsidRPr="000D36DF">
        <w:rPr>
          <w:color w:val="000000"/>
          <w:lang w:val="en-US"/>
        </w:rPr>
        <w:t>.</w:t>
      </w:r>
      <w:r>
        <w:rPr>
          <w:color w:val="000000"/>
          <w:lang w:val="en-US"/>
        </w:rPr>
        <w:t>2</w:t>
      </w:r>
      <w:r w:rsidR="008371D0" w:rsidRPr="000D36DF">
        <w:rPr>
          <w:color w:val="000000"/>
          <w:lang w:val="en-US"/>
        </w:rPr>
        <w:t xml:space="preserve"> Immigration, Mobility, and Economic Growth</w:t>
      </w:r>
    </w:p>
    <w:p w14:paraId="4C5B131B" w14:textId="7986FAA6" w:rsidR="008371D0" w:rsidRPr="000D36DF" w:rsidRDefault="008371D0" w:rsidP="000B5F80">
      <w:pPr>
        <w:pStyle w:val="NormaleWeb"/>
        <w:spacing w:line="360" w:lineRule="auto"/>
        <w:jc w:val="both"/>
        <w:rPr>
          <w:color w:val="000000"/>
          <w:lang w:val="en-US"/>
        </w:rPr>
      </w:pPr>
      <w:r w:rsidRPr="000D36DF">
        <w:rPr>
          <w:color w:val="000000"/>
          <w:lang w:val="en-US"/>
        </w:rPr>
        <w:lastRenderedPageBreak/>
        <w:t>Literature broadly acknowledges that mobility and international relations foster knowledge exchange, enhancing regional knowledge bases and consequently stimulating economic growth (Peri 2012</w:t>
      </w:r>
      <w:r w:rsidR="00D6331D">
        <w:rPr>
          <w:color w:val="000000"/>
          <w:lang w:val="en-US"/>
        </w:rPr>
        <w:t>,</w:t>
      </w:r>
      <w:r w:rsidRPr="000D36DF">
        <w:rPr>
          <w:color w:val="000000"/>
          <w:lang w:val="en-US"/>
        </w:rPr>
        <w:t xml:space="preserve"> Huber &amp; Tondl 2012</w:t>
      </w:r>
      <w:r w:rsidR="00D6331D">
        <w:rPr>
          <w:color w:val="000000"/>
          <w:lang w:val="en-US"/>
        </w:rPr>
        <w:t xml:space="preserve">, </w:t>
      </w:r>
      <w:r w:rsidRPr="000D36DF">
        <w:rPr>
          <w:color w:val="000000"/>
          <w:lang w:val="en-US"/>
        </w:rPr>
        <w:t>Boubtane et al. 201</w:t>
      </w:r>
      <w:r w:rsidR="00092454">
        <w:rPr>
          <w:color w:val="000000"/>
          <w:lang w:val="en-US"/>
        </w:rPr>
        <w:t>3</w:t>
      </w:r>
      <w:r w:rsidR="00D6331D">
        <w:rPr>
          <w:color w:val="000000"/>
          <w:lang w:val="en-US"/>
        </w:rPr>
        <w:t>, I</w:t>
      </w:r>
      <w:r w:rsidRPr="000D36DF">
        <w:rPr>
          <w:color w:val="000000"/>
          <w:lang w:val="en-US"/>
        </w:rPr>
        <w:t>MF 2020). Frankel and Romer (1999) and Keller (2004), for instance, highlight international trade and foreign direct investment (FDI) as critical mechanisms facilitating cross-national ties and economic openness, thereby positively affecting GDP per capita.</w:t>
      </w:r>
    </w:p>
    <w:p w14:paraId="5CF8D770" w14:textId="636F1984" w:rsidR="008371D0" w:rsidRPr="000D36DF" w:rsidRDefault="008371D0" w:rsidP="000B5F80">
      <w:pPr>
        <w:pStyle w:val="NormaleWeb"/>
        <w:spacing w:line="360" w:lineRule="auto"/>
        <w:jc w:val="both"/>
        <w:rPr>
          <w:color w:val="000000"/>
          <w:lang w:val="en-US"/>
        </w:rPr>
      </w:pPr>
      <w:r w:rsidRPr="000D36DF">
        <w:rPr>
          <w:color w:val="000000"/>
          <w:lang w:val="en-US"/>
        </w:rPr>
        <w:t>Migration constitutes another essential channel of knowledge transfer, impacting a country's ability to assimilate advanced technologies (Andersen &amp; Dalgaard 2011). Migration movements facilitate not only the physical transfer of individuals but also the flow of ideas, which supports economic growth in both sending and receiving regions (Bodvarsson &amp; Van den Berg 2013). Indeed, migration flows function as "information brokers" that connect home and host regions, acting as transnational knowledge conduits (D'Ambrosio et al. 2019, p. 8).</w:t>
      </w:r>
    </w:p>
    <w:p w14:paraId="516DBB5A" w14:textId="2821460A" w:rsidR="008371D0" w:rsidRPr="000D36DF" w:rsidRDefault="008371D0" w:rsidP="000B5F80">
      <w:pPr>
        <w:pStyle w:val="NormaleWeb"/>
        <w:spacing w:line="360" w:lineRule="auto"/>
        <w:jc w:val="both"/>
        <w:rPr>
          <w:color w:val="000000"/>
          <w:lang w:val="en-US"/>
        </w:rPr>
      </w:pPr>
      <w:r w:rsidRPr="000D36DF">
        <w:rPr>
          <w:color w:val="000000"/>
          <w:lang w:val="en-US"/>
        </w:rPr>
        <w:t>Furthermore, globalization processes have intensified, significantly enhancing economic growth globally, a trend partly attributable to the substantial immigrant workforce contributing directly to GDP per capita (</w:t>
      </w:r>
      <w:r w:rsidRPr="006822B8">
        <w:rPr>
          <w:color w:val="000000"/>
          <w:lang w:val="en-US"/>
        </w:rPr>
        <w:t>OECD</w:t>
      </w:r>
      <w:r w:rsidRPr="000D36DF">
        <w:rPr>
          <w:color w:val="000000"/>
          <w:lang w:val="en-US"/>
        </w:rPr>
        <w:t xml:space="preserve"> 2007</w:t>
      </w:r>
      <w:r w:rsidR="00D6331D">
        <w:rPr>
          <w:color w:val="000000"/>
          <w:lang w:val="en-US"/>
        </w:rPr>
        <w:t>,</w:t>
      </w:r>
      <w:r w:rsidRPr="000D36DF">
        <w:rPr>
          <w:color w:val="000000"/>
          <w:lang w:val="en-US"/>
        </w:rPr>
        <w:t xml:space="preserve"> Borjas 2019</w:t>
      </w:r>
      <w:r w:rsidR="00D6331D">
        <w:rPr>
          <w:color w:val="000000"/>
          <w:lang w:val="en-US"/>
        </w:rPr>
        <w:t>,</w:t>
      </w:r>
      <w:r w:rsidRPr="000D36DF">
        <w:rPr>
          <w:color w:val="000000"/>
          <w:lang w:val="en-US"/>
        </w:rPr>
        <w:t xml:space="preserve"> Bernardino et al. 2021). Immigration also stimulates skill mobility and labor market efficiency, positively influencing wage structures and job allocation (Dolado et al. 1994</w:t>
      </w:r>
      <w:r w:rsidR="00D6331D">
        <w:rPr>
          <w:color w:val="000000"/>
          <w:lang w:val="en-US"/>
        </w:rPr>
        <w:t>,</w:t>
      </w:r>
      <w:r w:rsidRPr="000D36DF">
        <w:rPr>
          <w:color w:val="000000"/>
          <w:lang w:val="en-US"/>
        </w:rPr>
        <w:t xml:space="preserve"> Angrist &amp; Kugler 2003</w:t>
      </w:r>
      <w:r w:rsidR="00D6331D">
        <w:rPr>
          <w:color w:val="000000"/>
          <w:lang w:val="en-US"/>
        </w:rPr>
        <w:t>,</w:t>
      </w:r>
      <w:r w:rsidRPr="000D36DF">
        <w:rPr>
          <w:color w:val="000000"/>
          <w:lang w:val="en-US"/>
        </w:rPr>
        <w:t xml:space="preserve"> Borjas 2003</w:t>
      </w:r>
      <w:r w:rsidR="00D6331D">
        <w:rPr>
          <w:color w:val="000000"/>
          <w:lang w:val="en-US"/>
        </w:rPr>
        <w:t>,</w:t>
      </w:r>
      <w:r w:rsidRPr="000D36DF">
        <w:rPr>
          <w:color w:val="000000"/>
          <w:lang w:val="en-US"/>
        </w:rPr>
        <w:t xml:space="preserve"> Boubtane et al. 201</w:t>
      </w:r>
      <w:r w:rsidR="00092454">
        <w:rPr>
          <w:color w:val="000000"/>
          <w:lang w:val="en-US"/>
        </w:rPr>
        <w:t>3</w:t>
      </w:r>
      <w:r w:rsidRPr="000D36DF">
        <w:rPr>
          <w:color w:val="000000"/>
          <w:lang w:val="en-US"/>
        </w:rPr>
        <w:t>).</w:t>
      </w:r>
    </w:p>
    <w:p w14:paraId="79B95976" w14:textId="72523D6F" w:rsidR="008371D0" w:rsidRPr="000D36DF" w:rsidRDefault="008371D0" w:rsidP="000B5F80">
      <w:pPr>
        <w:pStyle w:val="NormaleWeb"/>
        <w:spacing w:line="360" w:lineRule="auto"/>
        <w:jc w:val="both"/>
        <w:rPr>
          <w:color w:val="000000"/>
          <w:lang w:val="en-US"/>
        </w:rPr>
      </w:pPr>
      <w:r w:rsidRPr="000D36DF">
        <w:rPr>
          <w:color w:val="000000"/>
          <w:lang w:val="en-US"/>
        </w:rPr>
        <w:t xml:space="preserve">Another positive impact is </w:t>
      </w:r>
      <w:r w:rsidR="00FB68D7" w:rsidRPr="000D36DF">
        <w:rPr>
          <w:color w:val="000000"/>
          <w:lang w:val="en-US"/>
        </w:rPr>
        <w:t xml:space="preserve">found in Niebuhr (2010) work, where he states: </w:t>
      </w:r>
    </w:p>
    <w:p w14:paraId="6D47CCCD" w14:textId="4DD90668" w:rsidR="00FB68D7" w:rsidRPr="000D36DF" w:rsidRDefault="00FB68D7" w:rsidP="00FB68D7">
      <w:pPr>
        <w:pStyle w:val="NormaleWeb"/>
        <w:spacing w:line="360" w:lineRule="auto"/>
        <w:jc w:val="both"/>
        <w:rPr>
          <w:color w:val="000000"/>
          <w:lang w:val="en-US"/>
        </w:rPr>
      </w:pPr>
      <w:r w:rsidRPr="000D36DF">
        <w:rPr>
          <w:color w:val="000000"/>
          <w:lang w:val="en-US"/>
        </w:rPr>
        <w:t>“</w:t>
      </w:r>
      <w:r w:rsidR="002B64BF">
        <w:rPr>
          <w:color w:val="000000"/>
          <w:lang w:val="en-US"/>
        </w:rPr>
        <w:t>K</w:t>
      </w:r>
      <w:r w:rsidRPr="000D36DF">
        <w:rPr>
          <w:color w:val="000000"/>
          <w:lang w:val="en-US"/>
        </w:rPr>
        <w:t>nowledge and capabilities of workers from diverse cultural backgrounds enhance[s] performance of regional R&amp;D sectors. As regards innovation, the benefits of diversity seem to outweigh the costs caused, for example, by communication barriers.” (p. 563).</w:t>
      </w:r>
    </w:p>
    <w:p w14:paraId="56AA080A" w14:textId="1EC2C609" w:rsidR="008371D0" w:rsidRPr="000D36DF" w:rsidRDefault="008371D0" w:rsidP="000B5F80">
      <w:pPr>
        <w:pStyle w:val="NormaleWeb"/>
        <w:spacing w:line="360" w:lineRule="auto"/>
        <w:jc w:val="both"/>
        <w:rPr>
          <w:color w:val="000000"/>
          <w:lang w:val="en-US"/>
        </w:rPr>
      </w:pPr>
      <w:r w:rsidRPr="000D36DF">
        <w:rPr>
          <w:color w:val="000000"/>
          <w:lang w:val="en-US"/>
        </w:rPr>
        <w:t xml:space="preserve">However, the magnitude of immigration's impact depends on </w:t>
      </w:r>
      <w:r w:rsidR="00FB68D7" w:rsidRPr="000D36DF">
        <w:rPr>
          <w:color w:val="000000"/>
          <w:lang w:val="en-US"/>
        </w:rPr>
        <w:t xml:space="preserve">the </w:t>
      </w:r>
      <w:r w:rsidRPr="000D36DF">
        <w:rPr>
          <w:color w:val="000000"/>
          <w:lang w:val="en-US"/>
        </w:rPr>
        <w:t>host regions' developmental status and absorptive capacity (Aghion et al. 2005, 2009</w:t>
      </w:r>
      <w:r w:rsidR="00D6331D">
        <w:rPr>
          <w:color w:val="000000"/>
          <w:lang w:val="en-US"/>
        </w:rPr>
        <w:t>,</w:t>
      </w:r>
      <w:r w:rsidRPr="000D36DF">
        <w:rPr>
          <w:color w:val="000000"/>
          <w:lang w:val="en-US"/>
        </w:rPr>
        <w:t xml:space="preserve"> Acemoglu et al., 2006).</w:t>
      </w:r>
    </w:p>
    <w:p w14:paraId="24A16C9D" w14:textId="0321CB18" w:rsidR="00293BD7" w:rsidRPr="000D36DF" w:rsidRDefault="008371D0" w:rsidP="00293BD7">
      <w:pPr>
        <w:pStyle w:val="NormaleWeb"/>
        <w:spacing w:line="360" w:lineRule="auto"/>
        <w:jc w:val="both"/>
        <w:rPr>
          <w:color w:val="000000"/>
          <w:lang w:val="en-US"/>
        </w:rPr>
      </w:pPr>
      <w:r w:rsidRPr="000D36DF">
        <w:rPr>
          <w:color w:val="000000"/>
          <w:lang w:val="en-US"/>
        </w:rPr>
        <w:t>Immigration also drives entrepreneurship and innovation, as evidenced by immigrant-founded businesses and innovation contributions across Italian regions (</w:t>
      </w:r>
      <w:r w:rsidRPr="00D32A9E">
        <w:rPr>
          <w:color w:val="000000"/>
          <w:lang w:val="en-US"/>
        </w:rPr>
        <w:t>Kerr &amp; Lincoln,</w:t>
      </w:r>
      <w:r w:rsidRPr="000D36DF">
        <w:rPr>
          <w:color w:val="000000"/>
          <w:lang w:val="en-US"/>
        </w:rPr>
        <w:t xml:space="preserve"> 2010).</w:t>
      </w:r>
    </w:p>
    <w:p w14:paraId="1E54F537" w14:textId="77777777" w:rsidR="008371D0" w:rsidRPr="000D36DF" w:rsidRDefault="008371D0" w:rsidP="000B5F80">
      <w:pPr>
        <w:pStyle w:val="NormaleWeb"/>
        <w:spacing w:line="360" w:lineRule="auto"/>
        <w:jc w:val="both"/>
        <w:rPr>
          <w:i/>
          <w:iCs/>
          <w:color w:val="000000"/>
          <w:lang w:val="en-US"/>
        </w:rPr>
      </w:pPr>
      <w:r w:rsidRPr="000D36DF">
        <w:rPr>
          <w:i/>
          <w:iCs/>
          <w:color w:val="000000"/>
          <w:lang w:val="en-US"/>
        </w:rPr>
        <w:t>Hypothesis 1: Higher immigration rates positively correlate with higher GDP per capita.</w:t>
      </w:r>
    </w:p>
    <w:p w14:paraId="3C4FFAB3" w14:textId="5604D9C5" w:rsidR="008371D0" w:rsidRPr="000D36DF" w:rsidRDefault="00E37BB5" w:rsidP="000B5F80">
      <w:pPr>
        <w:pStyle w:val="NormaleWeb"/>
        <w:spacing w:line="360" w:lineRule="auto"/>
        <w:jc w:val="both"/>
        <w:rPr>
          <w:color w:val="000000"/>
          <w:lang w:val="en-US"/>
        </w:rPr>
      </w:pPr>
      <w:r>
        <w:rPr>
          <w:color w:val="000000"/>
          <w:lang w:val="en-US"/>
        </w:rPr>
        <w:t>2</w:t>
      </w:r>
      <w:r w:rsidR="008371D0" w:rsidRPr="000D36DF">
        <w:rPr>
          <w:color w:val="000000"/>
          <w:lang w:val="en-US"/>
        </w:rPr>
        <w:t>.</w:t>
      </w:r>
      <w:r>
        <w:rPr>
          <w:color w:val="000000"/>
          <w:lang w:val="en-US"/>
        </w:rPr>
        <w:t>3</w:t>
      </w:r>
      <w:r w:rsidR="008371D0" w:rsidRPr="000D36DF">
        <w:rPr>
          <w:color w:val="000000"/>
          <w:lang w:val="en-US"/>
        </w:rPr>
        <w:t xml:space="preserve"> The Italian Context</w:t>
      </w:r>
    </w:p>
    <w:p w14:paraId="635175F3" w14:textId="3FBE27A0" w:rsidR="008371D0" w:rsidRPr="000D36DF" w:rsidRDefault="008371D0" w:rsidP="000B5F80">
      <w:pPr>
        <w:pStyle w:val="NormaleWeb"/>
        <w:spacing w:line="360" w:lineRule="auto"/>
        <w:jc w:val="both"/>
        <w:rPr>
          <w:color w:val="000000"/>
          <w:lang w:val="en-US"/>
        </w:rPr>
      </w:pPr>
      <w:r w:rsidRPr="000D36DF">
        <w:rPr>
          <w:color w:val="000000"/>
          <w:lang w:val="en-US"/>
        </w:rPr>
        <w:t>Cumulative causation theories (</w:t>
      </w:r>
      <w:r w:rsidRPr="003E4CF0">
        <w:rPr>
          <w:color w:val="000000"/>
          <w:lang w:val="en-US"/>
        </w:rPr>
        <w:t>Myrdal</w:t>
      </w:r>
      <w:r w:rsidRPr="000D36DF">
        <w:rPr>
          <w:color w:val="000000"/>
          <w:lang w:val="en-US"/>
        </w:rPr>
        <w:t xml:space="preserve">, 1957) suggest richer regions attract more investment and talent, reinforcing advantages, while poorer regions face persistent challenges. Northern Italy </w:t>
      </w:r>
      <w:r w:rsidRPr="000D36DF">
        <w:rPr>
          <w:color w:val="000000"/>
          <w:lang w:val="en-US"/>
        </w:rPr>
        <w:lastRenderedPageBreak/>
        <w:t xml:space="preserve">historically attracted capital, leading to better job opportunities and infrastructure, whereas Southern Italy suffered from outward migration and economic stagnation </w:t>
      </w:r>
      <w:r w:rsidR="00D24166" w:rsidRPr="003538C2">
        <w:rPr>
          <w:color w:val="000000"/>
          <w:lang w:val="en-US"/>
        </w:rPr>
        <w:t>(Vedovato 1990</w:t>
      </w:r>
      <w:r w:rsidR="00D24166">
        <w:rPr>
          <w:color w:val="000000"/>
          <w:lang w:val="en-US"/>
        </w:rPr>
        <w:t xml:space="preserve">, </w:t>
      </w:r>
      <w:r w:rsidR="00D24166" w:rsidRPr="003538C2">
        <w:rPr>
          <w:color w:val="000000"/>
          <w:lang w:val="en-US"/>
        </w:rPr>
        <w:t>Paci &amp; Pigliaru 1998</w:t>
      </w:r>
      <w:r w:rsidR="00D24166">
        <w:rPr>
          <w:color w:val="000000"/>
          <w:lang w:val="en-US"/>
        </w:rPr>
        <w:t xml:space="preserve">, </w:t>
      </w:r>
      <w:r w:rsidR="00D24166" w:rsidRPr="003538C2">
        <w:rPr>
          <w:color w:val="000000"/>
          <w:lang w:val="en-US"/>
        </w:rPr>
        <w:t>Dunford &amp; Greco</w:t>
      </w:r>
      <w:r w:rsidR="00D24166">
        <w:rPr>
          <w:color w:val="000000"/>
          <w:lang w:val="en-US"/>
        </w:rPr>
        <w:t xml:space="preserve"> </w:t>
      </w:r>
      <w:r w:rsidR="00D24166" w:rsidRPr="003538C2">
        <w:rPr>
          <w:color w:val="000000"/>
          <w:lang w:val="en-US"/>
        </w:rPr>
        <w:t>2008</w:t>
      </w:r>
      <w:r w:rsidR="00D24166">
        <w:rPr>
          <w:color w:val="000000"/>
          <w:lang w:val="en-US"/>
        </w:rPr>
        <w:t xml:space="preserve">, </w:t>
      </w:r>
      <w:r w:rsidR="00D24166" w:rsidRPr="003538C2">
        <w:rPr>
          <w:color w:val="000000"/>
          <w:lang w:val="en-US"/>
        </w:rPr>
        <w:t>Iuzzolino et al. 2011</w:t>
      </w:r>
      <w:r w:rsidR="00D24166">
        <w:rPr>
          <w:color w:val="000000"/>
          <w:lang w:val="en-US"/>
        </w:rPr>
        <w:t>,</w:t>
      </w:r>
      <w:r w:rsidR="00D24166" w:rsidRPr="003538C2">
        <w:rPr>
          <w:color w:val="000000"/>
          <w:lang w:val="en-US"/>
        </w:rPr>
        <w:t xml:space="preserve"> Marinelli 2011</w:t>
      </w:r>
      <w:r w:rsidR="00D24166">
        <w:rPr>
          <w:color w:val="000000"/>
          <w:lang w:val="en-US"/>
        </w:rPr>
        <w:t xml:space="preserve">, </w:t>
      </w:r>
      <w:r w:rsidR="00D24166" w:rsidRPr="003538C2">
        <w:rPr>
          <w:color w:val="000000"/>
          <w:lang w:val="en-US"/>
        </w:rPr>
        <w:t>Mulino et al. 2017</w:t>
      </w:r>
      <w:r w:rsidR="00D24166">
        <w:rPr>
          <w:color w:val="000000"/>
          <w:lang w:val="en-US"/>
        </w:rPr>
        <w:t>,</w:t>
      </w:r>
      <w:r w:rsidR="00D24166" w:rsidRPr="003538C2">
        <w:rPr>
          <w:color w:val="000000"/>
          <w:lang w:val="en-US"/>
        </w:rPr>
        <w:t xml:space="preserve"> Ramazzotti</w:t>
      </w:r>
      <w:r w:rsidR="00D24166">
        <w:rPr>
          <w:color w:val="000000"/>
          <w:lang w:val="en-US"/>
        </w:rPr>
        <w:t xml:space="preserve"> </w:t>
      </w:r>
      <w:r w:rsidR="00D24166" w:rsidRPr="003538C2">
        <w:rPr>
          <w:color w:val="000000"/>
          <w:lang w:val="en-US"/>
        </w:rPr>
        <w:t>2023</w:t>
      </w:r>
      <w:r w:rsidR="00D24166">
        <w:rPr>
          <w:color w:val="000000"/>
          <w:lang w:val="en-US"/>
        </w:rPr>
        <w:t xml:space="preserve">, </w:t>
      </w:r>
      <w:r w:rsidR="00D24166" w:rsidRPr="003538C2">
        <w:rPr>
          <w:color w:val="000000"/>
          <w:lang w:val="en-US"/>
        </w:rPr>
        <w:t>Scarpino et al. 2023</w:t>
      </w:r>
      <w:r w:rsidR="00D24166">
        <w:rPr>
          <w:color w:val="000000"/>
          <w:lang w:val="en-US"/>
        </w:rPr>
        <w:t>,</w:t>
      </w:r>
      <w:r w:rsidR="00D24166" w:rsidRPr="003538C2">
        <w:rPr>
          <w:color w:val="000000"/>
          <w:lang w:val="en-US"/>
        </w:rPr>
        <w:t xml:space="preserve"> Mauro &amp; Pigliaru</w:t>
      </w:r>
      <w:r w:rsidR="00D24166">
        <w:rPr>
          <w:color w:val="000000"/>
          <w:lang w:val="en-US"/>
        </w:rPr>
        <w:t xml:space="preserve"> </w:t>
      </w:r>
      <w:r w:rsidR="00D24166" w:rsidRPr="003538C2">
        <w:rPr>
          <w:color w:val="000000"/>
          <w:lang w:val="en-US"/>
        </w:rPr>
        <w:t>2024</w:t>
      </w:r>
      <w:r w:rsidR="00D24166">
        <w:rPr>
          <w:color w:val="000000"/>
          <w:lang w:val="en-US"/>
        </w:rPr>
        <w:t xml:space="preserve">, </w:t>
      </w:r>
      <w:r w:rsidR="00D24166" w:rsidRPr="003538C2">
        <w:rPr>
          <w:color w:val="000000"/>
          <w:lang w:val="en-US"/>
        </w:rPr>
        <w:t>Colacchio &amp; Forges Davanzati</w:t>
      </w:r>
      <w:r w:rsidR="00D24166">
        <w:rPr>
          <w:color w:val="000000"/>
          <w:lang w:val="en-US"/>
        </w:rPr>
        <w:t xml:space="preserve"> </w:t>
      </w:r>
      <w:r w:rsidR="00D24166" w:rsidRPr="003538C2">
        <w:rPr>
          <w:color w:val="000000"/>
          <w:lang w:val="en-US"/>
        </w:rPr>
        <w:t xml:space="preserve">2025). </w:t>
      </w:r>
      <w:r w:rsidRPr="000D36DF">
        <w:rPr>
          <w:color w:val="000000"/>
          <w:lang w:val="en-US"/>
        </w:rPr>
        <w:t>Differences in institutional quality and governance further exacerbate regional disparities (</w:t>
      </w:r>
      <w:r w:rsidRPr="00811B5E">
        <w:rPr>
          <w:color w:val="000000"/>
          <w:lang w:val="en-US"/>
        </w:rPr>
        <w:t>Putnam</w:t>
      </w:r>
      <w:r w:rsidR="0018329C">
        <w:rPr>
          <w:b/>
          <w:bCs/>
          <w:color w:val="000000"/>
          <w:lang w:val="en-US"/>
        </w:rPr>
        <w:t xml:space="preserve"> </w:t>
      </w:r>
      <w:r w:rsidRPr="000D36DF">
        <w:rPr>
          <w:color w:val="000000"/>
          <w:lang w:val="en-US"/>
        </w:rPr>
        <w:t>1993</w:t>
      </w:r>
      <w:r w:rsidR="0018329C">
        <w:rPr>
          <w:color w:val="000000"/>
          <w:lang w:val="en-US"/>
        </w:rPr>
        <w:t>a, 1993b</w:t>
      </w:r>
      <w:r w:rsidRPr="000D36DF">
        <w:rPr>
          <w:color w:val="000000"/>
          <w:lang w:val="en-US"/>
        </w:rPr>
        <w:t>). Empirical analyses confirm persistent regional income variations, indicating slow convergence among Italian regions (</w:t>
      </w:r>
      <w:r w:rsidRPr="002B1FB0">
        <w:rPr>
          <w:color w:val="000000"/>
          <w:lang w:val="en-US"/>
        </w:rPr>
        <w:t>Cellini</w:t>
      </w:r>
      <w:r w:rsidRPr="00701698">
        <w:rPr>
          <w:b/>
          <w:bCs/>
          <w:color w:val="000000"/>
          <w:lang w:val="en-US"/>
        </w:rPr>
        <w:t xml:space="preserve"> </w:t>
      </w:r>
      <w:r w:rsidRPr="002B1FB0">
        <w:rPr>
          <w:color w:val="000000"/>
          <w:lang w:val="en-US"/>
        </w:rPr>
        <w:t>&amp;</w:t>
      </w:r>
      <w:r w:rsidRPr="00701698">
        <w:rPr>
          <w:b/>
          <w:bCs/>
          <w:color w:val="000000"/>
          <w:lang w:val="en-US"/>
        </w:rPr>
        <w:t xml:space="preserve"> </w:t>
      </w:r>
      <w:r w:rsidRPr="002B1FB0">
        <w:rPr>
          <w:color w:val="000000"/>
          <w:lang w:val="en-US"/>
        </w:rPr>
        <w:t>Scorcu</w:t>
      </w:r>
      <w:r w:rsidR="00235296" w:rsidRPr="00701698">
        <w:rPr>
          <w:b/>
          <w:bCs/>
          <w:color w:val="000000"/>
          <w:lang w:val="en-US"/>
        </w:rPr>
        <w:t xml:space="preserve"> </w:t>
      </w:r>
      <w:r w:rsidRPr="000D36DF">
        <w:rPr>
          <w:color w:val="000000"/>
          <w:lang w:val="en-US"/>
        </w:rPr>
        <w:t>2000</w:t>
      </w:r>
      <w:r w:rsidR="00235296">
        <w:rPr>
          <w:color w:val="000000"/>
          <w:lang w:val="en-US"/>
        </w:rPr>
        <w:t xml:space="preserve">, </w:t>
      </w:r>
      <w:r w:rsidRPr="000D36DF">
        <w:rPr>
          <w:color w:val="000000"/>
          <w:lang w:val="en-US"/>
        </w:rPr>
        <w:t>OECD 2019</w:t>
      </w:r>
      <w:r w:rsidR="00235296">
        <w:rPr>
          <w:color w:val="000000"/>
          <w:lang w:val="en-US"/>
        </w:rPr>
        <w:t xml:space="preserve">, </w:t>
      </w:r>
      <w:r w:rsidRPr="002B1FB0">
        <w:rPr>
          <w:color w:val="000000"/>
          <w:lang w:val="en-US"/>
        </w:rPr>
        <w:t>European Commission</w:t>
      </w:r>
      <w:r w:rsidR="00235296" w:rsidRPr="00DB5F37">
        <w:rPr>
          <w:b/>
          <w:bCs/>
          <w:color w:val="000000"/>
          <w:lang w:val="en-US"/>
        </w:rPr>
        <w:t xml:space="preserve"> </w:t>
      </w:r>
      <w:r w:rsidRPr="000D36DF">
        <w:rPr>
          <w:color w:val="000000"/>
          <w:lang w:val="en-US"/>
        </w:rPr>
        <w:t>2023).</w:t>
      </w:r>
    </w:p>
    <w:p w14:paraId="3661D631" w14:textId="6A18C6D4" w:rsidR="008371D0" w:rsidRPr="000D36DF" w:rsidRDefault="00E37BB5" w:rsidP="000B5F80">
      <w:pPr>
        <w:pStyle w:val="NormaleWeb"/>
        <w:spacing w:line="360" w:lineRule="auto"/>
        <w:jc w:val="both"/>
        <w:rPr>
          <w:color w:val="000000"/>
          <w:lang w:val="en-US"/>
        </w:rPr>
      </w:pPr>
      <w:r>
        <w:rPr>
          <w:color w:val="000000"/>
          <w:lang w:val="en-US"/>
        </w:rPr>
        <w:t>2</w:t>
      </w:r>
      <w:r w:rsidR="008371D0" w:rsidRPr="000D36DF">
        <w:rPr>
          <w:color w:val="000000"/>
          <w:lang w:val="en-US"/>
        </w:rPr>
        <w:t>.</w:t>
      </w:r>
      <w:r>
        <w:rPr>
          <w:color w:val="000000"/>
          <w:lang w:val="en-US"/>
        </w:rPr>
        <w:t>4</w:t>
      </w:r>
      <w:r w:rsidR="008371D0" w:rsidRPr="000D36DF">
        <w:rPr>
          <w:color w:val="000000"/>
          <w:lang w:val="en-US"/>
        </w:rPr>
        <w:t xml:space="preserve"> Italy and Immigration</w:t>
      </w:r>
    </w:p>
    <w:p w14:paraId="6262DDCE" w14:textId="331A05A7" w:rsidR="008371D0" w:rsidRPr="000D36DF" w:rsidRDefault="008371D0" w:rsidP="000B5F80">
      <w:pPr>
        <w:pStyle w:val="NormaleWeb"/>
        <w:spacing w:line="360" w:lineRule="auto"/>
        <w:jc w:val="both"/>
        <w:rPr>
          <w:color w:val="000000"/>
          <w:lang w:val="en-US"/>
        </w:rPr>
      </w:pPr>
      <w:r w:rsidRPr="000D36DF">
        <w:rPr>
          <w:color w:val="000000"/>
          <w:lang w:val="en-US"/>
        </w:rPr>
        <w:t>In 2023, Italy’s principal immigrant origins include Ukraine (32.9%), Albania (28.9%), Bangladesh (24.9%), and Romania (21.9%)</w:t>
      </w:r>
      <w:r w:rsidR="00DB5F37">
        <w:rPr>
          <w:color w:val="000000"/>
          <w:lang w:val="en-US"/>
        </w:rPr>
        <w:t xml:space="preserve"> (ANPAL, 2023)</w:t>
      </w:r>
      <w:r w:rsidRPr="000D36DF">
        <w:rPr>
          <w:color w:val="000000"/>
          <w:lang w:val="en-US"/>
        </w:rPr>
        <w:t>. Given Italy's declining native birth rates and aging population, the country relies increasingly on immigrant labor to sustain economic growth. Immigrants contribute significantly to Italy’s GDP, employment rates, and welfare sustainability (</w:t>
      </w:r>
      <w:r w:rsidRPr="002B1FB0">
        <w:rPr>
          <w:color w:val="000000"/>
          <w:lang w:val="en-US"/>
        </w:rPr>
        <w:t>OECD 2019</w:t>
      </w:r>
      <w:r w:rsidR="002B1FB0">
        <w:rPr>
          <w:b/>
          <w:bCs/>
          <w:color w:val="000000"/>
          <w:lang w:val="en-US"/>
        </w:rPr>
        <w:t xml:space="preserve">, </w:t>
      </w:r>
      <w:r w:rsidRPr="00A55F0E">
        <w:rPr>
          <w:color w:val="000000"/>
          <w:lang w:val="en-US"/>
        </w:rPr>
        <w:t>IOM</w:t>
      </w:r>
      <w:r w:rsidR="002B1FB0">
        <w:rPr>
          <w:color w:val="000000"/>
          <w:lang w:val="en-US"/>
        </w:rPr>
        <w:t xml:space="preserve"> </w:t>
      </w:r>
      <w:r w:rsidRPr="00A55F0E">
        <w:rPr>
          <w:color w:val="000000"/>
          <w:lang w:val="en-US"/>
        </w:rPr>
        <w:t>2017</w:t>
      </w:r>
      <w:r w:rsidRPr="000D36DF">
        <w:rPr>
          <w:color w:val="000000"/>
          <w:lang w:val="en-US"/>
        </w:rPr>
        <w:t>).</w:t>
      </w:r>
    </w:p>
    <w:p w14:paraId="08475037" w14:textId="7534B27C" w:rsidR="006E4E1B" w:rsidRPr="000D36DF" w:rsidRDefault="008371D0" w:rsidP="000B5F80">
      <w:pPr>
        <w:pStyle w:val="p1"/>
        <w:spacing w:line="360" w:lineRule="auto"/>
        <w:jc w:val="both"/>
        <w:rPr>
          <w:lang w:val="en-US"/>
        </w:rPr>
      </w:pPr>
      <w:r w:rsidRPr="000D36DF">
        <w:rPr>
          <w:color w:val="000000"/>
          <w:lang w:val="en-US"/>
        </w:rPr>
        <w:t>Nonetheless, the specific economic contribution of immigration varies based on immigrants' skill levels and labor market conditions</w:t>
      </w:r>
      <w:r w:rsidR="006E4E1B" w:rsidRPr="000D36DF">
        <w:rPr>
          <w:color w:val="000000"/>
          <w:lang w:val="en-US"/>
        </w:rPr>
        <w:t>. As a consequence, the</w:t>
      </w:r>
      <w:r w:rsidR="006E4E1B" w:rsidRPr="000D36DF">
        <w:rPr>
          <w:lang w:val="en-US"/>
        </w:rPr>
        <w:t xml:space="preserve"> magnitude of the immigration effect depends on context. Factors such as the skill composition of immigrants, the flexibility of the labor market, and the capacity of the economy to absorb new workers will inevitably differ, influencing the possible outcomes. In Italy, many immigrants are employed in temporary occupations (</w:t>
      </w:r>
      <w:r w:rsidR="006E4E1B" w:rsidRPr="00A55F0E">
        <w:rPr>
          <w:lang w:val="en-US"/>
        </w:rPr>
        <w:t>OECD</w:t>
      </w:r>
      <w:r w:rsidR="006E4E1B" w:rsidRPr="000D36DF">
        <w:rPr>
          <w:lang w:val="en-US"/>
        </w:rPr>
        <w:t xml:space="preserve"> 201</w:t>
      </w:r>
      <w:r w:rsidR="00F32E94">
        <w:rPr>
          <w:lang w:val="en-US"/>
        </w:rPr>
        <w:t>4</w:t>
      </w:r>
      <w:r w:rsidR="006E4E1B" w:rsidRPr="000D36DF">
        <w:rPr>
          <w:lang w:val="en-US"/>
        </w:rPr>
        <w:t>), which has a twofold implication. On one hand, it means that immigrants occupy jobs that would otherwise remain vacant. On the other hand, economic growth in terms of GDP per capita generated by immigrants occupying precarious employment positions will not be very high, given their limited contribution. Nonetheless, even low-skilled immigration can indirectly raise native productivity by enabling locals to transition into higher-skilled roles or by preventing losses in sectors that would contract without immigrant labor (</w:t>
      </w:r>
      <w:r w:rsidR="006E4E1B" w:rsidRPr="00A55F0E">
        <w:rPr>
          <w:lang w:val="en-US"/>
        </w:rPr>
        <w:t>Foged &amp; Peri,</w:t>
      </w:r>
      <w:r w:rsidR="006E4E1B" w:rsidRPr="000D36DF">
        <w:rPr>
          <w:lang w:val="en-US"/>
        </w:rPr>
        <w:t xml:space="preserve"> 201</w:t>
      </w:r>
      <w:r w:rsidR="009A7EDA">
        <w:rPr>
          <w:lang w:val="en-US"/>
        </w:rPr>
        <w:t>5</w:t>
      </w:r>
      <w:r w:rsidR="006E4E1B" w:rsidRPr="000D36DF">
        <w:rPr>
          <w:lang w:val="en-US"/>
        </w:rPr>
        <w:t>).</w:t>
      </w:r>
    </w:p>
    <w:p w14:paraId="745E896E" w14:textId="6AF753CB" w:rsidR="000B5F80" w:rsidRPr="000D36DF" w:rsidRDefault="00E37BB5" w:rsidP="000B5F80">
      <w:pPr>
        <w:pStyle w:val="p1"/>
        <w:spacing w:line="360" w:lineRule="auto"/>
        <w:jc w:val="both"/>
        <w:rPr>
          <w:lang w:val="en-US"/>
        </w:rPr>
      </w:pPr>
      <w:r>
        <w:rPr>
          <w:lang w:val="en-US"/>
        </w:rPr>
        <w:t>2</w:t>
      </w:r>
      <w:r w:rsidR="00B30158" w:rsidRPr="000D36DF">
        <w:rPr>
          <w:lang w:val="en-US"/>
        </w:rPr>
        <w:t>.</w:t>
      </w:r>
      <w:r>
        <w:rPr>
          <w:lang w:val="en-US"/>
        </w:rPr>
        <w:t>5</w:t>
      </w:r>
      <w:r w:rsidR="00B30158" w:rsidRPr="000D36DF">
        <w:rPr>
          <w:lang w:val="en-US"/>
        </w:rPr>
        <w:t xml:space="preserve"> </w:t>
      </w:r>
      <w:r w:rsidR="000B5F80" w:rsidRPr="000D36DF">
        <w:rPr>
          <w:lang w:val="en-US"/>
        </w:rPr>
        <w:t xml:space="preserve">Italian regional disparities and immigration </w:t>
      </w:r>
    </w:p>
    <w:p w14:paraId="284C377C" w14:textId="175FCC86" w:rsidR="000B5F80" w:rsidRPr="000D36DF" w:rsidRDefault="000B5F80" w:rsidP="005F74CB">
      <w:pPr>
        <w:pStyle w:val="p1"/>
        <w:spacing w:line="360" w:lineRule="auto"/>
        <w:jc w:val="both"/>
        <w:rPr>
          <w:lang w:val="en-US"/>
        </w:rPr>
      </w:pPr>
      <w:r w:rsidRPr="000D36DF">
        <w:rPr>
          <w:lang w:val="en-US"/>
        </w:rPr>
        <w:t xml:space="preserve">Neoclassical growth theory suggests that labor mobility functions as a mechanism for convergence: workers move to regions with labor shortages—often those offering higher wages—thereby equalizing the marginal productivity of labor across regions over time (Solow, 1999). In the Italian case, however, labor mobility has historically taken the form of internal migration from the South to the North, arguably exacerbating the South’s depopulation and economic decline. International immigration introduces a different dynamic: rather than redistributing Italians within the country, it </w:t>
      </w:r>
      <w:r w:rsidRPr="000D36DF">
        <w:rPr>
          <w:lang w:val="en-US"/>
        </w:rPr>
        <w:lastRenderedPageBreak/>
        <w:t>brings additional people from abroad. If some of these newcomers settle in the South or in economically disadvantaged areas, they may contribute to local economies in ways that help reduce the persistent North–South divide. For instance, foreign workers have become essential to Southern Italy’s agriculture and caregiving sectors, supporting productivity in areas that might otherwise face even more severe economic contractions. Some rural towns have even leveraged immigration to counteract population decline and revitalize local businesses—such as small-scale manufacturing and artisan enterprises—illustrating immigration’s potential to stimulate lagging regions (</w:t>
      </w:r>
      <w:r w:rsidR="004E2A90">
        <w:rPr>
          <w:lang w:val="en-US"/>
        </w:rPr>
        <w:t>ISTAT 2021, Del Giudice 2023</w:t>
      </w:r>
      <w:r w:rsidRPr="000D36DF">
        <w:rPr>
          <w:lang w:val="en-US"/>
        </w:rPr>
        <w:t>).</w:t>
      </w:r>
    </w:p>
    <w:p w14:paraId="5A24D6DD" w14:textId="69BDD1CA" w:rsidR="005F74CB" w:rsidRDefault="000B5F80" w:rsidP="000B5F80">
      <w:pPr>
        <w:pStyle w:val="p1"/>
        <w:spacing w:line="360" w:lineRule="auto"/>
        <w:jc w:val="both"/>
        <w:rPr>
          <w:lang w:val="en-US"/>
        </w:rPr>
      </w:pPr>
      <w:r w:rsidRPr="000D36DF">
        <w:rPr>
          <w:lang w:val="en-US"/>
        </w:rPr>
        <w:t>Empirical evidence on whether immigration reduces or exacerbates regional disparities remains mixed. As previously discussed, studies such as Berardino et al. (2021) indicate that regions receiving a larger number of immigrants experienced a greater economic boost than those receiving fewer. In Centre-North regions, both the scale and diversity of immigration positively influenced per capita GDP growth. In the South, however, only the scale of immigration had a positive effect, and that effect was significantly smaller (Berardino et al.</w:t>
      </w:r>
      <w:r w:rsidR="002B1FB0">
        <w:rPr>
          <w:lang w:val="en-US"/>
        </w:rPr>
        <w:t xml:space="preserve"> </w:t>
      </w:r>
      <w:r w:rsidRPr="000D36DF">
        <w:rPr>
          <w:lang w:val="en-US"/>
        </w:rPr>
        <w:t>2021). These findings suggest that wealthier regions were better positioned to transform immigration into economic gains, while poorer regions benefited less—possibly even widening the existing economic gap.</w:t>
      </w:r>
    </w:p>
    <w:p w14:paraId="50D45400" w14:textId="307380E6" w:rsidR="000B5F80" w:rsidRPr="000D36DF" w:rsidRDefault="000B5F80" w:rsidP="000B5F80">
      <w:pPr>
        <w:pStyle w:val="p1"/>
        <w:spacing w:line="360" w:lineRule="auto"/>
        <w:jc w:val="both"/>
        <w:rPr>
          <w:lang w:val="en-US"/>
        </w:rPr>
      </w:pPr>
      <w:r w:rsidRPr="000D36DF">
        <w:rPr>
          <w:lang w:val="en-US"/>
        </w:rPr>
        <w:t>In the context of a regression model, regional fixed effects or dummy variables are expected to be jointly significant, indicating that the “region of reference” contributes meaningfully to the model’s explanatory power.</w:t>
      </w:r>
    </w:p>
    <w:p w14:paraId="3DC1BC04" w14:textId="0EC42638" w:rsidR="000B5F80" w:rsidRPr="000D36DF" w:rsidRDefault="000B5F80" w:rsidP="000B5F80">
      <w:pPr>
        <w:pStyle w:val="p1"/>
        <w:spacing w:line="360" w:lineRule="auto"/>
        <w:jc w:val="both"/>
        <w:rPr>
          <w:lang w:val="en-US"/>
        </w:rPr>
      </w:pPr>
      <w:r w:rsidRPr="000D36DF">
        <w:rPr>
          <w:lang w:val="en-US"/>
        </w:rPr>
        <w:t>Furthermore, Berardino et al. (2021) found that an increased share of immigration significantly fostered output per capita between 2003 and 2017, with provinces that experienced higher immigration rates also registering higher income per resident. This positive association supports the rationale that when regions attract more immigrants, they often reap economic benefits in terms of both output and income.</w:t>
      </w:r>
    </w:p>
    <w:p w14:paraId="3773EC3A" w14:textId="15FADCC2" w:rsidR="000B5F80" w:rsidRPr="000D36DF" w:rsidRDefault="000B5F80" w:rsidP="000B5F80">
      <w:pPr>
        <w:pStyle w:val="p1"/>
        <w:spacing w:line="360" w:lineRule="auto"/>
        <w:jc w:val="both"/>
        <w:rPr>
          <w:lang w:val="en-US"/>
        </w:rPr>
      </w:pPr>
      <w:r w:rsidRPr="000D36DF">
        <w:rPr>
          <w:lang w:val="en-US"/>
        </w:rPr>
        <w:t>However, these findings also highlight an important caveat: immigration alone does not necessarily act as an equalizer of regional disparities. In fact, it may exacerbate inequality if the distribution of immigrants is uneven or if infrastructure and labor market access—both for natives and immigrants—remain inadequate.</w:t>
      </w:r>
    </w:p>
    <w:p w14:paraId="594058FC" w14:textId="0F09D41B" w:rsidR="000B5F80" w:rsidRPr="000D36DF" w:rsidRDefault="000B5F80" w:rsidP="000B5F80">
      <w:pPr>
        <w:pStyle w:val="p1"/>
        <w:spacing w:line="360" w:lineRule="auto"/>
        <w:jc w:val="both"/>
        <w:rPr>
          <w:lang w:val="en-US"/>
        </w:rPr>
      </w:pPr>
      <w:r w:rsidRPr="000D36DF">
        <w:rPr>
          <w:lang w:val="en-US"/>
        </w:rPr>
        <w:t>Nevertheless, immigrants have helped maintain economic activity in Southern regions. As aging and out-migration have reduced the native labor force, immigrants have partially compensated for this loss, sustaining local employment levels (Bonatti</w:t>
      </w:r>
      <w:r w:rsidR="002B1FB0">
        <w:rPr>
          <w:lang w:val="en-US"/>
        </w:rPr>
        <w:t xml:space="preserve"> </w:t>
      </w:r>
      <w:r w:rsidRPr="000D36DF">
        <w:rPr>
          <w:lang w:val="en-US"/>
        </w:rPr>
        <w:t>2019).</w:t>
      </w:r>
    </w:p>
    <w:p w14:paraId="3FB3A152" w14:textId="45E4FBFD" w:rsidR="000B5F80" w:rsidRPr="000D36DF" w:rsidRDefault="000B5F80" w:rsidP="000B5F80">
      <w:pPr>
        <w:pStyle w:val="p1"/>
        <w:spacing w:line="360" w:lineRule="auto"/>
        <w:jc w:val="both"/>
        <w:rPr>
          <w:lang w:val="en-US"/>
        </w:rPr>
      </w:pPr>
      <w:r w:rsidRPr="000D36DF">
        <w:rPr>
          <w:lang w:val="en-US"/>
        </w:rPr>
        <w:lastRenderedPageBreak/>
        <w:t>Moreover, the immigration rate may serve as a moderating variable in the relationship between regional context and GDP per capita. It is reasonable to expect that regions with higher immigration rates might experience a reduction in the strength of the “region effect” on income. The influx of new workers and consumers can stimulate growth regardless of initial regional disadvantages. In this sense, immigration could function as an external shock capable of triggering economic development in multiple regions. This, in turn, could offer insights into how immigration might reduce the preexisting economic gap between regions, with those experiencing larger inflows of immigrants potentially benefiting more in terms of economic growth.</w:t>
      </w:r>
    </w:p>
    <w:p w14:paraId="680AD9B2" w14:textId="2264B88C" w:rsidR="000B5F80" w:rsidRPr="000D36DF" w:rsidRDefault="000B5F80" w:rsidP="000B5F80">
      <w:pPr>
        <w:pStyle w:val="p3"/>
        <w:spacing w:line="360" w:lineRule="auto"/>
        <w:jc w:val="both"/>
        <w:rPr>
          <w:i/>
          <w:iCs/>
          <w:lang w:val="en-US"/>
        </w:rPr>
      </w:pPr>
      <w:r w:rsidRPr="000D36DF">
        <w:rPr>
          <w:i/>
          <w:iCs/>
          <w:lang w:val="en-US"/>
        </w:rPr>
        <w:t>H</w:t>
      </w:r>
      <w:r w:rsidR="00BD7BA4">
        <w:rPr>
          <w:i/>
          <w:iCs/>
          <w:lang w:val="en-US"/>
        </w:rPr>
        <w:t>2</w:t>
      </w:r>
      <w:r w:rsidRPr="000D36DF">
        <w:rPr>
          <w:i/>
          <w:iCs/>
          <w:lang w:val="en-US"/>
        </w:rPr>
        <w:t>: The higher the immigration rate, the lower the effect of regional context on GDP per capita.</w:t>
      </w:r>
    </w:p>
    <w:p w14:paraId="73813878" w14:textId="587243A0" w:rsidR="000B5F80" w:rsidRPr="000D36DF" w:rsidRDefault="00E37BB5" w:rsidP="006E4E1B">
      <w:pPr>
        <w:pStyle w:val="p1"/>
        <w:rPr>
          <w:lang w:val="en-US"/>
        </w:rPr>
      </w:pPr>
      <w:r>
        <w:rPr>
          <w:lang w:val="en-US"/>
        </w:rPr>
        <w:t>3.</w:t>
      </w:r>
      <w:r w:rsidR="00C96CF9">
        <w:rPr>
          <w:lang w:val="en-US"/>
        </w:rPr>
        <w:t xml:space="preserve"> </w:t>
      </w:r>
      <w:r w:rsidR="00B30158" w:rsidRPr="000D36DF">
        <w:rPr>
          <w:lang w:val="en-US"/>
        </w:rPr>
        <w:t xml:space="preserve">Data and Variables </w:t>
      </w:r>
    </w:p>
    <w:p w14:paraId="56620923" w14:textId="3299433E" w:rsidR="000A6A25" w:rsidRPr="000D36DF" w:rsidRDefault="00E37BB5" w:rsidP="006E4E1B">
      <w:pPr>
        <w:pStyle w:val="p1"/>
        <w:rPr>
          <w:lang w:val="en-US"/>
        </w:rPr>
      </w:pPr>
      <w:r>
        <w:rPr>
          <w:lang w:val="en-US"/>
        </w:rPr>
        <w:t>3.1</w:t>
      </w:r>
      <w:r w:rsidR="00C96CF9">
        <w:rPr>
          <w:lang w:val="en-US"/>
        </w:rPr>
        <w:t xml:space="preserve"> </w:t>
      </w:r>
      <w:r w:rsidR="000A6A25" w:rsidRPr="000D36DF">
        <w:rPr>
          <w:lang w:val="en-US"/>
        </w:rPr>
        <w:t>Data</w:t>
      </w:r>
    </w:p>
    <w:p w14:paraId="331A19C4" w14:textId="05D7C7ED" w:rsidR="00243D9C" w:rsidRPr="00243D9C" w:rsidRDefault="00243D9C" w:rsidP="00243D9C">
      <w:pPr>
        <w:pStyle w:val="p1"/>
        <w:spacing w:line="360" w:lineRule="auto"/>
        <w:jc w:val="both"/>
        <w:rPr>
          <w:lang w:val="en-US"/>
        </w:rPr>
      </w:pPr>
      <w:r w:rsidRPr="00243D9C">
        <w:rPr>
          <w:lang w:val="en-US"/>
        </w:rPr>
        <w:t>The European Social Survey is a large-scale, cross-national, and repeated cross-sectional survey research program. For this analysis, panel multilevel data from Italy</w:t>
      </w:r>
      <w:r w:rsidRPr="000D36DF">
        <w:rPr>
          <w:lang w:val="en-US"/>
        </w:rPr>
        <w:t xml:space="preserve"> is used</w:t>
      </w:r>
      <w:r w:rsidRPr="00243D9C">
        <w:rPr>
          <w:lang w:val="en-US"/>
        </w:rPr>
        <w:t>, covering the period from 2000 to 2023, and focusing exclusively on macro-level observations categorized at the NUTS2 (regional) level.</w:t>
      </w:r>
    </w:p>
    <w:p w14:paraId="0B5B43DB" w14:textId="77777777" w:rsidR="00243D9C" w:rsidRPr="00243D9C" w:rsidRDefault="00243D9C" w:rsidP="00243D9C">
      <w:pPr>
        <w:pStyle w:val="p1"/>
        <w:spacing w:line="360" w:lineRule="auto"/>
        <w:jc w:val="both"/>
        <w:rPr>
          <w:lang w:val="en-US"/>
        </w:rPr>
      </w:pPr>
      <w:r w:rsidRPr="00243D9C">
        <w:rPr>
          <w:lang w:val="en-US"/>
        </w:rPr>
        <w:t>The final analytical sample consists of 205 observations.</w:t>
      </w:r>
    </w:p>
    <w:p w14:paraId="4507BBC6" w14:textId="52B94983" w:rsidR="00B30158" w:rsidRPr="000D36DF" w:rsidRDefault="00E37BB5" w:rsidP="006E4E1B">
      <w:pPr>
        <w:pStyle w:val="p1"/>
        <w:rPr>
          <w:lang w:val="en-US"/>
        </w:rPr>
      </w:pPr>
      <w:r>
        <w:rPr>
          <w:lang w:val="en-US"/>
        </w:rPr>
        <w:t xml:space="preserve">3.2 </w:t>
      </w:r>
      <w:r w:rsidR="00B30158" w:rsidRPr="000D36DF">
        <w:rPr>
          <w:lang w:val="en-US"/>
        </w:rPr>
        <w:t xml:space="preserve">Variables </w:t>
      </w:r>
    </w:p>
    <w:p w14:paraId="400A8C52" w14:textId="440F1475" w:rsidR="00A966CB" w:rsidRPr="000D36DF" w:rsidRDefault="00243D9C" w:rsidP="00243D9C">
      <w:pPr>
        <w:pStyle w:val="p1"/>
        <w:spacing w:line="360" w:lineRule="auto"/>
        <w:jc w:val="both"/>
        <w:rPr>
          <w:lang w:val="en-US"/>
        </w:rPr>
      </w:pPr>
      <w:r w:rsidRPr="00243D9C">
        <w:rPr>
          <w:lang w:val="en-US"/>
        </w:rPr>
        <w:t>The dependent variable (Y)</w:t>
      </w:r>
      <w:r w:rsidRPr="000D36DF">
        <w:rPr>
          <w:lang w:val="en-US"/>
        </w:rPr>
        <w:t>, ”GDP per capita</w:t>
      </w:r>
      <w:r w:rsidRPr="00243D9C">
        <w:rPr>
          <w:lang w:val="en-US"/>
        </w:rPr>
        <w:t xml:space="preserve">” </w:t>
      </w:r>
      <w:r w:rsidRPr="000D36DF">
        <w:rPr>
          <w:lang w:val="en-US"/>
        </w:rPr>
        <w:t xml:space="preserve">is a </w:t>
      </w:r>
      <w:r w:rsidR="00757B6F" w:rsidRPr="000D36DF">
        <w:rPr>
          <w:lang w:val="en-US"/>
        </w:rPr>
        <w:t>continuous variable useful as it is commonly used in the literature as an indicator of national economic performance, reflecting average living standards or economic well-being (OECD 2013)</w:t>
      </w:r>
      <w:r w:rsidRPr="000D36DF">
        <w:rPr>
          <w:lang w:val="en-US"/>
        </w:rPr>
        <w:t xml:space="preserve">. </w:t>
      </w:r>
      <w:r w:rsidR="00A966CB" w:rsidRPr="000D36DF">
        <w:rPr>
          <w:lang w:val="en-US"/>
        </w:rPr>
        <w:t>Figure 1 reports the GDP per capita trend over the years for each region.</w:t>
      </w:r>
      <w:r w:rsidR="00757B6F" w:rsidRPr="000D36DF">
        <w:rPr>
          <w:lang w:val="en-US"/>
        </w:rPr>
        <w:t xml:space="preserve"> </w:t>
      </w:r>
    </w:p>
    <w:p w14:paraId="0C827FCD" w14:textId="44BA8F0F" w:rsidR="00A966CB" w:rsidRPr="000D36DF" w:rsidRDefault="00A966CB" w:rsidP="00243D9C">
      <w:pPr>
        <w:pStyle w:val="p1"/>
        <w:spacing w:line="360" w:lineRule="auto"/>
        <w:jc w:val="both"/>
        <w:rPr>
          <w:lang w:val="en-US"/>
        </w:rPr>
      </w:pPr>
      <w:r w:rsidRPr="00E02E63">
        <w:rPr>
          <w:lang w:val="en-US"/>
        </w:rPr>
        <w:t xml:space="preserve">Figure 1. </w:t>
      </w:r>
      <w:r w:rsidRPr="000D36DF">
        <w:rPr>
          <w:lang w:val="en-US"/>
        </w:rPr>
        <w:t xml:space="preserve">GDP per capita trend for regions </w:t>
      </w:r>
      <w:r w:rsidR="00862D5F">
        <w:rPr>
          <w:lang w:val="en-US"/>
        </w:rPr>
        <w:t>from</w:t>
      </w:r>
      <w:r w:rsidRPr="000D36DF">
        <w:rPr>
          <w:lang w:val="en-US"/>
        </w:rPr>
        <w:t xml:space="preserve"> 2000 to 2023</w:t>
      </w:r>
    </w:p>
    <w:p w14:paraId="0CFDD6B3" w14:textId="1DCFB654" w:rsidR="00A966CB" w:rsidRPr="000D36DF" w:rsidRDefault="00A966CB" w:rsidP="00243D9C">
      <w:pPr>
        <w:pStyle w:val="p1"/>
        <w:spacing w:line="360" w:lineRule="auto"/>
        <w:jc w:val="both"/>
        <w:rPr>
          <w:lang w:val="en-US"/>
        </w:rPr>
      </w:pPr>
      <w:r w:rsidRPr="000D36DF">
        <w:rPr>
          <w:noProof/>
          <w:lang w:val="en-US"/>
        </w:rPr>
        <w:lastRenderedPageBreak/>
        <w:drawing>
          <wp:inline distT="0" distB="0" distL="0" distR="0" wp14:anchorId="4492648C" wp14:editId="24AA9646">
            <wp:extent cx="6120130" cy="4450715"/>
            <wp:effectExtent l="0" t="0" r="1270" b="0"/>
            <wp:docPr id="1" name="Immagine 1" descr="Immagine che contiene testo, line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linea, ricevuta&#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63114804" w14:textId="3CB56D80" w:rsidR="007D1A23" w:rsidRPr="000D36DF" w:rsidRDefault="007D1A23" w:rsidP="00A966CB">
      <w:pPr>
        <w:pStyle w:val="p1"/>
        <w:spacing w:line="360" w:lineRule="auto"/>
        <w:jc w:val="both"/>
      </w:pPr>
      <w:r w:rsidRPr="000D36DF">
        <w:rPr>
          <w:lang w:val="en-US"/>
        </w:rPr>
        <w:t>The main independent variable (X) is “Region”, a categorical variable representing each region of Italy at the NUTS2 level, accounting also for the two autonomous provinces and a</w:t>
      </w:r>
      <w:r w:rsidR="00C96CF9">
        <w:rPr>
          <w:lang w:val="en-US"/>
        </w:rPr>
        <w:t>n</w:t>
      </w:r>
      <w:r w:rsidRPr="000D36DF">
        <w:rPr>
          <w:lang w:val="en-US"/>
        </w:rPr>
        <w:t xml:space="preserve"> “extra region”, which takes into account possible residuals. </w:t>
      </w:r>
      <w:r w:rsidRPr="000D36DF">
        <w:t xml:space="preserve">The values correspond to the Italian territorial units (1 = “Piemonte”; 2 = “Valle d’Aosta/Vallée d’Aoste”; 3 = “Liguria”; 4 = “Lombardia”; 5 = “Abruzzo”; 6 = “Molise”; 7 = “Campania”; 8 = “Puglia”; 9 = “Basilicata”; 10 = “Calabria”; 11 = “Sicilia”; 12 = “Sardegna”; 13 = “P.A. Bolzano/Bozen”; 14 = “P.A. Trento”; 15 = “Veneto”; 16 = “Friuli-Venezia Giulia”; 17 = “Emilia-Romagna”; 18 = “Toscana”; 19 = “Umbria”; 20 = “Marche”; 21 = “Lazio”; 22 = “ITZZ / Extra Region”). </w:t>
      </w:r>
    </w:p>
    <w:p w14:paraId="487DD262" w14:textId="73EA1026" w:rsidR="00167CED" w:rsidRPr="000D36DF" w:rsidRDefault="007D1A23" w:rsidP="00457F71">
      <w:pPr>
        <w:pStyle w:val="p1"/>
        <w:spacing w:line="360" w:lineRule="auto"/>
        <w:jc w:val="both"/>
        <w:rPr>
          <w:lang w:val="en-US"/>
        </w:rPr>
      </w:pPr>
      <w:r w:rsidRPr="000D36DF">
        <w:rPr>
          <w:lang w:val="en-US"/>
        </w:rPr>
        <w:t xml:space="preserve">Moreover, </w:t>
      </w:r>
      <w:r w:rsidR="00A966CB" w:rsidRPr="000D36DF">
        <w:rPr>
          <w:lang w:val="en-US"/>
        </w:rPr>
        <w:t xml:space="preserve">the </w:t>
      </w:r>
      <w:r w:rsidR="00167CED" w:rsidRPr="000D36DF">
        <w:rPr>
          <w:lang w:val="en-US"/>
        </w:rPr>
        <w:t>variable “Net</w:t>
      </w:r>
      <w:r w:rsidRPr="000D36DF">
        <w:rPr>
          <w:lang w:val="en-US"/>
        </w:rPr>
        <w:t xml:space="preserve"> Migration </w:t>
      </w:r>
      <w:r w:rsidR="00FB68D7" w:rsidRPr="000D36DF">
        <w:rPr>
          <w:lang w:val="en-US"/>
        </w:rPr>
        <w:t>R</w:t>
      </w:r>
      <w:r w:rsidRPr="000D36DF">
        <w:rPr>
          <w:lang w:val="en-US"/>
        </w:rPr>
        <w:t>ate</w:t>
      </w:r>
      <w:r w:rsidR="00A966CB" w:rsidRPr="000D36DF">
        <w:rPr>
          <w:lang w:val="en-US"/>
        </w:rPr>
        <w:t>” is included as a moderator (Z), while also being</w:t>
      </w:r>
      <w:r w:rsidR="00AA0E8F" w:rsidRPr="000D36DF">
        <w:rPr>
          <w:lang w:val="en-US"/>
        </w:rPr>
        <w:t xml:space="preserve"> </w:t>
      </w:r>
      <w:r w:rsidR="00A966CB" w:rsidRPr="000D36DF">
        <w:rPr>
          <w:lang w:val="en-US"/>
        </w:rPr>
        <w:t>examined for its direct effect on Y</w:t>
      </w:r>
      <w:r w:rsidRPr="000D36DF">
        <w:rPr>
          <w:lang w:val="en-US"/>
        </w:rPr>
        <w:t xml:space="preserve">. </w:t>
      </w:r>
      <w:r w:rsidR="00AA0E8F" w:rsidRPr="000D36DF">
        <w:rPr>
          <w:lang w:val="en-US"/>
        </w:rPr>
        <w:t xml:space="preserve">This </w:t>
      </w:r>
      <w:r w:rsidR="00757B6F" w:rsidRPr="000D36DF">
        <w:rPr>
          <w:lang w:val="en-US"/>
        </w:rPr>
        <w:t xml:space="preserve">continuous </w:t>
      </w:r>
      <w:r w:rsidR="00AA0E8F" w:rsidRPr="000D36DF">
        <w:rPr>
          <w:lang w:val="en-US"/>
        </w:rPr>
        <w:t>variable</w:t>
      </w:r>
      <w:r w:rsidR="00757B6F" w:rsidRPr="000D36DF">
        <w:rPr>
          <w:lang w:val="en-US"/>
        </w:rPr>
        <w:t xml:space="preserve"> is suitable for this analysis since not only gives the number of immigrants in a region over the years</w:t>
      </w:r>
      <w:r w:rsidR="00AA0E8F" w:rsidRPr="000D36DF">
        <w:rPr>
          <w:lang w:val="en-US"/>
        </w:rPr>
        <w:t xml:space="preserve"> </w:t>
      </w:r>
      <w:r w:rsidR="00757B6F" w:rsidRPr="000D36DF">
        <w:rPr>
          <w:lang w:val="en-US"/>
        </w:rPr>
        <w:t>but</w:t>
      </w:r>
      <w:r w:rsidR="00AA0E8F" w:rsidRPr="000D36DF">
        <w:rPr>
          <w:lang w:val="en-US"/>
        </w:rPr>
        <w:t xml:space="preserve"> </w:t>
      </w:r>
      <w:r w:rsidR="00757B6F" w:rsidRPr="000D36DF">
        <w:rPr>
          <w:lang w:val="en-US"/>
        </w:rPr>
        <w:t xml:space="preserve">gives the result of </w:t>
      </w:r>
      <w:r w:rsidR="00AA0E8F" w:rsidRPr="000D36DF">
        <w:rPr>
          <w:lang w:val="en-US"/>
        </w:rPr>
        <w:t>the difference between the number of immigrants and the number of emigrants per year divided by the population</w:t>
      </w:r>
      <w:r w:rsidR="00457F71" w:rsidRPr="000D36DF">
        <w:rPr>
          <w:lang w:val="en-US"/>
        </w:rPr>
        <w:t xml:space="preserve"> (Raymer &amp; Wiśniowski 2018), giving a clearer rate net of the real new population of a nation.</w:t>
      </w:r>
      <w:r w:rsidR="002A6827" w:rsidRPr="000D36DF">
        <w:rPr>
          <w:lang w:val="en-US"/>
        </w:rPr>
        <w:t xml:space="preserve"> As Figure 2 suggests, for a lot of regions, the variability regist</w:t>
      </w:r>
      <w:r w:rsidR="00AA0E8F" w:rsidRPr="000D36DF">
        <w:rPr>
          <w:lang w:val="en-US"/>
        </w:rPr>
        <w:t>e</w:t>
      </w:r>
      <w:r w:rsidR="002A6827" w:rsidRPr="000D36DF">
        <w:rPr>
          <w:lang w:val="en-US"/>
        </w:rPr>
        <w:t xml:space="preserve">red over the years for the </w:t>
      </w:r>
      <w:r w:rsidR="00F05ED9">
        <w:rPr>
          <w:lang w:val="en-US"/>
        </w:rPr>
        <w:t>N</w:t>
      </w:r>
      <w:r w:rsidR="002A6827" w:rsidRPr="000D36DF">
        <w:rPr>
          <w:lang w:val="en-US"/>
        </w:rPr>
        <w:t xml:space="preserve">et </w:t>
      </w:r>
      <w:r w:rsidR="00F05ED9">
        <w:rPr>
          <w:lang w:val="en-US"/>
        </w:rPr>
        <w:t>M</w:t>
      </w:r>
      <w:r w:rsidR="002A6827" w:rsidRPr="000D36DF">
        <w:rPr>
          <w:lang w:val="en-US"/>
        </w:rPr>
        <w:t xml:space="preserve">igration </w:t>
      </w:r>
      <w:r w:rsidR="00F05ED9">
        <w:rPr>
          <w:lang w:val="en-US"/>
        </w:rPr>
        <w:t>R</w:t>
      </w:r>
      <w:r w:rsidR="002A6827" w:rsidRPr="000D36DF">
        <w:rPr>
          <w:lang w:val="en-US"/>
        </w:rPr>
        <w:t>ate is low. As a consequence, in order to not inflate the regression outcomes, those regions are dropped.</w:t>
      </w:r>
    </w:p>
    <w:p w14:paraId="2FBB74F6" w14:textId="265E4C0D" w:rsidR="002A6827" w:rsidRPr="000D36DF" w:rsidRDefault="002A6827" w:rsidP="002A6827">
      <w:pPr>
        <w:pStyle w:val="p1"/>
        <w:spacing w:line="360" w:lineRule="auto"/>
        <w:jc w:val="both"/>
        <w:rPr>
          <w:lang w:val="en-US"/>
        </w:rPr>
      </w:pPr>
      <w:r w:rsidRPr="000D36DF">
        <w:rPr>
          <w:lang w:val="en-US"/>
        </w:rPr>
        <w:lastRenderedPageBreak/>
        <w:t xml:space="preserve">Figure 2. Net migration rate trend for regions </w:t>
      </w:r>
      <w:r w:rsidR="00862D5F">
        <w:rPr>
          <w:lang w:val="en-US"/>
        </w:rPr>
        <w:t>from</w:t>
      </w:r>
      <w:r w:rsidRPr="000D36DF">
        <w:rPr>
          <w:lang w:val="en-US"/>
        </w:rPr>
        <w:t xml:space="preserve"> 2000 to 2023</w:t>
      </w:r>
    </w:p>
    <w:p w14:paraId="552C7D5D" w14:textId="04151144" w:rsidR="002A6827" w:rsidRPr="000D36DF" w:rsidRDefault="002A6827" w:rsidP="002A6827">
      <w:pPr>
        <w:pStyle w:val="p1"/>
        <w:spacing w:line="360" w:lineRule="auto"/>
        <w:jc w:val="both"/>
        <w:rPr>
          <w:lang w:val="en-US"/>
        </w:rPr>
      </w:pPr>
      <w:r w:rsidRPr="000D36DF">
        <w:rPr>
          <w:noProof/>
          <w:lang w:val="en-US"/>
        </w:rPr>
        <w:drawing>
          <wp:inline distT="0" distB="0" distL="0" distR="0" wp14:anchorId="01BD8E3F" wp14:editId="348C43E2">
            <wp:extent cx="6120130" cy="4450715"/>
            <wp:effectExtent l="0" t="0" r="1270" b="0"/>
            <wp:docPr id="3" name="Immagine 3" descr="Immagine che contiene testo, ricevut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ricevuta, schermata, linea&#10;&#10;Descrizione generat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6916EE28" w14:textId="77777777" w:rsidR="002A6827" w:rsidRPr="000D36DF" w:rsidRDefault="002A6827" w:rsidP="002A6827">
      <w:pPr>
        <w:pStyle w:val="p1"/>
        <w:spacing w:line="360" w:lineRule="auto"/>
        <w:jc w:val="both"/>
        <w:rPr>
          <w:lang w:val="en-US"/>
        </w:rPr>
      </w:pPr>
    </w:p>
    <w:p w14:paraId="71C8C116" w14:textId="76A156D6" w:rsidR="00A966CB" w:rsidRPr="000D36DF" w:rsidRDefault="000364BC" w:rsidP="000364BC">
      <w:pPr>
        <w:pStyle w:val="p1"/>
        <w:spacing w:line="360" w:lineRule="auto"/>
        <w:jc w:val="both"/>
        <w:rPr>
          <w:lang w:val="en-US"/>
        </w:rPr>
      </w:pPr>
      <w:r w:rsidRPr="000D36DF">
        <w:rPr>
          <w:lang w:val="en-US"/>
        </w:rPr>
        <w:t xml:space="preserve">Finally, several control variables, as continuous variables are included: ”Unemployment Rate”; ”Density of the Population”; “Long-Term Unemployment”; “Fertility Rate”; “Infant-Mortality Rate”; “Life Expectancy”; </w:t>
      </w:r>
      <w:r w:rsidR="00FB68D7" w:rsidRPr="000D36DF">
        <w:rPr>
          <w:lang w:val="en-US"/>
        </w:rPr>
        <w:t>and “Year”</w:t>
      </w:r>
      <w:r w:rsidR="00FB68D7" w:rsidRPr="000D36DF">
        <w:rPr>
          <w:rStyle w:val="Rimandonotaapidipagina"/>
          <w:lang w:val="en-US"/>
        </w:rPr>
        <w:footnoteReference w:id="2"/>
      </w:r>
      <w:r w:rsidR="00FB68D7" w:rsidRPr="000D36DF">
        <w:rPr>
          <w:lang w:val="en-US"/>
        </w:rPr>
        <w:t xml:space="preserve">. </w:t>
      </w:r>
      <w:r w:rsidRPr="000D36DF">
        <w:rPr>
          <w:lang w:val="en-US"/>
        </w:rPr>
        <w:t xml:space="preserve"> </w:t>
      </w:r>
    </w:p>
    <w:p w14:paraId="685014C7" w14:textId="77777777" w:rsidR="00E02E63" w:rsidRDefault="00E02E63" w:rsidP="00167CED">
      <w:pPr>
        <w:autoSpaceDE w:val="0"/>
        <w:autoSpaceDN w:val="0"/>
        <w:adjustRightInd w:val="0"/>
        <w:rPr>
          <w:rFonts w:ascii="Times New Roman" w:hAnsi="Times New Roman" w:cs="Times New Roman"/>
          <w:lang w:val="en-US"/>
        </w:rPr>
      </w:pPr>
    </w:p>
    <w:p w14:paraId="4691F6E7" w14:textId="77777777" w:rsidR="00E02E63" w:rsidRDefault="00E02E63" w:rsidP="00167CED">
      <w:pPr>
        <w:autoSpaceDE w:val="0"/>
        <w:autoSpaceDN w:val="0"/>
        <w:adjustRightInd w:val="0"/>
        <w:rPr>
          <w:rFonts w:ascii="Times New Roman" w:hAnsi="Times New Roman" w:cs="Times New Roman"/>
          <w:lang w:val="en-US"/>
        </w:rPr>
      </w:pPr>
    </w:p>
    <w:p w14:paraId="3DA61580" w14:textId="77777777" w:rsidR="00E02E63" w:rsidRDefault="00E02E63" w:rsidP="00167CED">
      <w:pPr>
        <w:autoSpaceDE w:val="0"/>
        <w:autoSpaceDN w:val="0"/>
        <w:adjustRightInd w:val="0"/>
        <w:rPr>
          <w:rFonts w:ascii="Times New Roman" w:hAnsi="Times New Roman" w:cs="Times New Roman"/>
          <w:lang w:val="en-US"/>
        </w:rPr>
      </w:pPr>
    </w:p>
    <w:p w14:paraId="323CA17A" w14:textId="2793A8F7" w:rsidR="00E02E63" w:rsidRPr="00167CED" w:rsidRDefault="00167CED" w:rsidP="00167CED">
      <w:pPr>
        <w:autoSpaceDE w:val="0"/>
        <w:autoSpaceDN w:val="0"/>
        <w:adjustRightInd w:val="0"/>
        <w:rPr>
          <w:rFonts w:ascii="Times New Roman" w:hAnsi="Times New Roman" w:cs="Times New Roman"/>
          <w:lang w:val="en-US"/>
        </w:rPr>
      </w:pPr>
      <w:r w:rsidRPr="000D36DF">
        <w:rPr>
          <w:rFonts w:ascii="Times New Roman" w:hAnsi="Times New Roman" w:cs="Times New Roman"/>
          <w:lang w:val="en-US"/>
        </w:rPr>
        <w:t xml:space="preserve">Table 1. </w:t>
      </w:r>
      <w:r w:rsidRPr="00167CED">
        <w:rPr>
          <w:rFonts w:ascii="Times New Roman" w:hAnsi="Times New Roman" w:cs="Times New Roman"/>
          <w:lang w:val="en-US"/>
        </w:rPr>
        <w:t xml:space="preserve">Descriptive </w:t>
      </w:r>
      <w:r w:rsidRPr="000D36DF">
        <w:rPr>
          <w:rFonts w:ascii="Times New Roman" w:hAnsi="Times New Roman" w:cs="Times New Roman"/>
          <w:lang w:val="en-US"/>
        </w:rPr>
        <w:t>s</w:t>
      </w:r>
      <w:r w:rsidRPr="00167CED">
        <w:rPr>
          <w:rFonts w:ascii="Times New Roman" w:hAnsi="Times New Roman" w:cs="Times New Roman"/>
          <w:lang w:val="en-US"/>
        </w:rPr>
        <w:t>tatistics</w:t>
      </w:r>
      <w:r w:rsidRPr="000D36DF">
        <w:rPr>
          <w:rFonts w:ascii="Times New Roman" w:hAnsi="Times New Roman" w:cs="Times New Roman"/>
          <w:lang w:val="en-US"/>
        </w:rPr>
        <w:t xml:space="preserve"> of the variables</w:t>
      </w:r>
    </w:p>
    <w:tbl>
      <w:tblPr>
        <w:tblW w:w="0" w:type="auto"/>
        <w:tblInd w:w="-118" w:type="dxa"/>
        <w:tblBorders>
          <w:top w:val="single" w:sz="4" w:space="0" w:color="BFBFBF"/>
          <w:bottom w:val="single" w:sz="4" w:space="0" w:color="BFBFBF"/>
        </w:tblBorders>
        <w:tblLayout w:type="fixed"/>
        <w:tblLook w:val="0000" w:firstRow="0" w:lastRow="0" w:firstColumn="0" w:lastColumn="0" w:noHBand="0" w:noVBand="0"/>
      </w:tblPr>
      <w:tblGrid>
        <w:gridCol w:w="1836"/>
        <w:gridCol w:w="1728"/>
        <w:gridCol w:w="1728"/>
        <w:gridCol w:w="1728"/>
        <w:gridCol w:w="1728"/>
      </w:tblGrid>
      <w:tr w:rsidR="00167CED" w:rsidRPr="00167CED" w14:paraId="0507F95F" w14:textId="77777777" w:rsidTr="00167CED">
        <w:tc>
          <w:tcPr>
            <w:tcW w:w="1836" w:type="dxa"/>
            <w:tcMar>
              <w:top w:w="100" w:type="nil"/>
              <w:right w:w="100" w:type="nil"/>
            </w:tcMar>
            <w:vAlign w:val="center"/>
          </w:tcPr>
          <w:p w14:paraId="58192B6B" w14:textId="77777777" w:rsidR="00167CED" w:rsidRPr="00E02E63" w:rsidRDefault="00167CED" w:rsidP="00167CED">
            <w:pPr>
              <w:autoSpaceDE w:val="0"/>
              <w:autoSpaceDN w:val="0"/>
              <w:adjustRightInd w:val="0"/>
              <w:rPr>
                <w:rFonts w:ascii="Times New Roman" w:hAnsi="Times New Roman" w:cs="Times New Roman"/>
                <w:lang w:val="en-US"/>
              </w:rPr>
            </w:pPr>
          </w:p>
        </w:tc>
        <w:tc>
          <w:tcPr>
            <w:tcW w:w="1728" w:type="dxa"/>
            <w:tcMar>
              <w:top w:w="100" w:type="nil"/>
              <w:right w:w="100" w:type="nil"/>
            </w:tcMar>
            <w:vAlign w:val="center"/>
          </w:tcPr>
          <w:p w14:paraId="1197CAF0" w14:textId="4CAFF84C" w:rsidR="00167CED" w:rsidRDefault="00E02E63"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M</w:t>
            </w:r>
            <w:r w:rsidR="00167CED" w:rsidRPr="00167CED">
              <w:rPr>
                <w:rFonts w:ascii="Times New Roman" w:hAnsi="Times New Roman" w:cs="Times New Roman"/>
              </w:rPr>
              <w:t>ean</w:t>
            </w:r>
          </w:p>
          <w:p w14:paraId="58A39364" w14:textId="1E3926F2" w:rsidR="00E02E63" w:rsidRPr="00167CED" w:rsidRDefault="00E02E63" w:rsidP="00167CED">
            <w:pPr>
              <w:autoSpaceDE w:val="0"/>
              <w:autoSpaceDN w:val="0"/>
              <w:adjustRightInd w:val="0"/>
              <w:jc w:val="center"/>
              <w:rPr>
                <w:rFonts w:ascii="Times New Roman" w:hAnsi="Times New Roman" w:cs="Times New Roman"/>
              </w:rPr>
            </w:pPr>
          </w:p>
        </w:tc>
        <w:tc>
          <w:tcPr>
            <w:tcW w:w="1728" w:type="dxa"/>
            <w:tcMar>
              <w:top w:w="100" w:type="nil"/>
              <w:right w:w="100" w:type="nil"/>
            </w:tcMar>
            <w:vAlign w:val="center"/>
          </w:tcPr>
          <w:p w14:paraId="3A98977D" w14:textId="79A085C7" w:rsidR="00167CED" w:rsidRDefault="00E02E63"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S</w:t>
            </w:r>
            <w:r w:rsidR="00167CED" w:rsidRPr="00167CED">
              <w:rPr>
                <w:rFonts w:ascii="Times New Roman" w:hAnsi="Times New Roman" w:cs="Times New Roman"/>
              </w:rPr>
              <w:t>d</w:t>
            </w:r>
          </w:p>
          <w:p w14:paraId="165A5645" w14:textId="2175ADC8" w:rsidR="00E02E63" w:rsidRPr="00167CED" w:rsidRDefault="00E02E63" w:rsidP="00167CED">
            <w:pPr>
              <w:autoSpaceDE w:val="0"/>
              <w:autoSpaceDN w:val="0"/>
              <w:adjustRightInd w:val="0"/>
              <w:jc w:val="center"/>
              <w:rPr>
                <w:rFonts w:ascii="Times New Roman" w:hAnsi="Times New Roman" w:cs="Times New Roman"/>
              </w:rPr>
            </w:pPr>
          </w:p>
        </w:tc>
        <w:tc>
          <w:tcPr>
            <w:tcW w:w="1728" w:type="dxa"/>
            <w:tcMar>
              <w:top w:w="100" w:type="nil"/>
              <w:right w:w="100" w:type="nil"/>
            </w:tcMar>
            <w:vAlign w:val="center"/>
          </w:tcPr>
          <w:p w14:paraId="69A080F8" w14:textId="57382F26" w:rsidR="00167CED" w:rsidRDefault="00E02E63"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M</w:t>
            </w:r>
            <w:r w:rsidR="00167CED" w:rsidRPr="00167CED">
              <w:rPr>
                <w:rFonts w:ascii="Times New Roman" w:hAnsi="Times New Roman" w:cs="Times New Roman"/>
              </w:rPr>
              <w:t>in</w:t>
            </w:r>
          </w:p>
          <w:p w14:paraId="22AC60F9" w14:textId="378E5004" w:rsidR="00E02E63" w:rsidRPr="00167CED" w:rsidRDefault="00E02E63" w:rsidP="00167CED">
            <w:pPr>
              <w:autoSpaceDE w:val="0"/>
              <w:autoSpaceDN w:val="0"/>
              <w:adjustRightInd w:val="0"/>
              <w:jc w:val="center"/>
              <w:rPr>
                <w:rFonts w:ascii="Times New Roman" w:hAnsi="Times New Roman" w:cs="Times New Roman"/>
              </w:rPr>
            </w:pPr>
          </w:p>
        </w:tc>
        <w:tc>
          <w:tcPr>
            <w:tcW w:w="1728" w:type="dxa"/>
            <w:tcMar>
              <w:top w:w="100" w:type="nil"/>
              <w:right w:w="100" w:type="nil"/>
            </w:tcMar>
            <w:vAlign w:val="center"/>
          </w:tcPr>
          <w:p w14:paraId="5052ABBA" w14:textId="363F5AE2" w:rsidR="00167CED" w:rsidRDefault="00E02E63"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M</w:t>
            </w:r>
            <w:r w:rsidR="00167CED" w:rsidRPr="00167CED">
              <w:rPr>
                <w:rFonts w:ascii="Times New Roman" w:hAnsi="Times New Roman" w:cs="Times New Roman"/>
              </w:rPr>
              <w:t>ax</w:t>
            </w:r>
          </w:p>
          <w:p w14:paraId="4A10E402" w14:textId="66C5E0EC" w:rsidR="00E02E63" w:rsidRPr="00167CED" w:rsidRDefault="00E02E63" w:rsidP="00E02E63">
            <w:pPr>
              <w:autoSpaceDE w:val="0"/>
              <w:autoSpaceDN w:val="0"/>
              <w:adjustRightInd w:val="0"/>
              <w:rPr>
                <w:rFonts w:ascii="Times New Roman" w:hAnsi="Times New Roman" w:cs="Times New Roman"/>
              </w:rPr>
            </w:pPr>
          </w:p>
        </w:tc>
      </w:tr>
      <w:tr w:rsidR="00167CED" w:rsidRPr="00167CED" w14:paraId="2D394DF0" w14:textId="77777777" w:rsidTr="00167CED">
        <w:tc>
          <w:tcPr>
            <w:tcW w:w="1836" w:type="dxa"/>
            <w:tcMar>
              <w:top w:w="100" w:type="nil"/>
              <w:right w:w="100" w:type="nil"/>
            </w:tcMar>
            <w:vAlign w:val="center"/>
          </w:tcPr>
          <w:p w14:paraId="1DF6606B"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gdp_pc</w:t>
            </w:r>
          </w:p>
        </w:tc>
        <w:tc>
          <w:tcPr>
            <w:tcW w:w="1728" w:type="dxa"/>
            <w:tcMar>
              <w:top w:w="100" w:type="nil"/>
              <w:right w:w="100" w:type="nil"/>
            </w:tcMar>
            <w:vAlign w:val="center"/>
          </w:tcPr>
          <w:p w14:paraId="0FDDB779"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26377.27</w:t>
            </w:r>
          </w:p>
        </w:tc>
        <w:tc>
          <w:tcPr>
            <w:tcW w:w="1728" w:type="dxa"/>
            <w:tcMar>
              <w:top w:w="100" w:type="nil"/>
              <w:right w:w="100" w:type="nil"/>
            </w:tcMar>
            <w:vAlign w:val="center"/>
          </w:tcPr>
          <w:p w14:paraId="47D46530"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7056.195</w:t>
            </w:r>
          </w:p>
        </w:tc>
        <w:tc>
          <w:tcPr>
            <w:tcW w:w="1728" w:type="dxa"/>
            <w:tcMar>
              <w:top w:w="100" w:type="nil"/>
              <w:right w:w="100" w:type="nil"/>
            </w:tcMar>
            <w:vAlign w:val="center"/>
          </w:tcPr>
          <w:p w14:paraId="3A3AC02C"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13000</w:t>
            </w:r>
          </w:p>
        </w:tc>
        <w:tc>
          <w:tcPr>
            <w:tcW w:w="1728" w:type="dxa"/>
            <w:tcMar>
              <w:top w:w="100" w:type="nil"/>
              <w:right w:w="100" w:type="nil"/>
            </w:tcMar>
            <w:vAlign w:val="center"/>
          </w:tcPr>
          <w:p w14:paraId="7AEB3ABD"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41600</w:t>
            </w:r>
          </w:p>
        </w:tc>
      </w:tr>
      <w:tr w:rsidR="00167CED" w:rsidRPr="00167CED" w14:paraId="53116F83" w14:textId="77777777" w:rsidTr="00167CED">
        <w:tc>
          <w:tcPr>
            <w:tcW w:w="1836" w:type="dxa"/>
            <w:tcMar>
              <w:top w:w="100" w:type="nil"/>
              <w:right w:w="100" w:type="nil"/>
            </w:tcMar>
            <w:vAlign w:val="center"/>
          </w:tcPr>
          <w:p w14:paraId="0A6FAB9C"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netmig_rate</w:t>
            </w:r>
          </w:p>
        </w:tc>
        <w:tc>
          <w:tcPr>
            <w:tcW w:w="1728" w:type="dxa"/>
            <w:tcMar>
              <w:top w:w="100" w:type="nil"/>
              <w:right w:w="100" w:type="nil"/>
            </w:tcMar>
            <w:vAlign w:val="center"/>
          </w:tcPr>
          <w:p w14:paraId="791734B8"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18177.05</w:t>
            </w:r>
          </w:p>
        </w:tc>
        <w:tc>
          <w:tcPr>
            <w:tcW w:w="1728" w:type="dxa"/>
            <w:tcMar>
              <w:top w:w="100" w:type="nil"/>
              <w:right w:w="100" w:type="nil"/>
            </w:tcMar>
            <w:vAlign w:val="center"/>
          </w:tcPr>
          <w:p w14:paraId="0A4E67C4"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34471.14</w:t>
            </w:r>
          </w:p>
        </w:tc>
        <w:tc>
          <w:tcPr>
            <w:tcW w:w="1728" w:type="dxa"/>
            <w:tcMar>
              <w:top w:w="100" w:type="nil"/>
              <w:right w:w="100" w:type="nil"/>
            </w:tcMar>
            <w:vAlign w:val="center"/>
          </w:tcPr>
          <w:p w14:paraId="7CEF737C"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-74027</w:t>
            </w:r>
          </w:p>
        </w:tc>
        <w:tc>
          <w:tcPr>
            <w:tcW w:w="1728" w:type="dxa"/>
            <w:tcMar>
              <w:top w:w="100" w:type="nil"/>
              <w:right w:w="100" w:type="nil"/>
            </w:tcMar>
            <w:vAlign w:val="center"/>
          </w:tcPr>
          <w:p w14:paraId="092E5F7A"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315302</w:t>
            </w:r>
          </w:p>
        </w:tc>
      </w:tr>
      <w:tr w:rsidR="00167CED" w:rsidRPr="00167CED" w14:paraId="5B010AA8" w14:textId="77777777" w:rsidTr="00167CED">
        <w:tc>
          <w:tcPr>
            <w:tcW w:w="1836" w:type="dxa"/>
            <w:tcMar>
              <w:top w:w="100" w:type="nil"/>
              <w:right w:w="100" w:type="nil"/>
            </w:tcMar>
            <w:vAlign w:val="center"/>
          </w:tcPr>
          <w:p w14:paraId="5EEFC42A"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unrate</w:t>
            </w:r>
          </w:p>
        </w:tc>
        <w:tc>
          <w:tcPr>
            <w:tcW w:w="1728" w:type="dxa"/>
            <w:tcMar>
              <w:top w:w="100" w:type="nil"/>
              <w:right w:w="100" w:type="nil"/>
            </w:tcMar>
            <w:vAlign w:val="center"/>
          </w:tcPr>
          <w:p w14:paraId="2F45555A"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10.45619</w:t>
            </w:r>
          </w:p>
        </w:tc>
        <w:tc>
          <w:tcPr>
            <w:tcW w:w="1728" w:type="dxa"/>
            <w:tcMar>
              <w:top w:w="100" w:type="nil"/>
              <w:right w:w="100" w:type="nil"/>
            </w:tcMar>
            <w:vAlign w:val="center"/>
          </w:tcPr>
          <w:p w14:paraId="11E82C39"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6.248091</w:t>
            </w:r>
          </w:p>
        </w:tc>
        <w:tc>
          <w:tcPr>
            <w:tcW w:w="1728" w:type="dxa"/>
            <w:tcMar>
              <w:top w:w="100" w:type="nil"/>
              <w:right w:w="100" w:type="nil"/>
            </w:tcMar>
            <w:vAlign w:val="center"/>
          </w:tcPr>
          <w:p w14:paraId="12F547F9"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2.8</w:t>
            </w:r>
          </w:p>
        </w:tc>
        <w:tc>
          <w:tcPr>
            <w:tcW w:w="1728" w:type="dxa"/>
            <w:tcMar>
              <w:top w:w="100" w:type="nil"/>
              <w:right w:w="100" w:type="nil"/>
            </w:tcMar>
            <w:vAlign w:val="center"/>
          </w:tcPr>
          <w:p w14:paraId="66D6D6F3"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27.3</w:t>
            </w:r>
          </w:p>
        </w:tc>
      </w:tr>
      <w:tr w:rsidR="00167CED" w:rsidRPr="00167CED" w14:paraId="31782EC9" w14:textId="77777777" w:rsidTr="00167CED">
        <w:tc>
          <w:tcPr>
            <w:tcW w:w="1836" w:type="dxa"/>
            <w:tcMar>
              <w:top w:w="100" w:type="nil"/>
              <w:right w:w="100" w:type="nil"/>
            </w:tcMar>
            <w:vAlign w:val="center"/>
          </w:tcPr>
          <w:p w14:paraId="5202BBD4"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popdens</w:t>
            </w:r>
          </w:p>
        </w:tc>
        <w:tc>
          <w:tcPr>
            <w:tcW w:w="1728" w:type="dxa"/>
            <w:tcMar>
              <w:top w:w="100" w:type="nil"/>
              <w:right w:w="100" w:type="nil"/>
            </w:tcMar>
            <w:vAlign w:val="center"/>
          </w:tcPr>
          <w:p w14:paraId="4DEC83F7"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246.8702</w:t>
            </w:r>
          </w:p>
        </w:tc>
        <w:tc>
          <w:tcPr>
            <w:tcW w:w="1728" w:type="dxa"/>
            <w:tcMar>
              <w:top w:w="100" w:type="nil"/>
              <w:right w:w="100" w:type="nil"/>
            </w:tcMar>
            <w:vAlign w:val="center"/>
          </w:tcPr>
          <w:p w14:paraId="058F6D4E"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105.0338</w:t>
            </w:r>
          </w:p>
        </w:tc>
        <w:tc>
          <w:tcPr>
            <w:tcW w:w="1728" w:type="dxa"/>
            <w:tcMar>
              <w:top w:w="100" w:type="nil"/>
              <w:right w:w="100" w:type="nil"/>
            </w:tcMar>
            <w:vAlign w:val="center"/>
          </w:tcPr>
          <w:p w14:paraId="6A610341"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123.7</w:t>
            </w:r>
          </w:p>
        </w:tc>
        <w:tc>
          <w:tcPr>
            <w:tcW w:w="1728" w:type="dxa"/>
            <w:tcMar>
              <w:top w:w="100" w:type="nil"/>
              <w:right w:w="100" w:type="nil"/>
            </w:tcMar>
            <w:vAlign w:val="center"/>
          </w:tcPr>
          <w:p w14:paraId="26C6BE1D"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439.2</w:t>
            </w:r>
          </w:p>
        </w:tc>
      </w:tr>
      <w:tr w:rsidR="00167CED" w:rsidRPr="00167CED" w14:paraId="6DDE75D9" w14:textId="77777777" w:rsidTr="00167CED">
        <w:tc>
          <w:tcPr>
            <w:tcW w:w="1836" w:type="dxa"/>
            <w:tcMar>
              <w:top w:w="100" w:type="nil"/>
              <w:right w:w="100" w:type="nil"/>
            </w:tcMar>
            <w:vAlign w:val="center"/>
          </w:tcPr>
          <w:p w14:paraId="6AA79D19"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ltu_rate</w:t>
            </w:r>
          </w:p>
        </w:tc>
        <w:tc>
          <w:tcPr>
            <w:tcW w:w="1728" w:type="dxa"/>
            <w:tcMar>
              <w:top w:w="100" w:type="nil"/>
              <w:right w:w="100" w:type="nil"/>
            </w:tcMar>
            <w:vAlign w:val="center"/>
          </w:tcPr>
          <w:p w14:paraId="3B42BE3F"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50.92905</w:t>
            </w:r>
          </w:p>
        </w:tc>
        <w:tc>
          <w:tcPr>
            <w:tcW w:w="1728" w:type="dxa"/>
            <w:tcMar>
              <w:top w:w="100" w:type="nil"/>
              <w:right w:w="100" w:type="nil"/>
            </w:tcMar>
            <w:vAlign w:val="center"/>
          </w:tcPr>
          <w:p w14:paraId="0A893B86"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11.87202</w:t>
            </w:r>
          </w:p>
        </w:tc>
        <w:tc>
          <w:tcPr>
            <w:tcW w:w="1728" w:type="dxa"/>
            <w:tcMar>
              <w:top w:w="100" w:type="nil"/>
              <w:right w:w="100" w:type="nil"/>
            </w:tcMar>
            <w:vAlign w:val="center"/>
          </w:tcPr>
          <w:p w14:paraId="4DBD45D7"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25.3</w:t>
            </w:r>
          </w:p>
        </w:tc>
        <w:tc>
          <w:tcPr>
            <w:tcW w:w="1728" w:type="dxa"/>
            <w:tcMar>
              <w:top w:w="100" w:type="nil"/>
              <w:right w:w="100" w:type="nil"/>
            </w:tcMar>
            <w:vAlign w:val="center"/>
          </w:tcPr>
          <w:p w14:paraId="712D31DA"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76.2</w:t>
            </w:r>
          </w:p>
        </w:tc>
      </w:tr>
      <w:tr w:rsidR="00167CED" w:rsidRPr="00167CED" w14:paraId="73A33F3A" w14:textId="77777777" w:rsidTr="00167CED">
        <w:tc>
          <w:tcPr>
            <w:tcW w:w="1836" w:type="dxa"/>
            <w:tcMar>
              <w:top w:w="100" w:type="nil"/>
              <w:right w:w="100" w:type="nil"/>
            </w:tcMar>
            <w:vAlign w:val="center"/>
          </w:tcPr>
          <w:p w14:paraId="0A5BF734"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fert</w:t>
            </w:r>
          </w:p>
        </w:tc>
        <w:tc>
          <w:tcPr>
            <w:tcW w:w="1728" w:type="dxa"/>
            <w:tcMar>
              <w:top w:w="100" w:type="nil"/>
              <w:right w:w="100" w:type="nil"/>
            </w:tcMar>
            <w:vAlign w:val="center"/>
          </w:tcPr>
          <w:p w14:paraId="052732A0"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1.344285</w:t>
            </w:r>
          </w:p>
        </w:tc>
        <w:tc>
          <w:tcPr>
            <w:tcW w:w="1728" w:type="dxa"/>
            <w:tcMar>
              <w:top w:w="100" w:type="nil"/>
              <w:right w:w="100" w:type="nil"/>
            </w:tcMar>
            <w:vAlign w:val="center"/>
          </w:tcPr>
          <w:p w14:paraId="4BCDE876"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.0993646</w:t>
            </w:r>
          </w:p>
        </w:tc>
        <w:tc>
          <w:tcPr>
            <w:tcW w:w="1728" w:type="dxa"/>
            <w:tcMar>
              <w:top w:w="100" w:type="nil"/>
              <w:right w:w="100" w:type="nil"/>
            </w:tcMar>
            <w:vAlign w:val="center"/>
          </w:tcPr>
          <w:p w14:paraId="355BC385"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1.12</w:t>
            </w:r>
          </w:p>
        </w:tc>
        <w:tc>
          <w:tcPr>
            <w:tcW w:w="1728" w:type="dxa"/>
            <w:tcMar>
              <w:top w:w="100" w:type="nil"/>
              <w:right w:w="100" w:type="nil"/>
            </w:tcMar>
            <w:vAlign w:val="center"/>
          </w:tcPr>
          <w:p w14:paraId="1C689831"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1.57</w:t>
            </w:r>
          </w:p>
        </w:tc>
      </w:tr>
      <w:tr w:rsidR="00167CED" w:rsidRPr="00167CED" w14:paraId="0B7D95A0" w14:textId="77777777" w:rsidTr="00167CED">
        <w:tc>
          <w:tcPr>
            <w:tcW w:w="1836" w:type="dxa"/>
            <w:tcMar>
              <w:top w:w="100" w:type="nil"/>
              <w:right w:w="100" w:type="nil"/>
            </w:tcMar>
            <w:vAlign w:val="center"/>
          </w:tcPr>
          <w:p w14:paraId="58BD9372"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lastRenderedPageBreak/>
              <w:t>infantmr</w:t>
            </w:r>
          </w:p>
        </w:tc>
        <w:tc>
          <w:tcPr>
            <w:tcW w:w="1728" w:type="dxa"/>
            <w:tcMar>
              <w:top w:w="100" w:type="nil"/>
              <w:right w:w="100" w:type="nil"/>
            </w:tcMar>
            <w:vAlign w:val="center"/>
          </w:tcPr>
          <w:p w14:paraId="7BCE7485"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3.122936</w:t>
            </w:r>
          </w:p>
        </w:tc>
        <w:tc>
          <w:tcPr>
            <w:tcW w:w="1728" w:type="dxa"/>
            <w:tcMar>
              <w:top w:w="100" w:type="nil"/>
              <w:right w:w="100" w:type="nil"/>
            </w:tcMar>
            <w:vAlign w:val="center"/>
          </w:tcPr>
          <w:p w14:paraId="3A59190A"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.9966426</w:t>
            </w:r>
          </w:p>
        </w:tc>
        <w:tc>
          <w:tcPr>
            <w:tcW w:w="1728" w:type="dxa"/>
            <w:tcMar>
              <w:top w:w="100" w:type="nil"/>
              <w:right w:w="100" w:type="nil"/>
            </w:tcMar>
            <w:vAlign w:val="center"/>
          </w:tcPr>
          <w:p w14:paraId="07225EE4"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1.2</w:t>
            </w:r>
          </w:p>
        </w:tc>
        <w:tc>
          <w:tcPr>
            <w:tcW w:w="1728" w:type="dxa"/>
            <w:tcMar>
              <w:top w:w="100" w:type="nil"/>
              <w:right w:w="100" w:type="nil"/>
            </w:tcMar>
            <w:vAlign w:val="center"/>
          </w:tcPr>
          <w:p w14:paraId="4C9F0487"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6.7</w:t>
            </w:r>
          </w:p>
        </w:tc>
      </w:tr>
      <w:tr w:rsidR="00167CED" w:rsidRPr="00167CED" w14:paraId="3ECAF0C7" w14:textId="77777777" w:rsidTr="00167CED">
        <w:tc>
          <w:tcPr>
            <w:tcW w:w="1836" w:type="dxa"/>
            <w:tcMar>
              <w:top w:w="100" w:type="nil"/>
              <w:right w:w="100" w:type="nil"/>
            </w:tcMar>
            <w:vAlign w:val="center"/>
          </w:tcPr>
          <w:p w14:paraId="6BE1C1C9"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lifeexp</w:t>
            </w:r>
          </w:p>
        </w:tc>
        <w:tc>
          <w:tcPr>
            <w:tcW w:w="1728" w:type="dxa"/>
            <w:tcMar>
              <w:top w:w="100" w:type="nil"/>
              <w:right w:w="100" w:type="nil"/>
            </w:tcMar>
            <w:vAlign w:val="center"/>
          </w:tcPr>
          <w:p w14:paraId="4ED431BB"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81.98349</w:t>
            </w:r>
          </w:p>
        </w:tc>
        <w:tc>
          <w:tcPr>
            <w:tcW w:w="1728" w:type="dxa"/>
            <w:tcMar>
              <w:top w:w="100" w:type="nil"/>
              <w:right w:w="100" w:type="nil"/>
            </w:tcMar>
            <w:vAlign w:val="center"/>
          </w:tcPr>
          <w:p w14:paraId="3D84BA8F"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1.352486</w:t>
            </w:r>
          </w:p>
        </w:tc>
        <w:tc>
          <w:tcPr>
            <w:tcW w:w="1728" w:type="dxa"/>
            <w:tcMar>
              <w:top w:w="100" w:type="nil"/>
              <w:right w:w="100" w:type="nil"/>
            </w:tcMar>
            <w:vAlign w:val="center"/>
          </w:tcPr>
          <w:p w14:paraId="27F5E1CF"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78.2</w:t>
            </w:r>
          </w:p>
        </w:tc>
        <w:tc>
          <w:tcPr>
            <w:tcW w:w="1728" w:type="dxa"/>
            <w:tcMar>
              <w:top w:w="100" w:type="nil"/>
              <w:right w:w="100" w:type="nil"/>
            </w:tcMar>
            <w:vAlign w:val="center"/>
          </w:tcPr>
          <w:p w14:paraId="1EE47E38"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84.4</w:t>
            </w:r>
          </w:p>
        </w:tc>
      </w:tr>
      <w:tr w:rsidR="00167CED" w:rsidRPr="00167CED" w14:paraId="49C28298" w14:textId="77777777" w:rsidTr="00167CED">
        <w:tc>
          <w:tcPr>
            <w:tcW w:w="1836" w:type="dxa"/>
            <w:tcMar>
              <w:top w:w="100" w:type="nil"/>
              <w:right w:w="100" w:type="nil"/>
            </w:tcMar>
            <w:vAlign w:val="center"/>
          </w:tcPr>
          <w:p w14:paraId="0A83D23F"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year</w:t>
            </w:r>
          </w:p>
        </w:tc>
        <w:tc>
          <w:tcPr>
            <w:tcW w:w="1728" w:type="dxa"/>
            <w:tcMar>
              <w:top w:w="100" w:type="nil"/>
              <w:right w:w="100" w:type="nil"/>
            </w:tcMar>
            <w:vAlign w:val="center"/>
          </w:tcPr>
          <w:p w14:paraId="7E256717"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2010.5</w:t>
            </w:r>
          </w:p>
        </w:tc>
        <w:tc>
          <w:tcPr>
            <w:tcW w:w="1728" w:type="dxa"/>
            <w:tcMar>
              <w:top w:w="100" w:type="nil"/>
              <w:right w:w="100" w:type="nil"/>
            </w:tcMar>
            <w:vAlign w:val="center"/>
          </w:tcPr>
          <w:p w14:paraId="7BF0E400"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6.358757</w:t>
            </w:r>
          </w:p>
        </w:tc>
        <w:tc>
          <w:tcPr>
            <w:tcW w:w="1728" w:type="dxa"/>
            <w:tcMar>
              <w:top w:w="100" w:type="nil"/>
              <w:right w:w="100" w:type="nil"/>
            </w:tcMar>
            <w:vAlign w:val="center"/>
          </w:tcPr>
          <w:p w14:paraId="6367BD92"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2000</w:t>
            </w:r>
          </w:p>
        </w:tc>
        <w:tc>
          <w:tcPr>
            <w:tcW w:w="1728" w:type="dxa"/>
            <w:tcMar>
              <w:top w:w="100" w:type="nil"/>
              <w:right w:w="100" w:type="nil"/>
            </w:tcMar>
            <w:vAlign w:val="center"/>
          </w:tcPr>
          <w:p w14:paraId="1DE087B2"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2021</w:t>
            </w:r>
          </w:p>
        </w:tc>
      </w:tr>
      <w:tr w:rsidR="00167CED" w:rsidRPr="00167CED" w14:paraId="2CEFAF1C" w14:textId="77777777" w:rsidTr="00167CED">
        <w:tc>
          <w:tcPr>
            <w:tcW w:w="1836" w:type="dxa"/>
            <w:tcMar>
              <w:top w:w="100" w:type="nil"/>
              <w:right w:w="100" w:type="nil"/>
            </w:tcMar>
            <w:vAlign w:val="center"/>
          </w:tcPr>
          <w:p w14:paraId="4618CD45" w14:textId="77777777" w:rsidR="00167CED" w:rsidRPr="00167CED" w:rsidRDefault="00167CED" w:rsidP="00167CED">
            <w:pPr>
              <w:autoSpaceDE w:val="0"/>
              <w:autoSpaceDN w:val="0"/>
              <w:adjustRightInd w:val="0"/>
              <w:rPr>
                <w:rFonts w:ascii="Times New Roman" w:hAnsi="Times New Roman" w:cs="Times New Roman"/>
              </w:rPr>
            </w:pPr>
            <w:r w:rsidRPr="00167CED">
              <w:rPr>
                <w:rFonts w:ascii="Times New Roman" w:hAnsi="Times New Roman" w:cs="Times New Roman"/>
              </w:rPr>
              <w:t>Observations</w:t>
            </w:r>
          </w:p>
        </w:tc>
        <w:tc>
          <w:tcPr>
            <w:tcW w:w="1728" w:type="dxa"/>
            <w:tcMar>
              <w:top w:w="100" w:type="nil"/>
              <w:right w:w="100" w:type="nil"/>
            </w:tcMar>
            <w:vAlign w:val="center"/>
          </w:tcPr>
          <w:p w14:paraId="4087B7EB" w14:textId="77777777" w:rsidR="00167CED" w:rsidRPr="00167CED" w:rsidRDefault="00167CED" w:rsidP="00167CED">
            <w:pPr>
              <w:autoSpaceDE w:val="0"/>
              <w:autoSpaceDN w:val="0"/>
              <w:adjustRightInd w:val="0"/>
              <w:jc w:val="center"/>
              <w:rPr>
                <w:rFonts w:ascii="Times New Roman" w:hAnsi="Times New Roman" w:cs="Times New Roman"/>
              </w:rPr>
            </w:pPr>
            <w:r w:rsidRPr="00167CED">
              <w:rPr>
                <w:rFonts w:ascii="Times New Roman" w:hAnsi="Times New Roman" w:cs="Times New Roman"/>
              </w:rPr>
              <w:t>220</w:t>
            </w:r>
          </w:p>
        </w:tc>
        <w:tc>
          <w:tcPr>
            <w:tcW w:w="1728" w:type="dxa"/>
            <w:tcMar>
              <w:top w:w="100" w:type="nil"/>
              <w:right w:w="100" w:type="nil"/>
            </w:tcMar>
            <w:vAlign w:val="center"/>
          </w:tcPr>
          <w:p w14:paraId="31A782C5" w14:textId="77777777" w:rsidR="00167CED" w:rsidRPr="00167CED" w:rsidRDefault="00167CED" w:rsidP="00167CED">
            <w:pPr>
              <w:autoSpaceDE w:val="0"/>
              <w:autoSpaceDN w:val="0"/>
              <w:adjustRightInd w:val="0"/>
              <w:jc w:val="center"/>
              <w:rPr>
                <w:rFonts w:ascii="Times New Roman" w:hAnsi="Times New Roman" w:cs="Times New Roman"/>
              </w:rPr>
            </w:pPr>
          </w:p>
        </w:tc>
        <w:tc>
          <w:tcPr>
            <w:tcW w:w="1728" w:type="dxa"/>
            <w:tcMar>
              <w:top w:w="100" w:type="nil"/>
              <w:right w:w="100" w:type="nil"/>
            </w:tcMar>
            <w:vAlign w:val="center"/>
          </w:tcPr>
          <w:p w14:paraId="02509597" w14:textId="77777777" w:rsidR="00167CED" w:rsidRPr="00167CED" w:rsidRDefault="00167CED" w:rsidP="00167CED">
            <w:pPr>
              <w:autoSpaceDE w:val="0"/>
              <w:autoSpaceDN w:val="0"/>
              <w:adjustRightInd w:val="0"/>
              <w:jc w:val="center"/>
              <w:rPr>
                <w:rFonts w:ascii="Times New Roman" w:hAnsi="Times New Roman" w:cs="Times New Roman"/>
              </w:rPr>
            </w:pPr>
          </w:p>
        </w:tc>
        <w:tc>
          <w:tcPr>
            <w:tcW w:w="1728" w:type="dxa"/>
            <w:tcMar>
              <w:top w:w="100" w:type="nil"/>
              <w:right w:w="100" w:type="nil"/>
            </w:tcMar>
            <w:vAlign w:val="center"/>
          </w:tcPr>
          <w:p w14:paraId="6887630C" w14:textId="77777777" w:rsidR="00167CED" w:rsidRPr="00167CED" w:rsidRDefault="00167CED" w:rsidP="00167CED">
            <w:pPr>
              <w:autoSpaceDE w:val="0"/>
              <w:autoSpaceDN w:val="0"/>
              <w:adjustRightInd w:val="0"/>
              <w:jc w:val="center"/>
              <w:rPr>
                <w:rFonts w:ascii="Times New Roman" w:hAnsi="Times New Roman" w:cs="Times New Roman"/>
              </w:rPr>
            </w:pPr>
          </w:p>
        </w:tc>
      </w:tr>
    </w:tbl>
    <w:p w14:paraId="268D55B7" w14:textId="77777777" w:rsidR="00167CED" w:rsidRPr="000D36DF" w:rsidRDefault="00167CED" w:rsidP="000364BC">
      <w:pPr>
        <w:pStyle w:val="p1"/>
        <w:spacing w:line="360" w:lineRule="auto"/>
        <w:jc w:val="both"/>
        <w:rPr>
          <w:lang w:val="en-US"/>
        </w:rPr>
      </w:pPr>
    </w:p>
    <w:p w14:paraId="59C9C5B1" w14:textId="7CE77500" w:rsidR="00FB68D7" w:rsidRPr="000D36DF" w:rsidRDefault="00E37BB5" w:rsidP="000364BC">
      <w:pPr>
        <w:pStyle w:val="p1"/>
        <w:spacing w:line="360" w:lineRule="auto"/>
        <w:jc w:val="both"/>
        <w:rPr>
          <w:lang w:val="en-US"/>
        </w:rPr>
      </w:pPr>
      <w:r>
        <w:rPr>
          <w:lang w:val="en-US"/>
        </w:rPr>
        <w:t>4.</w:t>
      </w:r>
      <w:r w:rsidR="00FB68D7" w:rsidRPr="000D36DF">
        <w:rPr>
          <w:lang w:val="en-US"/>
        </w:rPr>
        <w:t>Analytical Strategy</w:t>
      </w:r>
    </w:p>
    <w:p w14:paraId="2644881A" w14:textId="68F46255" w:rsidR="004352F4" w:rsidRPr="000D36DF" w:rsidRDefault="004352F4" w:rsidP="004352F4">
      <w:pPr>
        <w:pStyle w:val="p1"/>
        <w:spacing w:line="360" w:lineRule="auto"/>
        <w:jc w:val="both"/>
        <w:rPr>
          <w:lang w:val="en-US"/>
        </w:rPr>
      </w:pPr>
      <w:r w:rsidRPr="004352F4">
        <w:rPr>
          <w:lang w:val="en-US"/>
        </w:rPr>
        <w:t xml:space="preserve">To test the hypotheses, </w:t>
      </w:r>
      <w:r w:rsidR="00B144FA" w:rsidRPr="000D36DF">
        <w:rPr>
          <w:lang w:val="en-US"/>
        </w:rPr>
        <w:t xml:space="preserve">stepwise </w:t>
      </w:r>
      <w:r w:rsidRPr="004352F4">
        <w:rPr>
          <w:lang w:val="en-US"/>
        </w:rPr>
        <w:t xml:space="preserve">panel linear regression models are employed. In the first model, the effect of Region on GDP per capita is examined while controlling for the </w:t>
      </w:r>
      <w:r w:rsidR="00737CFF">
        <w:rPr>
          <w:lang w:val="en-US"/>
        </w:rPr>
        <w:t>N</w:t>
      </w:r>
      <w:r w:rsidRPr="004352F4">
        <w:rPr>
          <w:lang w:val="en-US"/>
        </w:rPr>
        <w:t xml:space="preserve">et </w:t>
      </w:r>
      <w:r w:rsidR="00737CFF">
        <w:rPr>
          <w:lang w:val="en-US"/>
        </w:rPr>
        <w:t>M</w:t>
      </w:r>
      <w:r w:rsidRPr="004352F4">
        <w:rPr>
          <w:lang w:val="en-US"/>
        </w:rPr>
        <w:t xml:space="preserve">igration </w:t>
      </w:r>
      <w:r w:rsidR="00737CFF">
        <w:rPr>
          <w:lang w:val="en-US"/>
        </w:rPr>
        <w:t>R</w:t>
      </w:r>
      <w:r w:rsidRPr="004352F4">
        <w:rPr>
          <w:lang w:val="en-US"/>
        </w:rPr>
        <w:t xml:space="preserve">ate. The second model introduces an interaction term between Region and the </w:t>
      </w:r>
      <w:r w:rsidR="00F05ED9">
        <w:rPr>
          <w:lang w:val="en-US"/>
        </w:rPr>
        <w:t>N</w:t>
      </w:r>
      <w:r w:rsidRPr="004352F4">
        <w:rPr>
          <w:lang w:val="en-US"/>
        </w:rPr>
        <w:t xml:space="preserve">et </w:t>
      </w:r>
      <w:r w:rsidR="00F05ED9">
        <w:rPr>
          <w:lang w:val="en-US"/>
        </w:rPr>
        <w:t>M</w:t>
      </w:r>
      <w:r w:rsidRPr="004352F4">
        <w:rPr>
          <w:lang w:val="en-US"/>
        </w:rPr>
        <w:t xml:space="preserve">igration </w:t>
      </w:r>
      <w:r w:rsidR="00F05ED9">
        <w:rPr>
          <w:lang w:val="en-US"/>
        </w:rPr>
        <w:t>R</w:t>
      </w:r>
      <w:r w:rsidRPr="004352F4">
        <w:rPr>
          <w:lang w:val="en-US"/>
        </w:rPr>
        <w:t>ate, without including any control variables, in order to assess the gross effect of this interaction on GDP per capita. Finally, the third model includes relevant control variables to evaluate how the relationship between the main predictor</w:t>
      </w:r>
      <w:r w:rsidR="004C7937" w:rsidRPr="000D36DF">
        <w:rPr>
          <w:lang w:val="en-US"/>
        </w:rPr>
        <w:t>, considered with the moderator,</w:t>
      </w:r>
      <w:r w:rsidR="00275F5E" w:rsidRPr="000D36DF">
        <w:rPr>
          <w:lang w:val="en-US"/>
        </w:rPr>
        <w:t xml:space="preserve"> </w:t>
      </w:r>
      <w:r w:rsidRPr="004352F4">
        <w:rPr>
          <w:lang w:val="en-US"/>
        </w:rPr>
        <w:t>and GDP per capita may change once these additional factors are accounted for.</w:t>
      </w:r>
      <w:r w:rsidR="00B62D36" w:rsidRPr="000D36DF">
        <w:rPr>
          <w:lang w:val="en-US"/>
        </w:rPr>
        <w:t xml:space="preserve"> </w:t>
      </w:r>
    </w:p>
    <w:p w14:paraId="18D2AA94" w14:textId="1B8D5232" w:rsidR="00275F5E" w:rsidRPr="000D36DF" w:rsidRDefault="00E37BB5" w:rsidP="004352F4">
      <w:pPr>
        <w:pStyle w:val="p1"/>
        <w:spacing w:line="360" w:lineRule="auto"/>
        <w:jc w:val="both"/>
        <w:rPr>
          <w:lang w:val="en-US"/>
        </w:rPr>
      </w:pPr>
      <w:r>
        <w:rPr>
          <w:lang w:val="en-US"/>
        </w:rPr>
        <w:t>5.</w:t>
      </w:r>
      <w:r w:rsidR="00275F5E" w:rsidRPr="000D36DF">
        <w:rPr>
          <w:lang w:val="en-US"/>
        </w:rPr>
        <w:t xml:space="preserve">Results </w:t>
      </w:r>
    </w:p>
    <w:p w14:paraId="463F8E01" w14:textId="65CFEB37" w:rsidR="00626068" w:rsidRPr="000D36DF" w:rsidRDefault="00626068" w:rsidP="004352F4">
      <w:pPr>
        <w:pStyle w:val="p1"/>
        <w:spacing w:line="360" w:lineRule="auto"/>
        <w:jc w:val="both"/>
        <w:rPr>
          <w:lang w:val="en-US"/>
        </w:rPr>
      </w:pPr>
      <w:r w:rsidRPr="000D36DF">
        <w:rPr>
          <w:lang w:val="en-US"/>
        </w:rPr>
        <w:t>Figure 3. Scatter plot illustrating the relationship between Region as the independent variable, Net Migration Rate as a moderator and GDP per capita as the dependent variable (with outliers)</w:t>
      </w:r>
      <w:r w:rsidR="009718BA" w:rsidRPr="000D36DF">
        <w:rPr>
          <w:lang w:val="en-US"/>
        </w:rPr>
        <w:t>.</w:t>
      </w:r>
    </w:p>
    <w:p w14:paraId="5C8BE37B" w14:textId="74A35C9A" w:rsidR="00626068" w:rsidRPr="000D36DF" w:rsidRDefault="00626068" w:rsidP="004352F4">
      <w:pPr>
        <w:pStyle w:val="p1"/>
        <w:spacing w:line="360" w:lineRule="auto"/>
        <w:jc w:val="both"/>
        <w:rPr>
          <w:lang w:val="en-US"/>
        </w:rPr>
      </w:pPr>
      <w:r w:rsidRPr="000D36DF">
        <w:rPr>
          <w:noProof/>
          <w:lang w:val="en-US"/>
        </w:rPr>
        <w:drawing>
          <wp:inline distT="0" distB="0" distL="0" distR="0" wp14:anchorId="5DD6B931" wp14:editId="1846F14A">
            <wp:extent cx="5029200" cy="3657600"/>
            <wp:effectExtent l="0" t="0" r="5715"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9200" cy="3657600"/>
                    </a:xfrm>
                    <a:prstGeom prst="rect">
                      <a:avLst/>
                    </a:prstGeom>
                  </pic:spPr>
                </pic:pic>
              </a:graphicData>
            </a:graphic>
          </wp:inline>
        </w:drawing>
      </w:r>
    </w:p>
    <w:p w14:paraId="2EA05390" w14:textId="6DFA4DF5" w:rsidR="007265D6" w:rsidRPr="007265D6" w:rsidRDefault="007265D6" w:rsidP="007265D6">
      <w:pPr>
        <w:pStyle w:val="p1"/>
        <w:spacing w:line="360" w:lineRule="auto"/>
        <w:jc w:val="both"/>
        <w:rPr>
          <w:lang w:val="en-US"/>
        </w:rPr>
      </w:pPr>
      <w:r w:rsidRPr="007265D6">
        <w:rPr>
          <w:lang w:val="en-US"/>
        </w:rPr>
        <w:lastRenderedPageBreak/>
        <w:t xml:space="preserve">As shown in Figure 3, the analysis reveals that several regions are affected by the presence of outliers, which may inflate the effects of the variables and bias the overall results. To address this issue and improve the clarity of the output, the mean and standard deviation of the </w:t>
      </w:r>
      <w:r w:rsidR="00737CFF">
        <w:rPr>
          <w:lang w:val="en-US"/>
        </w:rPr>
        <w:t>M</w:t>
      </w:r>
      <w:r w:rsidRPr="007265D6">
        <w:rPr>
          <w:lang w:val="en-US"/>
        </w:rPr>
        <w:t xml:space="preserve">et </w:t>
      </w:r>
      <w:r w:rsidR="00737CFF">
        <w:rPr>
          <w:lang w:val="en-US"/>
        </w:rPr>
        <w:t>M</w:t>
      </w:r>
      <w:r w:rsidRPr="007265D6">
        <w:rPr>
          <w:lang w:val="en-US"/>
        </w:rPr>
        <w:t xml:space="preserve">igration </w:t>
      </w:r>
      <w:r w:rsidR="00737CFF">
        <w:rPr>
          <w:lang w:val="en-US"/>
        </w:rPr>
        <w:t>R</w:t>
      </w:r>
      <w:r w:rsidRPr="007265D6">
        <w:rPr>
          <w:lang w:val="en-US"/>
        </w:rPr>
        <w:t>ate were calculated for each region. Following standard econometric practice, observations exceeding three standard deviations from the regional mean were identified and removed as outliers (e.g., Barnett &amp; Lewis 1994</w:t>
      </w:r>
      <w:r w:rsidR="002B1FB0">
        <w:rPr>
          <w:lang w:val="en-US"/>
        </w:rPr>
        <w:t xml:space="preserve">, </w:t>
      </w:r>
      <w:r w:rsidRPr="007265D6">
        <w:rPr>
          <w:lang w:val="en-US"/>
        </w:rPr>
        <w:t>Gujarati &amp; Porter 2009</w:t>
      </w:r>
      <w:r w:rsidR="002B1FB0">
        <w:rPr>
          <w:lang w:val="en-US"/>
        </w:rPr>
        <w:t>,</w:t>
      </w:r>
      <w:r w:rsidRPr="007265D6">
        <w:rPr>
          <w:lang w:val="en-US"/>
        </w:rPr>
        <w:t xml:space="preserve"> Wooldridge 2012). Notably, the identified outlier value occurred simultaneously across all regions in the year 2013.</w:t>
      </w:r>
    </w:p>
    <w:p w14:paraId="21613792" w14:textId="1D2C08A1" w:rsidR="00E211AF" w:rsidRPr="000D36DF" w:rsidRDefault="00E211AF" w:rsidP="00FB3E35">
      <w:pPr>
        <w:pStyle w:val="p1"/>
        <w:spacing w:line="360" w:lineRule="auto"/>
        <w:jc w:val="both"/>
        <w:rPr>
          <w:lang w:val="en-US"/>
        </w:rPr>
      </w:pPr>
      <w:r w:rsidRPr="000D36DF">
        <w:rPr>
          <w:lang w:val="en-US"/>
        </w:rPr>
        <w:t>Table 2. Regression table for three models.</w:t>
      </w:r>
    </w:p>
    <w:tbl>
      <w:tblPr>
        <w:tblW w:w="8163" w:type="dxa"/>
        <w:tblCellMar>
          <w:left w:w="70" w:type="dxa"/>
          <w:right w:w="70" w:type="dxa"/>
        </w:tblCellMar>
        <w:tblLook w:val="04A0" w:firstRow="1" w:lastRow="0" w:firstColumn="1" w:lastColumn="0" w:noHBand="0" w:noVBand="1"/>
      </w:tblPr>
      <w:tblGrid>
        <w:gridCol w:w="4200"/>
        <w:gridCol w:w="1351"/>
        <w:gridCol w:w="1160"/>
        <w:gridCol w:w="1452"/>
      </w:tblGrid>
      <w:tr w:rsidR="00E211AF" w:rsidRPr="002B64BF" w14:paraId="56DCD4DC" w14:textId="77777777" w:rsidTr="00524461">
        <w:trPr>
          <w:trHeight w:val="280"/>
        </w:trPr>
        <w:tc>
          <w:tcPr>
            <w:tcW w:w="4200" w:type="dxa"/>
            <w:tcBorders>
              <w:top w:val="single" w:sz="4" w:space="0" w:color="000000"/>
              <w:left w:val="nil"/>
              <w:bottom w:val="nil"/>
              <w:right w:val="nil"/>
            </w:tcBorders>
            <w:shd w:val="clear" w:color="auto" w:fill="auto"/>
            <w:noWrap/>
            <w:vAlign w:val="bottom"/>
            <w:hideMark/>
          </w:tcPr>
          <w:p w14:paraId="7909885B"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 </w:t>
            </w:r>
          </w:p>
        </w:tc>
        <w:tc>
          <w:tcPr>
            <w:tcW w:w="1351" w:type="dxa"/>
            <w:tcBorders>
              <w:top w:val="single" w:sz="4" w:space="0" w:color="000000"/>
              <w:left w:val="nil"/>
              <w:bottom w:val="nil"/>
              <w:right w:val="nil"/>
            </w:tcBorders>
            <w:shd w:val="clear" w:color="auto" w:fill="auto"/>
            <w:noWrap/>
            <w:vAlign w:val="bottom"/>
            <w:hideMark/>
          </w:tcPr>
          <w:p w14:paraId="7DC0F348" w14:textId="3D53BA17" w:rsidR="00E211AF" w:rsidRPr="00E02E63" w:rsidRDefault="00E211AF" w:rsidP="00524461">
            <w:pPr>
              <w:jc w:val="center"/>
              <w:rPr>
                <w:rFonts w:ascii="Times New Roman" w:eastAsia="Times New Roman" w:hAnsi="Times New Roman" w:cs="Times New Roman"/>
                <w:sz w:val="20"/>
                <w:szCs w:val="20"/>
                <w:lang w:val="en-US" w:eastAsia="it-IT"/>
              </w:rPr>
            </w:pPr>
          </w:p>
        </w:tc>
        <w:tc>
          <w:tcPr>
            <w:tcW w:w="1160" w:type="dxa"/>
            <w:tcBorders>
              <w:top w:val="single" w:sz="4" w:space="0" w:color="000000"/>
              <w:left w:val="nil"/>
              <w:bottom w:val="nil"/>
              <w:right w:val="nil"/>
            </w:tcBorders>
            <w:shd w:val="clear" w:color="auto" w:fill="auto"/>
            <w:noWrap/>
            <w:vAlign w:val="bottom"/>
            <w:hideMark/>
          </w:tcPr>
          <w:p w14:paraId="6E420478" w14:textId="19C1258B" w:rsidR="00E211AF" w:rsidRPr="00E02E63" w:rsidRDefault="00E211AF" w:rsidP="00524461">
            <w:pPr>
              <w:jc w:val="center"/>
              <w:rPr>
                <w:rFonts w:ascii="Times New Roman" w:eastAsia="Times New Roman" w:hAnsi="Times New Roman" w:cs="Times New Roman"/>
                <w:sz w:val="20"/>
                <w:szCs w:val="20"/>
                <w:lang w:val="en-US" w:eastAsia="it-IT"/>
              </w:rPr>
            </w:pPr>
          </w:p>
        </w:tc>
        <w:tc>
          <w:tcPr>
            <w:tcW w:w="1452" w:type="dxa"/>
            <w:tcBorders>
              <w:top w:val="single" w:sz="4" w:space="0" w:color="000000"/>
              <w:left w:val="nil"/>
              <w:bottom w:val="nil"/>
              <w:right w:val="nil"/>
            </w:tcBorders>
            <w:shd w:val="clear" w:color="auto" w:fill="auto"/>
            <w:noWrap/>
            <w:vAlign w:val="bottom"/>
            <w:hideMark/>
          </w:tcPr>
          <w:p w14:paraId="75B25E69" w14:textId="21CA0A5B" w:rsidR="00E211AF" w:rsidRPr="00E02E63" w:rsidRDefault="00E211AF" w:rsidP="00524461">
            <w:pPr>
              <w:jc w:val="center"/>
              <w:rPr>
                <w:rFonts w:ascii="Times New Roman" w:eastAsia="Times New Roman" w:hAnsi="Times New Roman" w:cs="Times New Roman"/>
                <w:sz w:val="20"/>
                <w:szCs w:val="20"/>
                <w:lang w:val="en-US" w:eastAsia="it-IT"/>
              </w:rPr>
            </w:pPr>
          </w:p>
        </w:tc>
      </w:tr>
      <w:tr w:rsidR="00E211AF" w:rsidRPr="000D36DF" w14:paraId="6AD77D8A" w14:textId="77777777" w:rsidTr="00524461">
        <w:trPr>
          <w:trHeight w:val="280"/>
        </w:trPr>
        <w:tc>
          <w:tcPr>
            <w:tcW w:w="4200" w:type="dxa"/>
            <w:tcBorders>
              <w:top w:val="nil"/>
              <w:left w:val="nil"/>
              <w:bottom w:val="nil"/>
              <w:right w:val="nil"/>
            </w:tcBorders>
            <w:shd w:val="clear" w:color="auto" w:fill="auto"/>
            <w:noWrap/>
            <w:vAlign w:val="bottom"/>
            <w:hideMark/>
          </w:tcPr>
          <w:p w14:paraId="70DED95B"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GDP per capita</w:t>
            </w:r>
          </w:p>
        </w:tc>
        <w:tc>
          <w:tcPr>
            <w:tcW w:w="1351" w:type="dxa"/>
            <w:tcBorders>
              <w:top w:val="nil"/>
              <w:left w:val="nil"/>
              <w:bottom w:val="nil"/>
              <w:right w:val="nil"/>
            </w:tcBorders>
            <w:shd w:val="clear" w:color="auto" w:fill="auto"/>
            <w:noWrap/>
            <w:vAlign w:val="bottom"/>
            <w:hideMark/>
          </w:tcPr>
          <w:p w14:paraId="3045654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Model 1</w:t>
            </w:r>
          </w:p>
        </w:tc>
        <w:tc>
          <w:tcPr>
            <w:tcW w:w="1160" w:type="dxa"/>
            <w:tcBorders>
              <w:top w:val="nil"/>
              <w:left w:val="nil"/>
              <w:bottom w:val="nil"/>
              <w:right w:val="nil"/>
            </w:tcBorders>
            <w:shd w:val="clear" w:color="auto" w:fill="auto"/>
            <w:noWrap/>
            <w:vAlign w:val="bottom"/>
            <w:hideMark/>
          </w:tcPr>
          <w:p w14:paraId="714C34E1"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Model 2</w:t>
            </w:r>
          </w:p>
        </w:tc>
        <w:tc>
          <w:tcPr>
            <w:tcW w:w="1452" w:type="dxa"/>
            <w:tcBorders>
              <w:top w:val="nil"/>
              <w:left w:val="nil"/>
              <w:bottom w:val="nil"/>
              <w:right w:val="nil"/>
            </w:tcBorders>
            <w:shd w:val="clear" w:color="auto" w:fill="auto"/>
            <w:noWrap/>
            <w:vAlign w:val="bottom"/>
            <w:hideMark/>
          </w:tcPr>
          <w:p w14:paraId="139589E3"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Model 3</w:t>
            </w:r>
          </w:p>
        </w:tc>
      </w:tr>
      <w:tr w:rsidR="00E211AF" w:rsidRPr="000D36DF" w14:paraId="6D3453C6" w14:textId="77777777" w:rsidTr="00524461">
        <w:trPr>
          <w:trHeight w:val="280"/>
        </w:trPr>
        <w:tc>
          <w:tcPr>
            <w:tcW w:w="4200" w:type="dxa"/>
            <w:tcBorders>
              <w:top w:val="nil"/>
              <w:left w:val="nil"/>
              <w:bottom w:val="nil"/>
              <w:right w:val="nil"/>
            </w:tcBorders>
            <w:shd w:val="clear" w:color="auto" w:fill="auto"/>
            <w:noWrap/>
            <w:vAlign w:val="bottom"/>
            <w:hideMark/>
          </w:tcPr>
          <w:p w14:paraId="67F7FA30"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2F45E25F"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270A35AC"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4DB9D52F" w14:textId="77777777" w:rsidR="00E211AF" w:rsidRPr="000D36DF" w:rsidRDefault="00E211AF" w:rsidP="00524461">
            <w:pPr>
              <w:jc w:val="center"/>
              <w:rPr>
                <w:rFonts w:ascii="Times New Roman" w:eastAsia="Times New Roman" w:hAnsi="Times New Roman" w:cs="Times New Roman"/>
                <w:sz w:val="20"/>
                <w:szCs w:val="20"/>
                <w:lang w:eastAsia="it-IT"/>
              </w:rPr>
            </w:pPr>
          </w:p>
        </w:tc>
      </w:tr>
      <w:tr w:rsidR="00E211AF" w:rsidRPr="000D36DF" w14:paraId="1E573089" w14:textId="77777777" w:rsidTr="00524461">
        <w:trPr>
          <w:trHeight w:val="280"/>
        </w:trPr>
        <w:tc>
          <w:tcPr>
            <w:tcW w:w="4200" w:type="dxa"/>
            <w:tcBorders>
              <w:top w:val="nil"/>
              <w:left w:val="nil"/>
              <w:bottom w:val="nil"/>
              <w:right w:val="nil"/>
            </w:tcBorders>
            <w:shd w:val="clear" w:color="auto" w:fill="auto"/>
            <w:noWrap/>
            <w:vAlign w:val="bottom"/>
            <w:hideMark/>
          </w:tcPr>
          <w:p w14:paraId="0B7EBBC2"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netmig_rate</w:t>
            </w:r>
          </w:p>
        </w:tc>
        <w:tc>
          <w:tcPr>
            <w:tcW w:w="1351" w:type="dxa"/>
            <w:tcBorders>
              <w:top w:val="nil"/>
              <w:left w:val="nil"/>
              <w:bottom w:val="nil"/>
              <w:right w:val="nil"/>
            </w:tcBorders>
            <w:shd w:val="clear" w:color="auto" w:fill="auto"/>
            <w:noWrap/>
            <w:vAlign w:val="bottom"/>
            <w:hideMark/>
          </w:tcPr>
          <w:p w14:paraId="17F5B973"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-0.020</w:t>
            </w:r>
          </w:p>
        </w:tc>
        <w:tc>
          <w:tcPr>
            <w:tcW w:w="1160" w:type="dxa"/>
            <w:tcBorders>
              <w:top w:val="nil"/>
              <w:left w:val="nil"/>
              <w:bottom w:val="nil"/>
              <w:right w:val="nil"/>
            </w:tcBorders>
            <w:shd w:val="clear" w:color="auto" w:fill="auto"/>
            <w:noWrap/>
            <w:vAlign w:val="bottom"/>
            <w:hideMark/>
          </w:tcPr>
          <w:p w14:paraId="48D83E8D"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-0.014</w:t>
            </w:r>
          </w:p>
        </w:tc>
        <w:tc>
          <w:tcPr>
            <w:tcW w:w="1452" w:type="dxa"/>
            <w:tcBorders>
              <w:top w:val="nil"/>
              <w:left w:val="nil"/>
              <w:bottom w:val="nil"/>
              <w:right w:val="nil"/>
            </w:tcBorders>
            <w:shd w:val="clear" w:color="auto" w:fill="auto"/>
            <w:noWrap/>
            <w:vAlign w:val="bottom"/>
            <w:hideMark/>
          </w:tcPr>
          <w:p w14:paraId="2AE495E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0.006**</w:t>
            </w:r>
          </w:p>
        </w:tc>
      </w:tr>
      <w:tr w:rsidR="00E211AF" w:rsidRPr="000D36DF" w14:paraId="7AD94DBE" w14:textId="77777777" w:rsidTr="00524461">
        <w:trPr>
          <w:trHeight w:val="280"/>
        </w:trPr>
        <w:tc>
          <w:tcPr>
            <w:tcW w:w="4200" w:type="dxa"/>
            <w:tcBorders>
              <w:top w:val="nil"/>
              <w:left w:val="nil"/>
              <w:bottom w:val="nil"/>
              <w:right w:val="nil"/>
            </w:tcBorders>
            <w:shd w:val="clear" w:color="auto" w:fill="auto"/>
            <w:noWrap/>
            <w:vAlign w:val="bottom"/>
            <w:hideMark/>
          </w:tcPr>
          <w:p w14:paraId="11EDB00B"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66875948"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(0.014)</w:t>
            </w:r>
          </w:p>
        </w:tc>
        <w:tc>
          <w:tcPr>
            <w:tcW w:w="1160" w:type="dxa"/>
            <w:tcBorders>
              <w:top w:val="nil"/>
              <w:left w:val="nil"/>
              <w:bottom w:val="nil"/>
              <w:right w:val="nil"/>
            </w:tcBorders>
            <w:shd w:val="clear" w:color="auto" w:fill="auto"/>
            <w:noWrap/>
            <w:vAlign w:val="bottom"/>
            <w:hideMark/>
          </w:tcPr>
          <w:p w14:paraId="7178FD57"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499BD8CF"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(0.002)</w:t>
            </w:r>
          </w:p>
        </w:tc>
      </w:tr>
      <w:tr w:rsidR="00E211AF" w:rsidRPr="000D36DF" w14:paraId="4AA26308" w14:textId="77777777" w:rsidTr="00524461">
        <w:trPr>
          <w:trHeight w:val="280"/>
        </w:trPr>
        <w:tc>
          <w:tcPr>
            <w:tcW w:w="4200" w:type="dxa"/>
            <w:tcBorders>
              <w:top w:val="nil"/>
              <w:left w:val="nil"/>
              <w:bottom w:val="nil"/>
              <w:right w:val="nil"/>
            </w:tcBorders>
            <w:shd w:val="clear" w:color="auto" w:fill="auto"/>
            <w:noWrap/>
            <w:vAlign w:val="bottom"/>
            <w:hideMark/>
          </w:tcPr>
          <w:p w14:paraId="7D887C56"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Lombardia#c.netmig_rate</w:t>
            </w:r>
          </w:p>
        </w:tc>
        <w:tc>
          <w:tcPr>
            <w:tcW w:w="1351" w:type="dxa"/>
            <w:tcBorders>
              <w:top w:val="nil"/>
              <w:left w:val="nil"/>
              <w:bottom w:val="nil"/>
              <w:right w:val="nil"/>
            </w:tcBorders>
            <w:shd w:val="clear" w:color="auto" w:fill="auto"/>
            <w:noWrap/>
            <w:vAlign w:val="bottom"/>
            <w:hideMark/>
          </w:tcPr>
          <w:p w14:paraId="7816FB6E"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24B8A578"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-0.021</w:t>
            </w:r>
          </w:p>
        </w:tc>
        <w:tc>
          <w:tcPr>
            <w:tcW w:w="1452" w:type="dxa"/>
            <w:tcBorders>
              <w:top w:val="nil"/>
              <w:left w:val="nil"/>
              <w:bottom w:val="nil"/>
              <w:right w:val="nil"/>
            </w:tcBorders>
            <w:shd w:val="clear" w:color="auto" w:fill="auto"/>
            <w:noWrap/>
            <w:vAlign w:val="bottom"/>
            <w:hideMark/>
          </w:tcPr>
          <w:p w14:paraId="5AB0C5D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-0.005</w:t>
            </w:r>
          </w:p>
        </w:tc>
      </w:tr>
      <w:tr w:rsidR="00E211AF" w:rsidRPr="000D36DF" w14:paraId="5B5597DA" w14:textId="77777777" w:rsidTr="00524461">
        <w:trPr>
          <w:trHeight w:val="280"/>
        </w:trPr>
        <w:tc>
          <w:tcPr>
            <w:tcW w:w="4200" w:type="dxa"/>
            <w:tcBorders>
              <w:top w:val="nil"/>
              <w:left w:val="nil"/>
              <w:bottom w:val="nil"/>
              <w:right w:val="nil"/>
            </w:tcBorders>
            <w:shd w:val="clear" w:color="auto" w:fill="auto"/>
            <w:noWrap/>
            <w:vAlign w:val="bottom"/>
            <w:hideMark/>
          </w:tcPr>
          <w:p w14:paraId="52BDFDE6"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5DC25225"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02D63D5F"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6FFD1683"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(0.005)</w:t>
            </w:r>
          </w:p>
        </w:tc>
      </w:tr>
      <w:tr w:rsidR="00E211AF" w:rsidRPr="000D36DF" w14:paraId="490B5DEB" w14:textId="77777777" w:rsidTr="00524461">
        <w:trPr>
          <w:trHeight w:val="280"/>
        </w:trPr>
        <w:tc>
          <w:tcPr>
            <w:tcW w:w="4200" w:type="dxa"/>
            <w:tcBorders>
              <w:top w:val="nil"/>
              <w:left w:val="nil"/>
              <w:bottom w:val="nil"/>
              <w:right w:val="nil"/>
            </w:tcBorders>
            <w:shd w:val="clear" w:color="auto" w:fill="auto"/>
            <w:noWrap/>
            <w:vAlign w:val="bottom"/>
            <w:hideMark/>
          </w:tcPr>
          <w:p w14:paraId="7DAF6520"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Campania#c.netmig_rate</w:t>
            </w:r>
          </w:p>
        </w:tc>
        <w:tc>
          <w:tcPr>
            <w:tcW w:w="1351" w:type="dxa"/>
            <w:tcBorders>
              <w:top w:val="nil"/>
              <w:left w:val="nil"/>
              <w:bottom w:val="nil"/>
              <w:right w:val="nil"/>
            </w:tcBorders>
            <w:shd w:val="clear" w:color="auto" w:fill="auto"/>
            <w:noWrap/>
            <w:vAlign w:val="bottom"/>
            <w:hideMark/>
          </w:tcPr>
          <w:p w14:paraId="4CC78226"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1CD8B9A8"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0.029</w:t>
            </w:r>
          </w:p>
        </w:tc>
        <w:tc>
          <w:tcPr>
            <w:tcW w:w="1452" w:type="dxa"/>
            <w:tcBorders>
              <w:top w:val="nil"/>
              <w:left w:val="nil"/>
              <w:bottom w:val="nil"/>
              <w:right w:val="nil"/>
            </w:tcBorders>
            <w:shd w:val="clear" w:color="auto" w:fill="auto"/>
            <w:noWrap/>
            <w:vAlign w:val="bottom"/>
            <w:hideMark/>
          </w:tcPr>
          <w:p w14:paraId="4157314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0.004</w:t>
            </w:r>
          </w:p>
        </w:tc>
      </w:tr>
      <w:tr w:rsidR="00E211AF" w:rsidRPr="000D36DF" w14:paraId="726A3B3E" w14:textId="77777777" w:rsidTr="00524461">
        <w:trPr>
          <w:trHeight w:val="280"/>
        </w:trPr>
        <w:tc>
          <w:tcPr>
            <w:tcW w:w="4200" w:type="dxa"/>
            <w:tcBorders>
              <w:top w:val="nil"/>
              <w:left w:val="nil"/>
              <w:bottom w:val="nil"/>
              <w:right w:val="nil"/>
            </w:tcBorders>
            <w:shd w:val="clear" w:color="auto" w:fill="auto"/>
            <w:noWrap/>
            <w:vAlign w:val="bottom"/>
            <w:hideMark/>
          </w:tcPr>
          <w:p w14:paraId="541EDF61"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3F6C725E"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3E6C49BA"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5B554CA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(0.003)</w:t>
            </w:r>
          </w:p>
        </w:tc>
      </w:tr>
      <w:tr w:rsidR="00E211AF" w:rsidRPr="000D36DF" w14:paraId="3D61C7F1" w14:textId="77777777" w:rsidTr="00524461">
        <w:trPr>
          <w:trHeight w:val="280"/>
        </w:trPr>
        <w:tc>
          <w:tcPr>
            <w:tcW w:w="4200" w:type="dxa"/>
            <w:tcBorders>
              <w:top w:val="nil"/>
              <w:left w:val="nil"/>
              <w:bottom w:val="nil"/>
              <w:right w:val="nil"/>
            </w:tcBorders>
            <w:shd w:val="clear" w:color="auto" w:fill="auto"/>
            <w:noWrap/>
            <w:vAlign w:val="bottom"/>
            <w:hideMark/>
          </w:tcPr>
          <w:p w14:paraId="706FA98A"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Calabria#c.netmig_rate</w:t>
            </w:r>
          </w:p>
        </w:tc>
        <w:tc>
          <w:tcPr>
            <w:tcW w:w="1351" w:type="dxa"/>
            <w:tcBorders>
              <w:top w:val="nil"/>
              <w:left w:val="nil"/>
              <w:bottom w:val="nil"/>
              <w:right w:val="nil"/>
            </w:tcBorders>
            <w:shd w:val="clear" w:color="auto" w:fill="auto"/>
            <w:noWrap/>
            <w:vAlign w:val="bottom"/>
            <w:hideMark/>
          </w:tcPr>
          <w:p w14:paraId="06C80241"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420B397A"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0.053</w:t>
            </w:r>
          </w:p>
        </w:tc>
        <w:tc>
          <w:tcPr>
            <w:tcW w:w="1452" w:type="dxa"/>
            <w:tcBorders>
              <w:top w:val="nil"/>
              <w:left w:val="nil"/>
              <w:bottom w:val="nil"/>
              <w:right w:val="nil"/>
            </w:tcBorders>
            <w:shd w:val="clear" w:color="auto" w:fill="auto"/>
            <w:noWrap/>
            <w:vAlign w:val="bottom"/>
            <w:hideMark/>
          </w:tcPr>
          <w:p w14:paraId="43A8CA32"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0.004</w:t>
            </w:r>
          </w:p>
        </w:tc>
      </w:tr>
      <w:tr w:rsidR="00E211AF" w:rsidRPr="000D36DF" w14:paraId="2BAEEA6C" w14:textId="77777777" w:rsidTr="00524461">
        <w:trPr>
          <w:trHeight w:val="280"/>
        </w:trPr>
        <w:tc>
          <w:tcPr>
            <w:tcW w:w="4200" w:type="dxa"/>
            <w:tcBorders>
              <w:top w:val="nil"/>
              <w:left w:val="nil"/>
              <w:bottom w:val="nil"/>
              <w:right w:val="nil"/>
            </w:tcBorders>
            <w:shd w:val="clear" w:color="auto" w:fill="auto"/>
            <w:noWrap/>
            <w:vAlign w:val="bottom"/>
            <w:hideMark/>
          </w:tcPr>
          <w:p w14:paraId="6B4031FA"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18CA4453"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22ABEB69"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3872EB0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(0.007)</w:t>
            </w:r>
          </w:p>
        </w:tc>
      </w:tr>
      <w:tr w:rsidR="00E211AF" w:rsidRPr="000D36DF" w14:paraId="29844A34" w14:textId="77777777" w:rsidTr="00524461">
        <w:trPr>
          <w:trHeight w:val="280"/>
        </w:trPr>
        <w:tc>
          <w:tcPr>
            <w:tcW w:w="4200" w:type="dxa"/>
            <w:tcBorders>
              <w:top w:val="nil"/>
              <w:left w:val="nil"/>
              <w:bottom w:val="nil"/>
              <w:right w:val="nil"/>
            </w:tcBorders>
            <w:shd w:val="clear" w:color="auto" w:fill="auto"/>
            <w:noWrap/>
            <w:vAlign w:val="bottom"/>
            <w:hideMark/>
          </w:tcPr>
          <w:p w14:paraId="7063EF46"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Sicialia#c.netmig_rate</w:t>
            </w:r>
          </w:p>
        </w:tc>
        <w:tc>
          <w:tcPr>
            <w:tcW w:w="1351" w:type="dxa"/>
            <w:tcBorders>
              <w:top w:val="nil"/>
              <w:left w:val="nil"/>
              <w:bottom w:val="nil"/>
              <w:right w:val="nil"/>
            </w:tcBorders>
            <w:shd w:val="clear" w:color="auto" w:fill="auto"/>
            <w:noWrap/>
            <w:vAlign w:val="bottom"/>
            <w:hideMark/>
          </w:tcPr>
          <w:p w14:paraId="44DF398E"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42AFD06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0.058</w:t>
            </w:r>
          </w:p>
        </w:tc>
        <w:tc>
          <w:tcPr>
            <w:tcW w:w="1452" w:type="dxa"/>
            <w:tcBorders>
              <w:top w:val="nil"/>
              <w:left w:val="nil"/>
              <w:bottom w:val="nil"/>
              <w:right w:val="nil"/>
            </w:tcBorders>
            <w:shd w:val="clear" w:color="auto" w:fill="auto"/>
            <w:noWrap/>
            <w:vAlign w:val="bottom"/>
            <w:hideMark/>
          </w:tcPr>
          <w:p w14:paraId="6DDBEF9D"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0.011</w:t>
            </w:r>
          </w:p>
        </w:tc>
      </w:tr>
      <w:tr w:rsidR="00E211AF" w:rsidRPr="000D36DF" w14:paraId="52C614D0" w14:textId="77777777" w:rsidTr="00524461">
        <w:trPr>
          <w:trHeight w:val="280"/>
        </w:trPr>
        <w:tc>
          <w:tcPr>
            <w:tcW w:w="4200" w:type="dxa"/>
            <w:tcBorders>
              <w:top w:val="nil"/>
              <w:left w:val="nil"/>
              <w:bottom w:val="nil"/>
              <w:right w:val="nil"/>
            </w:tcBorders>
            <w:shd w:val="clear" w:color="auto" w:fill="auto"/>
            <w:noWrap/>
            <w:vAlign w:val="bottom"/>
            <w:hideMark/>
          </w:tcPr>
          <w:p w14:paraId="531F8395"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7B07CB09"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7505054A"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5CA8CCCF"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(0.010)</w:t>
            </w:r>
          </w:p>
        </w:tc>
      </w:tr>
      <w:tr w:rsidR="00E211AF" w:rsidRPr="000D36DF" w14:paraId="57369D27" w14:textId="77777777" w:rsidTr="00524461">
        <w:trPr>
          <w:trHeight w:val="280"/>
        </w:trPr>
        <w:tc>
          <w:tcPr>
            <w:tcW w:w="4200" w:type="dxa"/>
            <w:tcBorders>
              <w:top w:val="nil"/>
              <w:left w:val="nil"/>
              <w:bottom w:val="nil"/>
              <w:right w:val="nil"/>
            </w:tcBorders>
            <w:shd w:val="clear" w:color="auto" w:fill="auto"/>
            <w:noWrap/>
            <w:vAlign w:val="bottom"/>
            <w:hideMark/>
          </w:tcPr>
          <w:p w14:paraId="141953D2"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Veneto#c.netmig_rate</w:t>
            </w:r>
          </w:p>
        </w:tc>
        <w:tc>
          <w:tcPr>
            <w:tcW w:w="1351" w:type="dxa"/>
            <w:tcBorders>
              <w:top w:val="nil"/>
              <w:left w:val="nil"/>
              <w:bottom w:val="nil"/>
              <w:right w:val="nil"/>
            </w:tcBorders>
            <w:shd w:val="clear" w:color="auto" w:fill="auto"/>
            <w:noWrap/>
            <w:vAlign w:val="bottom"/>
            <w:hideMark/>
          </w:tcPr>
          <w:p w14:paraId="2AB1541D"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6FF4B88B"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-0.051</w:t>
            </w:r>
          </w:p>
        </w:tc>
        <w:tc>
          <w:tcPr>
            <w:tcW w:w="1452" w:type="dxa"/>
            <w:tcBorders>
              <w:top w:val="nil"/>
              <w:left w:val="nil"/>
              <w:bottom w:val="nil"/>
              <w:right w:val="nil"/>
            </w:tcBorders>
            <w:shd w:val="clear" w:color="auto" w:fill="auto"/>
            <w:noWrap/>
            <w:vAlign w:val="bottom"/>
            <w:hideMark/>
          </w:tcPr>
          <w:p w14:paraId="1A58AECD"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-0.003</w:t>
            </w:r>
          </w:p>
        </w:tc>
      </w:tr>
      <w:tr w:rsidR="00E211AF" w:rsidRPr="000D36DF" w14:paraId="66779CF5" w14:textId="77777777" w:rsidTr="00524461">
        <w:trPr>
          <w:trHeight w:val="280"/>
        </w:trPr>
        <w:tc>
          <w:tcPr>
            <w:tcW w:w="4200" w:type="dxa"/>
            <w:tcBorders>
              <w:top w:val="nil"/>
              <w:left w:val="nil"/>
              <w:bottom w:val="nil"/>
              <w:right w:val="nil"/>
            </w:tcBorders>
            <w:shd w:val="clear" w:color="auto" w:fill="auto"/>
            <w:noWrap/>
            <w:vAlign w:val="bottom"/>
            <w:hideMark/>
          </w:tcPr>
          <w:p w14:paraId="6537C139"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26FCA2AB"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44F9305F"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26C17378"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(0.006)</w:t>
            </w:r>
          </w:p>
        </w:tc>
      </w:tr>
      <w:tr w:rsidR="00E211AF" w:rsidRPr="000D36DF" w14:paraId="0E39FFFD" w14:textId="77777777" w:rsidTr="00524461">
        <w:trPr>
          <w:trHeight w:val="280"/>
        </w:trPr>
        <w:tc>
          <w:tcPr>
            <w:tcW w:w="4200" w:type="dxa"/>
            <w:tcBorders>
              <w:top w:val="nil"/>
              <w:left w:val="nil"/>
              <w:bottom w:val="nil"/>
              <w:right w:val="nil"/>
            </w:tcBorders>
            <w:shd w:val="clear" w:color="auto" w:fill="auto"/>
            <w:noWrap/>
            <w:vAlign w:val="bottom"/>
            <w:hideMark/>
          </w:tcPr>
          <w:p w14:paraId="15CD3F18"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Emilia-Romagna#c.netmig_rate</w:t>
            </w:r>
          </w:p>
        </w:tc>
        <w:tc>
          <w:tcPr>
            <w:tcW w:w="1351" w:type="dxa"/>
            <w:tcBorders>
              <w:top w:val="nil"/>
              <w:left w:val="nil"/>
              <w:bottom w:val="nil"/>
              <w:right w:val="nil"/>
            </w:tcBorders>
            <w:shd w:val="clear" w:color="auto" w:fill="auto"/>
            <w:noWrap/>
            <w:vAlign w:val="bottom"/>
            <w:hideMark/>
          </w:tcPr>
          <w:p w14:paraId="7DFA3842"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034D3331"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-0.048</w:t>
            </w:r>
          </w:p>
        </w:tc>
        <w:tc>
          <w:tcPr>
            <w:tcW w:w="1452" w:type="dxa"/>
            <w:tcBorders>
              <w:top w:val="nil"/>
              <w:left w:val="nil"/>
              <w:bottom w:val="nil"/>
              <w:right w:val="nil"/>
            </w:tcBorders>
            <w:shd w:val="clear" w:color="auto" w:fill="auto"/>
            <w:noWrap/>
            <w:vAlign w:val="bottom"/>
            <w:hideMark/>
          </w:tcPr>
          <w:p w14:paraId="43B191FA"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-0.013**</w:t>
            </w:r>
          </w:p>
        </w:tc>
      </w:tr>
      <w:tr w:rsidR="00E211AF" w:rsidRPr="000D36DF" w14:paraId="287646D8" w14:textId="77777777" w:rsidTr="00524461">
        <w:trPr>
          <w:trHeight w:val="280"/>
        </w:trPr>
        <w:tc>
          <w:tcPr>
            <w:tcW w:w="4200" w:type="dxa"/>
            <w:tcBorders>
              <w:top w:val="nil"/>
              <w:left w:val="nil"/>
              <w:bottom w:val="nil"/>
              <w:right w:val="nil"/>
            </w:tcBorders>
            <w:shd w:val="clear" w:color="auto" w:fill="auto"/>
            <w:noWrap/>
            <w:vAlign w:val="bottom"/>
            <w:hideMark/>
          </w:tcPr>
          <w:p w14:paraId="621E410F"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3DB2C679"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0E74EAA0"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3659A75C"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(0.005)</w:t>
            </w:r>
          </w:p>
        </w:tc>
      </w:tr>
      <w:tr w:rsidR="00E211AF" w:rsidRPr="000D36DF" w14:paraId="6959CBAE" w14:textId="77777777" w:rsidTr="00524461">
        <w:trPr>
          <w:trHeight w:val="280"/>
        </w:trPr>
        <w:tc>
          <w:tcPr>
            <w:tcW w:w="4200" w:type="dxa"/>
            <w:tcBorders>
              <w:top w:val="nil"/>
              <w:left w:val="nil"/>
              <w:bottom w:val="nil"/>
              <w:right w:val="nil"/>
            </w:tcBorders>
            <w:shd w:val="clear" w:color="auto" w:fill="auto"/>
            <w:noWrap/>
            <w:vAlign w:val="bottom"/>
            <w:hideMark/>
          </w:tcPr>
          <w:p w14:paraId="5C889ED0"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Toscana#c.netmig_rate</w:t>
            </w:r>
          </w:p>
        </w:tc>
        <w:tc>
          <w:tcPr>
            <w:tcW w:w="1351" w:type="dxa"/>
            <w:tcBorders>
              <w:top w:val="nil"/>
              <w:left w:val="nil"/>
              <w:bottom w:val="nil"/>
              <w:right w:val="nil"/>
            </w:tcBorders>
            <w:shd w:val="clear" w:color="auto" w:fill="auto"/>
            <w:noWrap/>
            <w:vAlign w:val="bottom"/>
            <w:hideMark/>
          </w:tcPr>
          <w:p w14:paraId="0041834F"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6C5716D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-0.066</w:t>
            </w:r>
          </w:p>
        </w:tc>
        <w:tc>
          <w:tcPr>
            <w:tcW w:w="1452" w:type="dxa"/>
            <w:tcBorders>
              <w:top w:val="nil"/>
              <w:left w:val="nil"/>
              <w:bottom w:val="nil"/>
              <w:right w:val="nil"/>
            </w:tcBorders>
            <w:shd w:val="clear" w:color="auto" w:fill="auto"/>
            <w:noWrap/>
            <w:vAlign w:val="bottom"/>
            <w:hideMark/>
          </w:tcPr>
          <w:p w14:paraId="6413DED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-0.020***</w:t>
            </w:r>
          </w:p>
        </w:tc>
      </w:tr>
      <w:tr w:rsidR="00E211AF" w:rsidRPr="000D36DF" w14:paraId="4211BFBF" w14:textId="77777777" w:rsidTr="00524461">
        <w:trPr>
          <w:trHeight w:val="280"/>
        </w:trPr>
        <w:tc>
          <w:tcPr>
            <w:tcW w:w="4200" w:type="dxa"/>
            <w:tcBorders>
              <w:top w:val="nil"/>
              <w:left w:val="nil"/>
              <w:bottom w:val="nil"/>
              <w:right w:val="nil"/>
            </w:tcBorders>
            <w:shd w:val="clear" w:color="auto" w:fill="auto"/>
            <w:noWrap/>
            <w:vAlign w:val="bottom"/>
            <w:hideMark/>
          </w:tcPr>
          <w:p w14:paraId="34E7B4AB"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380AD186"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1214CD83"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431CC72C"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(0.005)</w:t>
            </w:r>
          </w:p>
        </w:tc>
      </w:tr>
      <w:tr w:rsidR="00E211AF" w:rsidRPr="000D36DF" w14:paraId="0070E9B4" w14:textId="77777777" w:rsidTr="00524461">
        <w:trPr>
          <w:trHeight w:val="280"/>
        </w:trPr>
        <w:tc>
          <w:tcPr>
            <w:tcW w:w="4200" w:type="dxa"/>
            <w:tcBorders>
              <w:top w:val="nil"/>
              <w:left w:val="nil"/>
              <w:bottom w:val="nil"/>
              <w:right w:val="nil"/>
            </w:tcBorders>
            <w:shd w:val="clear" w:color="auto" w:fill="auto"/>
            <w:noWrap/>
            <w:vAlign w:val="bottom"/>
            <w:hideMark/>
          </w:tcPr>
          <w:p w14:paraId="3DF5D748"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Marche#c.netmig_rate</w:t>
            </w:r>
          </w:p>
        </w:tc>
        <w:tc>
          <w:tcPr>
            <w:tcW w:w="1351" w:type="dxa"/>
            <w:tcBorders>
              <w:top w:val="nil"/>
              <w:left w:val="nil"/>
              <w:bottom w:val="nil"/>
              <w:right w:val="nil"/>
            </w:tcBorders>
            <w:shd w:val="clear" w:color="auto" w:fill="auto"/>
            <w:noWrap/>
            <w:vAlign w:val="bottom"/>
            <w:hideMark/>
          </w:tcPr>
          <w:p w14:paraId="1B50B748"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0293FBA2"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-0.121</w:t>
            </w:r>
          </w:p>
        </w:tc>
        <w:tc>
          <w:tcPr>
            <w:tcW w:w="1452" w:type="dxa"/>
            <w:tcBorders>
              <w:top w:val="nil"/>
              <w:left w:val="nil"/>
              <w:bottom w:val="nil"/>
              <w:right w:val="nil"/>
            </w:tcBorders>
            <w:shd w:val="clear" w:color="auto" w:fill="auto"/>
            <w:noWrap/>
            <w:vAlign w:val="bottom"/>
            <w:hideMark/>
          </w:tcPr>
          <w:p w14:paraId="02292B5B"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0.037**</w:t>
            </w:r>
          </w:p>
        </w:tc>
      </w:tr>
      <w:tr w:rsidR="00E211AF" w:rsidRPr="000D36DF" w14:paraId="120BD217" w14:textId="77777777" w:rsidTr="00524461">
        <w:trPr>
          <w:trHeight w:val="280"/>
        </w:trPr>
        <w:tc>
          <w:tcPr>
            <w:tcW w:w="4200" w:type="dxa"/>
            <w:tcBorders>
              <w:top w:val="nil"/>
              <w:left w:val="nil"/>
              <w:bottom w:val="nil"/>
              <w:right w:val="nil"/>
            </w:tcBorders>
            <w:shd w:val="clear" w:color="auto" w:fill="auto"/>
            <w:noWrap/>
            <w:vAlign w:val="bottom"/>
            <w:hideMark/>
          </w:tcPr>
          <w:p w14:paraId="06C245E1"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65FF6A05"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1293308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33BA6D9C"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(0.013)</w:t>
            </w:r>
          </w:p>
        </w:tc>
      </w:tr>
      <w:tr w:rsidR="00E211AF" w:rsidRPr="000D36DF" w14:paraId="6818E1EE" w14:textId="77777777" w:rsidTr="00524461">
        <w:trPr>
          <w:trHeight w:val="280"/>
        </w:trPr>
        <w:tc>
          <w:tcPr>
            <w:tcW w:w="4200" w:type="dxa"/>
            <w:tcBorders>
              <w:top w:val="nil"/>
              <w:left w:val="nil"/>
              <w:bottom w:val="nil"/>
              <w:right w:val="nil"/>
            </w:tcBorders>
            <w:shd w:val="clear" w:color="auto" w:fill="auto"/>
            <w:noWrap/>
            <w:vAlign w:val="bottom"/>
            <w:hideMark/>
          </w:tcPr>
          <w:p w14:paraId="6A877CB7"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Lazio#c.netmig_rate</w:t>
            </w:r>
          </w:p>
        </w:tc>
        <w:tc>
          <w:tcPr>
            <w:tcW w:w="1351" w:type="dxa"/>
            <w:tcBorders>
              <w:top w:val="nil"/>
              <w:left w:val="nil"/>
              <w:bottom w:val="nil"/>
              <w:right w:val="nil"/>
            </w:tcBorders>
            <w:shd w:val="clear" w:color="auto" w:fill="auto"/>
            <w:noWrap/>
            <w:vAlign w:val="bottom"/>
            <w:hideMark/>
          </w:tcPr>
          <w:p w14:paraId="6AC879CE"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27F5C14F"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0.051</w:t>
            </w:r>
          </w:p>
        </w:tc>
        <w:tc>
          <w:tcPr>
            <w:tcW w:w="1452" w:type="dxa"/>
            <w:tcBorders>
              <w:top w:val="nil"/>
              <w:left w:val="nil"/>
              <w:bottom w:val="nil"/>
              <w:right w:val="nil"/>
            </w:tcBorders>
            <w:shd w:val="clear" w:color="auto" w:fill="auto"/>
            <w:noWrap/>
            <w:vAlign w:val="bottom"/>
            <w:hideMark/>
          </w:tcPr>
          <w:p w14:paraId="1A05B5B7"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0.050***</w:t>
            </w:r>
          </w:p>
        </w:tc>
      </w:tr>
      <w:tr w:rsidR="00E211AF" w:rsidRPr="000D36DF" w14:paraId="4A4F899B" w14:textId="77777777" w:rsidTr="00524461">
        <w:trPr>
          <w:trHeight w:val="280"/>
        </w:trPr>
        <w:tc>
          <w:tcPr>
            <w:tcW w:w="4200" w:type="dxa"/>
            <w:tcBorders>
              <w:top w:val="nil"/>
              <w:left w:val="nil"/>
              <w:bottom w:val="nil"/>
              <w:right w:val="nil"/>
            </w:tcBorders>
            <w:shd w:val="clear" w:color="auto" w:fill="auto"/>
            <w:noWrap/>
            <w:vAlign w:val="bottom"/>
            <w:hideMark/>
          </w:tcPr>
          <w:p w14:paraId="1DA046FF"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28D06ED1"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5F381B0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06717985"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(0.009)</w:t>
            </w:r>
          </w:p>
        </w:tc>
      </w:tr>
      <w:tr w:rsidR="00E211AF" w:rsidRPr="000D36DF" w14:paraId="5E73A368" w14:textId="77777777" w:rsidTr="00524461">
        <w:trPr>
          <w:trHeight w:val="280"/>
        </w:trPr>
        <w:tc>
          <w:tcPr>
            <w:tcW w:w="4200" w:type="dxa"/>
            <w:tcBorders>
              <w:top w:val="nil"/>
              <w:left w:val="nil"/>
              <w:bottom w:val="nil"/>
              <w:right w:val="nil"/>
            </w:tcBorders>
            <w:shd w:val="clear" w:color="auto" w:fill="auto"/>
            <w:noWrap/>
            <w:vAlign w:val="bottom"/>
            <w:hideMark/>
          </w:tcPr>
          <w:p w14:paraId="685ED22D"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unrate</w:t>
            </w:r>
          </w:p>
        </w:tc>
        <w:tc>
          <w:tcPr>
            <w:tcW w:w="1351" w:type="dxa"/>
            <w:tcBorders>
              <w:top w:val="nil"/>
              <w:left w:val="nil"/>
              <w:bottom w:val="nil"/>
              <w:right w:val="nil"/>
            </w:tcBorders>
            <w:shd w:val="clear" w:color="auto" w:fill="auto"/>
            <w:noWrap/>
            <w:vAlign w:val="bottom"/>
            <w:hideMark/>
          </w:tcPr>
          <w:p w14:paraId="18B20482"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0063A1E2"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0946067D"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-228.496**</w:t>
            </w:r>
          </w:p>
        </w:tc>
      </w:tr>
      <w:tr w:rsidR="00E211AF" w:rsidRPr="000D36DF" w14:paraId="3C3671DE" w14:textId="77777777" w:rsidTr="00524461">
        <w:trPr>
          <w:trHeight w:val="280"/>
        </w:trPr>
        <w:tc>
          <w:tcPr>
            <w:tcW w:w="4200" w:type="dxa"/>
            <w:tcBorders>
              <w:top w:val="nil"/>
              <w:left w:val="nil"/>
              <w:bottom w:val="nil"/>
              <w:right w:val="nil"/>
            </w:tcBorders>
            <w:shd w:val="clear" w:color="auto" w:fill="auto"/>
            <w:noWrap/>
            <w:vAlign w:val="bottom"/>
            <w:hideMark/>
          </w:tcPr>
          <w:p w14:paraId="1550A544"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51E0D9C0"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3A0E6F7F"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56D81F52"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(80.187)</w:t>
            </w:r>
          </w:p>
        </w:tc>
      </w:tr>
      <w:tr w:rsidR="00E211AF" w:rsidRPr="000D36DF" w14:paraId="1D706806" w14:textId="77777777" w:rsidTr="00524461">
        <w:trPr>
          <w:trHeight w:val="280"/>
        </w:trPr>
        <w:tc>
          <w:tcPr>
            <w:tcW w:w="4200" w:type="dxa"/>
            <w:tcBorders>
              <w:top w:val="nil"/>
              <w:left w:val="nil"/>
              <w:bottom w:val="nil"/>
              <w:right w:val="nil"/>
            </w:tcBorders>
            <w:shd w:val="clear" w:color="auto" w:fill="auto"/>
            <w:noWrap/>
            <w:vAlign w:val="bottom"/>
            <w:hideMark/>
          </w:tcPr>
          <w:p w14:paraId="0FBB2CC4"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popdens</w:t>
            </w:r>
          </w:p>
        </w:tc>
        <w:tc>
          <w:tcPr>
            <w:tcW w:w="1351" w:type="dxa"/>
            <w:tcBorders>
              <w:top w:val="nil"/>
              <w:left w:val="nil"/>
              <w:bottom w:val="nil"/>
              <w:right w:val="nil"/>
            </w:tcBorders>
            <w:shd w:val="clear" w:color="auto" w:fill="auto"/>
            <w:noWrap/>
            <w:vAlign w:val="bottom"/>
            <w:hideMark/>
          </w:tcPr>
          <w:p w14:paraId="1AB109E3"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14D5032A"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4AE7107D"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36.380</w:t>
            </w:r>
          </w:p>
        </w:tc>
      </w:tr>
      <w:tr w:rsidR="00E211AF" w:rsidRPr="000D36DF" w14:paraId="0D993094" w14:textId="77777777" w:rsidTr="00524461">
        <w:trPr>
          <w:trHeight w:val="280"/>
        </w:trPr>
        <w:tc>
          <w:tcPr>
            <w:tcW w:w="4200" w:type="dxa"/>
            <w:tcBorders>
              <w:top w:val="nil"/>
              <w:left w:val="nil"/>
              <w:bottom w:val="nil"/>
              <w:right w:val="nil"/>
            </w:tcBorders>
            <w:shd w:val="clear" w:color="auto" w:fill="auto"/>
            <w:noWrap/>
            <w:vAlign w:val="bottom"/>
            <w:hideMark/>
          </w:tcPr>
          <w:p w14:paraId="7C537522"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28C19A15"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2640CD81"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1F189858"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(28.699)</w:t>
            </w:r>
          </w:p>
        </w:tc>
      </w:tr>
      <w:tr w:rsidR="00E211AF" w:rsidRPr="000D36DF" w14:paraId="3E63C929" w14:textId="77777777" w:rsidTr="00524461">
        <w:trPr>
          <w:trHeight w:val="280"/>
        </w:trPr>
        <w:tc>
          <w:tcPr>
            <w:tcW w:w="4200" w:type="dxa"/>
            <w:tcBorders>
              <w:top w:val="nil"/>
              <w:left w:val="nil"/>
              <w:bottom w:val="nil"/>
              <w:right w:val="nil"/>
            </w:tcBorders>
            <w:shd w:val="clear" w:color="auto" w:fill="auto"/>
            <w:noWrap/>
            <w:vAlign w:val="bottom"/>
            <w:hideMark/>
          </w:tcPr>
          <w:p w14:paraId="48E9519E"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ltu_rate</w:t>
            </w:r>
          </w:p>
        </w:tc>
        <w:tc>
          <w:tcPr>
            <w:tcW w:w="1351" w:type="dxa"/>
            <w:tcBorders>
              <w:top w:val="nil"/>
              <w:left w:val="nil"/>
              <w:bottom w:val="nil"/>
              <w:right w:val="nil"/>
            </w:tcBorders>
            <w:shd w:val="clear" w:color="auto" w:fill="auto"/>
            <w:noWrap/>
            <w:vAlign w:val="bottom"/>
            <w:hideMark/>
          </w:tcPr>
          <w:p w14:paraId="39ECE88D"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50A22E02"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78CBD2D2"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15.406</w:t>
            </w:r>
          </w:p>
        </w:tc>
      </w:tr>
      <w:tr w:rsidR="00E211AF" w:rsidRPr="000D36DF" w14:paraId="3DBCCE54" w14:textId="77777777" w:rsidTr="00524461">
        <w:trPr>
          <w:trHeight w:val="280"/>
        </w:trPr>
        <w:tc>
          <w:tcPr>
            <w:tcW w:w="4200" w:type="dxa"/>
            <w:tcBorders>
              <w:top w:val="nil"/>
              <w:left w:val="nil"/>
              <w:bottom w:val="nil"/>
              <w:right w:val="nil"/>
            </w:tcBorders>
            <w:shd w:val="clear" w:color="auto" w:fill="auto"/>
            <w:noWrap/>
            <w:vAlign w:val="bottom"/>
            <w:hideMark/>
          </w:tcPr>
          <w:p w14:paraId="152901F0"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613C1812"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59745A1B"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5FB1A967"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(19.613)</w:t>
            </w:r>
          </w:p>
        </w:tc>
      </w:tr>
      <w:tr w:rsidR="00E211AF" w:rsidRPr="000D36DF" w14:paraId="52D59C10" w14:textId="77777777" w:rsidTr="00524461">
        <w:trPr>
          <w:trHeight w:val="280"/>
        </w:trPr>
        <w:tc>
          <w:tcPr>
            <w:tcW w:w="4200" w:type="dxa"/>
            <w:tcBorders>
              <w:top w:val="nil"/>
              <w:left w:val="nil"/>
              <w:bottom w:val="nil"/>
              <w:right w:val="nil"/>
            </w:tcBorders>
            <w:shd w:val="clear" w:color="auto" w:fill="auto"/>
            <w:noWrap/>
            <w:vAlign w:val="bottom"/>
            <w:hideMark/>
          </w:tcPr>
          <w:p w14:paraId="0F44344D"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fert</w:t>
            </w:r>
          </w:p>
        </w:tc>
        <w:tc>
          <w:tcPr>
            <w:tcW w:w="1351" w:type="dxa"/>
            <w:tcBorders>
              <w:top w:val="nil"/>
              <w:left w:val="nil"/>
              <w:bottom w:val="nil"/>
              <w:right w:val="nil"/>
            </w:tcBorders>
            <w:shd w:val="clear" w:color="auto" w:fill="auto"/>
            <w:noWrap/>
            <w:vAlign w:val="bottom"/>
            <w:hideMark/>
          </w:tcPr>
          <w:p w14:paraId="469721E6"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2EFC49AD"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1FA33283"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2,748.438*</w:t>
            </w:r>
          </w:p>
        </w:tc>
      </w:tr>
      <w:tr w:rsidR="00E211AF" w:rsidRPr="000D36DF" w14:paraId="77783888" w14:textId="77777777" w:rsidTr="00524461">
        <w:trPr>
          <w:trHeight w:val="280"/>
        </w:trPr>
        <w:tc>
          <w:tcPr>
            <w:tcW w:w="4200" w:type="dxa"/>
            <w:tcBorders>
              <w:top w:val="nil"/>
              <w:left w:val="nil"/>
              <w:bottom w:val="nil"/>
              <w:right w:val="nil"/>
            </w:tcBorders>
            <w:shd w:val="clear" w:color="auto" w:fill="auto"/>
            <w:noWrap/>
            <w:vAlign w:val="bottom"/>
            <w:hideMark/>
          </w:tcPr>
          <w:p w14:paraId="67D0EECC"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5565F1E8"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42FE3D67"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2E867661"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(1,397.282)</w:t>
            </w:r>
          </w:p>
        </w:tc>
      </w:tr>
      <w:tr w:rsidR="00E211AF" w:rsidRPr="000D36DF" w14:paraId="5989192F" w14:textId="77777777" w:rsidTr="00524461">
        <w:trPr>
          <w:trHeight w:val="280"/>
        </w:trPr>
        <w:tc>
          <w:tcPr>
            <w:tcW w:w="4200" w:type="dxa"/>
            <w:tcBorders>
              <w:top w:val="nil"/>
              <w:left w:val="nil"/>
              <w:bottom w:val="nil"/>
              <w:right w:val="nil"/>
            </w:tcBorders>
            <w:shd w:val="clear" w:color="auto" w:fill="auto"/>
            <w:noWrap/>
            <w:vAlign w:val="bottom"/>
            <w:hideMark/>
          </w:tcPr>
          <w:p w14:paraId="5A1DBCAE"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infantmr</w:t>
            </w:r>
          </w:p>
        </w:tc>
        <w:tc>
          <w:tcPr>
            <w:tcW w:w="1351" w:type="dxa"/>
            <w:tcBorders>
              <w:top w:val="nil"/>
              <w:left w:val="nil"/>
              <w:bottom w:val="nil"/>
              <w:right w:val="nil"/>
            </w:tcBorders>
            <w:shd w:val="clear" w:color="auto" w:fill="auto"/>
            <w:noWrap/>
            <w:vAlign w:val="bottom"/>
            <w:hideMark/>
          </w:tcPr>
          <w:p w14:paraId="41DC420B"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39DE69E0"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249093F6"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532.276**</w:t>
            </w:r>
          </w:p>
        </w:tc>
      </w:tr>
      <w:tr w:rsidR="00E211AF" w:rsidRPr="000D36DF" w14:paraId="5A4B291F" w14:textId="77777777" w:rsidTr="00524461">
        <w:trPr>
          <w:trHeight w:val="280"/>
        </w:trPr>
        <w:tc>
          <w:tcPr>
            <w:tcW w:w="4200" w:type="dxa"/>
            <w:tcBorders>
              <w:top w:val="nil"/>
              <w:left w:val="nil"/>
              <w:bottom w:val="nil"/>
              <w:right w:val="nil"/>
            </w:tcBorders>
            <w:shd w:val="clear" w:color="auto" w:fill="auto"/>
            <w:noWrap/>
            <w:vAlign w:val="bottom"/>
            <w:hideMark/>
          </w:tcPr>
          <w:p w14:paraId="7B981196"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13E7AED1"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3A2A3D33"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017AACFD"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(169.598)</w:t>
            </w:r>
          </w:p>
        </w:tc>
      </w:tr>
      <w:tr w:rsidR="00E211AF" w:rsidRPr="000D36DF" w14:paraId="5C501206" w14:textId="77777777" w:rsidTr="00524461">
        <w:trPr>
          <w:trHeight w:val="280"/>
        </w:trPr>
        <w:tc>
          <w:tcPr>
            <w:tcW w:w="4200" w:type="dxa"/>
            <w:tcBorders>
              <w:top w:val="nil"/>
              <w:left w:val="nil"/>
              <w:bottom w:val="nil"/>
              <w:right w:val="nil"/>
            </w:tcBorders>
            <w:shd w:val="clear" w:color="auto" w:fill="auto"/>
            <w:noWrap/>
            <w:vAlign w:val="bottom"/>
            <w:hideMark/>
          </w:tcPr>
          <w:p w14:paraId="1075617C"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lifeexp</w:t>
            </w:r>
          </w:p>
        </w:tc>
        <w:tc>
          <w:tcPr>
            <w:tcW w:w="1351" w:type="dxa"/>
            <w:tcBorders>
              <w:top w:val="nil"/>
              <w:left w:val="nil"/>
              <w:bottom w:val="nil"/>
              <w:right w:val="nil"/>
            </w:tcBorders>
            <w:shd w:val="clear" w:color="auto" w:fill="auto"/>
            <w:noWrap/>
            <w:vAlign w:val="bottom"/>
            <w:hideMark/>
          </w:tcPr>
          <w:p w14:paraId="02297B1D"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0C64A955"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0CC0D24A"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157.384</w:t>
            </w:r>
          </w:p>
        </w:tc>
      </w:tr>
      <w:tr w:rsidR="00E211AF" w:rsidRPr="000D36DF" w14:paraId="37F505BD" w14:textId="77777777" w:rsidTr="00524461">
        <w:trPr>
          <w:trHeight w:val="280"/>
        </w:trPr>
        <w:tc>
          <w:tcPr>
            <w:tcW w:w="4200" w:type="dxa"/>
            <w:tcBorders>
              <w:top w:val="nil"/>
              <w:left w:val="nil"/>
              <w:bottom w:val="nil"/>
              <w:right w:val="nil"/>
            </w:tcBorders>
            <w:shd w:val="clear" w:color="auto" w:fill="auto"/>
            <w:noWrap/>
            <w:vAlign w:val="bottom"/>
            <w:hideMark/>
          </w:tcPr>
          <w:p w14:paraId="06D0671F"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0410D546"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14D29D13"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6EE08FA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(166.201)</w:t>
            </w:r>
          </w:p>
        </w:tc>
      </w:tr>
      <w:tr w:rsidR="00E211AF" w:rsidRPr="000D36DF" w14:paraId="639E11B7" w14:textId="77777777" w:rsidTr="00524461">
        <w:trPr>
          <w:trHeight w:val="280"/>
        </w:trPr>
        <w:tc>
          <w:tcPr>
            <w:tcW w:w="4200" w:type="dxa"/>
            <w:tcBorders>
              <w:top w:val="nil"/>
              <w:left w:val="nil"/>
              <w:bottom w:val="nil"/>
              <w:right w:val="nil"/>
            </w:tcBorders>
            <w:shd w:val="clear" w:color="auto" w:fill="auto"/>
            <w:noWrap/>
            <w:vAlign w:val="bottom"/>
            <w:hideMark/>
          </w:tcPr>
          <w:p w14:paraId="4DEA037E"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year</w:t>
            </w:r>
          </w:p>
        </w:tc>
        <w:tc>
          <w:tcPr>
            <w:tcW w:w="1351" w:type="dxa"/>
            <w:tcBorders>
              <w:top w:val="nil"/>
              <w:left w:val="nil"/>
              <w:bottom w:val="nil"/>
              <w:right w:val="nil"/>
            </w:tcBorders>
            <w:shd w:val="clear" w:color="auto" w:fill="auto"/>
            <w:noWrap/>
            <w:vAlign w:val="bottom"/>
            <w:hideMark/>
          </w:tcPr>
          <w:p w14:paraId="2594DED4"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5B352DA0"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22243F53"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289.634***</w:t>
            </w:r>
          </w:p>
        </w:tc>
      </w:tr>
      <w:tr w:rsidR="00E211AF" w:rsidRPr="000D36DF" w14:paraId="61130235" w14:textId="77777777" w:rsidTr="00524461">
        <w:trPr>
          <w:trHeight w:val="280"/>
        </w:trPr>
        <w:tc>
          <w:tcPr>
            <w:tcW w:w="4200" w:type="dxa"/>
            <w:tcBorders>
              <w:top w:val="nil"/>
              <w:left w:val="nil"/>
              <w:bottom w:val="nil"/>
              <w:right w:val="nil"/>
            </w:tcBorders>
            <w:shd w:val="clear" w:color="auto" w:fill="auto"/>
            <w:noWrap/>
            <w:vAlign w:val="bottom"/>
            <w:hideMark/>
          </w:tcPr>
          <w:p w14:paraId="421A8D05"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0FA0D61B"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284282C2"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1A9F01C1"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(28.836)</w:t>
            </w:r>
          </w:p>
        </w:tc>
      </w:tr>
      <w:tr w:rsidR="00E211AF" w:rsidRPr="000D36DF" w14:paraId="69064AC7" w14:textId="77777777" w:rsidTr="00524461">
        <w:trPr>
          <w:trHeight w:val="280"/>
        </w:trPr>
        <w:tc>
          <w:tcPr>
            <w:tcW w:w="4200" w:type="dxa"/>
            <w:tcBorders>
              <w:top w:val="nil"/>
              <w:left w:val="nil"/>
              <w:bottom w:val="nil"/>
              <w:right w:val="nil"/>
            </w:tcBorders>
            <w:shd w:val="clear" w:color="auto" w:fill="auto"/>
            <w:noWrap/>
            <w:vAlign w:val="bottom"/>
            <w:hideMark/>
          </w:tcPr>
          <w:p w14:paraId="314894D4"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lastRenderedPageBreak/>
              <w:t>Constant</w:t>
            </w:r>
          </w:p>
        </w:tc>
        <w:tc>
          <w:tcPr>
            <w:tcW w:w="1351" w:type="dxa"/>
            <w:tcBorders>
              <w:top w:val="nil"/>
              <w:left w:val="nil"/>
              <w:bottom w:val="nil"/>
              <w:right w:val="nil"/>
            </w:tcBorders>
            <w:shd w:val="clear" w:color="auto" w:fill="auto"/>
            <w:noWrap/>
            <w:vAlign w:val="bottom"/>
            <w:hideMark/>
          </w:tcPr>
          <w:p w14:paraId="4882603B"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26,711.782***</w:t>
            </w:r>
          </w:p>
        </w:tc>
        <w:tc>
          <w:tcPr>
            <w:tcW w:w="1160" w:type="dxa"/>
            <w:tcBorders>
              <w:top w:val="nil"/>
              <w:left w:val="nil"/>
              <w:bottom w:val="nil"/>
              <w:right w:val="nil"/>
            </w:tcBorders>
            <w:shd w:val="clear" w:color="auto" w:fill="auto"/>
            <w:noWrap/>
            <w:vAlign w:val="bottom"/>
            <w:hideMark/>
          </w:tcPr>
          <w:p w14:paraId="4CB2A1C2"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27,169.158</w:t>
            </w:r>
          </w:p>
        </w:tc>
        <w:tc>
          <w:tcPr>
            <w:tcW w:w="1452" w:type="dxa"/>
            <w:tcBorders>
              <w:top w:val="nil"/>
              <w:left w:val="nil"/>
              <w:bottom w:val="nil"/>
              <w:right w:val="nil"/>
            </w:tcBorders>
            <w:shd w:val="clear" w:color="auto" w:fill="auto"/>
            <w:noWrap/>
            <w:vAlign w:val="bottom"/>
            <w:hideMark/>
          </w:tcPr>
          <w:p w14:paraId="7BF45FA6"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-581,804.263***</w:t>
            </w:r>
          </w:p>
        </w:tc>
      </w:tr>
      <w:tr w:rsidR="00E211AF" w:rsidRPr="000D36DF" w14:paraId="2084249A" w14:textId="77777777" w:rsidTr="00524461">
        <w:trPr>
          <w:trHeight w:val="280"/>
        </w:trPr>
        <w:tc>
          <w:tcPr>
            <w:tcW w:w="4200" w:type="dxa"/>
            <w:tcBorders>
              <w:top w:val="nil"/>
              <w:left w:val="nil"/>
              <w:bottom w:val="nil"/>
              <w:right w:val="nil"/>
            </w:tcBorders>
            <w:shd w:val="clear" w:color="auto" w:fill="auto"/>
            <w:noWrap/>
            <w:vAlign w:val="bottom"/>
            <w:hideMark/>
          </w:tcPr>
          <w:p w14:paraId="316FAEA7"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248C07E6"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(207.773)</w:t>
            </w:r>
          </w:p>
        </w:tc>
        <w:tc>
          <w:tcPr>
            <w:tcW w:w="1160" w:type="dxa"/>
            <w:tcBorders>
              <w:top w:val="nil"/>
              <w:left w:val="nil"/>
              <w:bottom w:val="nil"/>
              <w:right w:val="nil"/>
            </w:tcBorders>
            <w:shd w:val="clear" w:color="auto" w:fill="auto"/>
            <w:noWrap/>
            <w:vAlign w:val="bottom"/>
            <w:hideMark/>
          </w:tcPr>
          <w:p w14:paraId="2B17C41E"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w:t>
            </w:r>
          </w:p>
        </w:tc>
        <w:tc>
          <w:tcPr>
            <w:tcW w:w="1452" w:type="dxa"/>
            <w:tcBorders>
              <w:top w:val="nil"/>
              <w:left w:val="nil"/>
              <w:bottom w:val="nil"/>
              <w:right w:val="nil"/>
            </w:tcBorders>
            <w:shd w:val="clear" w:color="auto" w:fill="auto"/>
            <w:noWrap/>
            <w:vAlign w:val="bottom"/>
            <w:hideMark/>
          </w:tcPr>
          <w:p w14:paraId="49CB8A44"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(59,370.759)</w:t>
            </w:r>
          </w:p>
        </w:tc>
      </w:tr>
      <w:tr w:rsidR="00E211AF" w:rsidRPr="000D36DF" w14:paraId="1F91919C" w14:textId="77777777" w:rsidTr="00524461">
        <w:trPr>
          <w:trHeight w:val="280"/>
        </w:trPr>
        <w:tc>
          <w:tcPr>
            <w:tcW w:w="4200" w:type="dxa"/>
            <w:tcBorders>
              <w:top w:val="nil"/>
              <w:left w:val="nil"/>
              <w:bottom w:val="nil"/>
              <w:right w:val="nil"/>
            </w:tcBorders>
            <w:shd w:val="clear" w:color="auto" w:fill="auto"/>
            <w:noWrap/>
            <w:vAlign w:val="bottom"/>
            <w:hideMark/>
          </w:tcPr>
          <w:p w14:paraId="087CEFE1"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3C0B4C9A"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18867CD3" w14:textId="77777777" w:rsidR="00E211AF" w:rsidRPr="000D36DF" w:rsidRDefault="00E211AF" w:rsidP="00524461">
            <w:pPr>
              <w:jc w:val="cente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7A6F6C10" w14:textId="77777777" w:rsidR="00E211AF" w:rsidRPr="000D36DF" w:rsidRDefault="00E211AF" w:rsidP="00524461">
            <w:pPr>
              <w:jc w:val="center"/>
              <w:rPr>
                <w:rFonts w:ascii="Times New Roman" w:eastAsia="Times New Roman" w:hAnsi="Times New Roman" w:cs="Times New Roman"/>
                <w:sz w:val="20"/>
                <w:szCs w:val="20"/>
                <w:lang w:eastAsia="it-IT"/>
              </w:rPr>
            </w:pPr>
          </w:p>
        </w:tc>
      </w:tr>
      <w:tr w:rsidR="00E211AF" w:rsidRPr="000D36DF" w14:paraId="3D66A633" w14:textId="77777777" w:rsidTr="00524461">
        <w:trPr>
          <w:trHeight w:val="280"/>
        </w:trPr>
        <w:tc>
          <w:tcPr>
            <w:tcW w:w="4200" w:type="dxa"/>
            <w:tcBorders>
              <w:top w:val="nil"/>
              <w:left w:val="nil"/>
              <w:bottom w:val="nil"/>
              <w:right w:val="nil"/>
            </w:tcBorders>
            <w:shd w:val="clear" w:color="auto" w:fill="auto"/>
            <w:noWrap/>
            <w:vAlign w:val="bottom"/>
            <w:hideMark/>
          </w:tcPr>
          <w:p w14:paraId="2E8BC173"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Observations</w:t>
            </w:r>
          </w:p>
        </w:tc>
        <w:tc>
          <w:tcPr>
            <w:tcW w:w="1351" w:type="dxa"/>
            <w:tcBorders>
              <w:top w:val="nil"/>
              <w:left w:val="nil"/>
              <w:bottom w:val="nil"/>
              <w:right w:val="nil"/>
            </w:tcBorders>
            <w:shd w:val="clear" w:color="auto" w:fill="auto"/>
            <w:noWrap/>
            <w:vAlign w:val="bottom"/>
            <w:hideMark/>
          </w:tcPr>
          <w:p w14:paraId="42891FF6"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213</w:t>
            </w:r>
          </w:p>
        </w:tc>
        <w:tc>
          <w:tcPr>
            <w:tcW w:w="1160" w:type="dxa"/>
            <w:tcBorders>
              <w:top w:val="nil"/>
              <w:left w:val="nil"/>
              <w:bottom w:val="nil"/>
              <w:right w:val="nil"/>
            </w:tcBorders>
            <w:shd w:val="clear" w:color="auto" w:fill="auto"/>
            <w:noWrap/>
            <w:vAlign w:val="bottom"/>
            <w:hideMark/>
          </w:tcPr>
          <w:p w14:paraId="219BE946"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213</w:t>
            </w:r>
          </w:p>
        </w:tc>
        <w:tc>
          <w:tcPr>
            <w:tcW w:w="1452" w:type="dxa"/>
            <w:tcBorders>
              <w:top w:val="nil"/>
              <w:left w:val="nil"/>
              <w:bottom w:val="nil"/>
              <w:right w:val="nil"/>
            </w:tcBorders>
            <w:shd w:val="clear" w:color="auto" w:fill="auto"/>
            <w:noWrap/>
            <w:vAlign w:val="bottom"/>
            <w:hideMark/>
          </w:tcPr>
          <w:p w14:paraId="7550F227"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205</w:t>
            </w:r>
          </w:p>
        </w:tc>
      </w:tr>
      <w:tr w:rsidR="00E211AF" w:rsidRPr="000D36DF" w14:paraId="183C3D81" w14:textId="77777777" w:rsidTr="00524461">
        <w:trPr>
          <w:trHeight w:val="280"/>
        </w:trPr>
        <w:tc>
          <w:tcPr>
            <w:tcW w:w="4200" w:type="dxa"/>
            <w:tcBorders>
              <w:top w:val="nil"/>
              <w:left w:val="nil"/>
              <w:bottom w:val="nil"/>
              <w:right w:val="nil"/>
            </w:tcBorders>
            <w:shd w:val="clear" w:color="auto" w:fill="auto"/>
            <w:noWrap/>
            <w:vAlign w:val="bottom"/>
            <w:hideMark/>
          </w:tcPr>
          <w:p w14:paraId="2602B8E3"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R-squared</w:t>
            </w:r>
          </w:p>
        </w:tc>
        <w:tc>
          <w:tcPr>
            <w:tcW w:w="1351" w:type="dxa"/>
            <w:tcBorders>
              <w:top w:val="nil"/>
              <w:left w:val="nil"/>
              <w:bottom w:val="nil"/>
              <w:right w:val="nil"/>
            </w:tcBorders>
            <w:shd w:val="clear" w:color="auto" w:fill="auto"/>
            <w:noWrap/>
            <w:vAlign w:val="bottom"/>
            <w:hideMark/>
          </w:tcPr>
          <w:p w14:paraId="517BA572"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0.025</w:t>
            </w:r>
          </w:p>
        </w:tc>
        <w:tc>
          <w:tcPr>
            <w:tcW w:w="1160" w:type="dxa"/>
            <w:tcBorders>
              <w:top w:val="nil"/>
              <w:left w:val="nil"/>
              <w:bottom w:val="nil"/>
              <w:right w:val="nil"/>
            </w:tcBorders>
            <w:shd w:val="clear" w:color="auto" w:fill="auto"/>
            <w:noWrap/>
            <w:vAlign w:val="bottom"/>
            <w:hideMark/>
          </w:tcPr>
          <w:p w14:paraId="0F86DD1C"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0.138</w:t>
            </w:r>
          </w:p>
        </w:tc>
        <w:tc>
          <w:tcPr>
            <w:tcW w:w="1452" w:type="dxa"/>
            <w:tcBorders>
              <w:top w:val="nil"/>
              <w:left w:val="nil"/>
              <w:bottom w:val="nil"/>
              <w:right w:val="nil"/>
            </w:tcBorders>
            <w:shd w:val="clear" w:color="auto" w:fill="auto"/>
            <w:noWrap/>
            <w:vAlign w:val="bottom"/>
            <w:hideMark/>
          </w:tcPr>
          <w:p w14:paraId="43DD34B8"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0.801</w:t>
            </w:r>
          </w:p>
        </w:tc>
      </w:tr>
      <w:tr w:rsidR="00E211AF" w:rsidRPr="000D36DF" w14:paraId="782242F7" w14:textId="77777777" w:rsidTr="00524461">
        <w:trPr>
          <w:trHeight w:val="280"/>
        </w:trPr>
        <w:tc>
          <w:tcPr>
            <w:tcW w:w="4200" w:type="dxa"/>
            <w:tcBorders>
              <w:top w:val="nil"/>
              <w:left w:val="nil"/>
              <w:bottom w:val="single" w:sz="4" w:space="0" w:color="000000"/>
              <w:right w:val="nil"/>
            </w:tcBorders>
            <w:shd w:val="clear" w:color="auto" w:fill="auto"/>
            <w:noWrap/>
            <w:vAlign w:val="bottom"/>
            <w:hideMark/>
          </w:tcPr>
          <w:p w14:paraId="5A103C5A"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Number of region_num</w:t>
            </w:r>
          </w:p>
        </w:tc>
        <w:tc>
          <w:tcPr>
            <w:tcW w:w="1351" w:type="dxa"/>
            <w:tcBorders>
              <w:top w:val="nil"/>
              <w:left w:val="nil"/>
              <w:bottom w:val="single" w:sz="4" w:space="0" w:color="000000"/>
              <w:right w:val="nil"/>
            </w:tcBorders>
            <w:shd w:val="clear" w:color="auto" w:fill="auto"/>
            <w:noWrap/>
            <w:vAlign w:val="bottom"/>
            <w:hideMark/>
          </w:tcPr>
          <w:p w14:paraId="3BE83544"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10</w:t>
            </w:r>
          </w:p>
        </w:tc>
        <w:tc>
          <w:tcPr>
            <w:tcW w:w="1160" w:type="dxa"/>
            <w:tcBorders>
              <w:top w:val="nil"/>
              <w:left w:val="nil"/>
              <w:bottom w:val="single" w:sz="4" w:space="0" w:color="000000"/>
              <w:right w:val="nil"/>
            </w:tcBorders>
            <w:shd w:val="clear" w:color="auto" w:fill="auto"/>
            <w:noWrap/>
            <w:vAlign w:val="bottom"/>
            <w:hideMark/>
          </w:tcPr>
          <w:p w14:paraId="5650531C"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10</w:t>
            </w:r>
          </w:p>
        </w:tc>
        <w:tc>
          <w:tcPr>
            <w:tcW w:w="1452" w:type="dxa"/>
            <w:tcBorders>
              <w:top w:val="nil"/>
              <w:left w:val="nil"/>
              <w:bottom w:val="single" w:sz="4" w:space="0" w:color="000000"/>
              <w:right w:val="nil"/>
            </w:tcBorders>
            <w:shd w:val="clear" w:color="auto" w:fill="auto"/>
            <w:noWrap/>
            <w:vAlign w:val="bottom"/>
            <w:hideMark/>
          </w:tcPr>
          <w:p w14:paraId="6291381B" w14:textId="77777777" w:rsidR="00E211AF" w:rsidRPr="000D36DF" w:rsidRDefault="00E211AF" w:rsidP="00524461">
            <w:pPr>
              <w:jc w:val="cente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10</w:t>
            </w:r>
          </w:p>
        </w:tc>
      </w:tr>
      <w:tr w:rsidR="00E211AF" w:rsidRPr="002B64BF" w14:paraId="5ED1CE51" w14:textId="77777777" w:rsidTr="00524461">
        <w:trPr>
          <w:trHeight w:val="280"/>
        </w:trPr>
        <w:tc>
          <w:tcPr>
            <w:tcW w:w="4200" w:type="dxa"/>
            <w:tcBorders>
              <w:top w:val="nil"/>
              <w:left w:val="nil"/>
              <w:bottom w:val="nil"/>
              <w:right w:val="nil"/>
            </w:tcBorders>
            <w:shd w:val="clear" w:color="auto" w:fill="auto"/>
            <w:noWrap/>
            <w:vAlign w:val="bottom"/>
            <w:hideMark/>
          </w:tcPr>
          <w:p w14:paraId="556FF1CB" w14:textId="77777777" w:rsidR="00E211AF" w:rsidRPr="000D36DF" w:rsidRDefault="00E211AF" w:rsidP="00524461">
            <w:pPr>
              <w:rPr>
                <w:rFonts w:ascii="Times New Roman" w:eastAsia="Times New Roman" w:hAnsi="Times New Roman" w:cs="Times New Roman"/>
                <w:sz w:val="20"/>
                <w:szCs w:val="20"/>
                <w:lang w:val="en-US" w:eastAsia="it-IT"/>
              </w:rPr>
            </w:pPr>
            <w:r w:rsidRPr="000D36DF">
              <w:rPr>
                <w:rFonts w:ascii="Times New Roman" w:eastAsia="Times New Roman" w:hAnsi="Times New Roman" w:cs="Times New Roman"/>
                <w:sz w:val="20"/>
                <w:szCs w:val="20"/>
                <w:lang w:val="en-US" w:eastAsia="it-IT"/>
              </w:rPr>
              <w:t>Robust standard errors in parentheses</w:t>
            </w:r>
          </w:p>
        </w:tc>
        <w:tc>
          <w:tcPr>
            <w:tcW w:w="1351" w:type="dxa"/>
            <w:tcBorders>
              <w:top w:val="nil"/>
              <w:left w:val="nil"/>
              <w:bottom w:val="nil"/>
              <w:right w:val="nil"/>
            </w:tcBorders>
            <w:shd w:val="clear" w:color="auto" w:fill="auto"/>
            <w:noWrap/>
            <w:vAlign w:val="bottom"/>
            <w:hideMark/>
          </w:tcPr>
          <w:p w14:paraId="429BE086"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160" w:type="dxa"/>
            <w:tcBorders>
              <w:top w:val="nil"/>
              <w:left w:val="nil"/>
              <w:bottom w:val="nil"/>
              <w:right w:val="nil"/>
            </w:tcBorders>
            <w:shd w:val="clear" w:color="auto" w:fill="auto"/>
            <w:noWrap/>
            <w:vAlign w:val="bottom"/>
            <w:hideMark/>
          </w:tcPr>
          <w:p w14:paraId="71013E1B" w14:textId="77777777" w:rsidR="00E211AF" w:rsidRPr="000D36DF" w:rsidRDefault="00E211AF" w:rsidP="00524461">
            <w:pPr>
              <w:rPr>
                <w:rFonts w:ascii="Times New Roman" w:eastAsia="Times New Roman" w:hAnsi="Times New Roman" w:cs="Times New Roman"/>
                <w:sz w:val="20"/>
                <w:szCs w:val="20"/>
                <w:lang w:val="en-US" w:eastAsia="it-IT"/>
              </w:rPr>
            </w:pPr>
          </w:p>
        </w:tc>
        <w:tc>
          <w:tcPr>
            <w:tcW w:w="1452" w:type="dxa"/>
            <w:tcBorders>
              <w:top w:val="nil"/>
              <w:left w:val="nil"/>
              <w:bottom w:val="nil"/>
              <w:right w:val="nil"/>
            </w:tcBorders>
            <w:shd w:val="clear" w:color="auto" w:fill="auto"/>
            <w:noWrap/>
            <w:vAlign w:val="bottom"/>
            <w:hideMark/>
          </w:tcPr>
          <w:p w14:paraId="57B8924F" w14:textId="77777777" w:rsidR="00E211AF" w:rsidRPr="000D36DF" w:rsidRDefault="00E211AF" w:rsidP="00524461">
            <w:pPr>
              <w:rPr>
                <w:rFonts w:ascii="Times New Roman" w:eastAsia="Times New Roman" w:hAnsi="Times New Roman" w:cs="Times New Roman"/>
                <w:sz w:val="20"/>
                <w:szCs w:val="20"/>
                <w:lang w:val="en-US" w:eastAsia="it-IT"/>
              </w:rPr>
            </w:pPr>
          </w:p>
        </w:tc>
      </w:tr>
      <w:tr w:rsidR="00E211AF" w:rsidRPr="000D36DF" w14:paraId="27C3FE11" w14:textId="77777777" w:rsidTr="00524461">
        <w:trPr>
          <w:trHeight w:val="280"/>
        </w:trPr>
        <w:tc>
          <w:tcPr>
            <w:tcW w:w="4200" w:type="dxa"/>
            <w:tcBorders>
              <w:top w:val="nil"/>
              <w:left w:val="nil"/>
              <w:bottom w:val="nil"/>
              <w:right w:val="nil"/>
            </w:tcBorders>
            <w:shd w:val="clear" w:color="auto" w:fill="auto"/>
            <w:noWrap/>
            <w:vAlign w:val="bottom"/>
            <w:hideMark/>
          </w:tcPr>
          <w:p w14:paraId="51C944C5" w14:textId="77777777" w:rsidR="00E211AF" w:rsidRPr="000D36DF" w:rsidRDefault="00E211AF" w:rsidP="00524461">
            <w:pPr>
              <w:rPr>
                <w:rFonts w:ascii="Times New Roman" w:eastAsia="Times New Roman" w:hAnsi="Times New Roman" w:cs="Times New Roman"/>
                <w:sz w:val="20"/>
                <w:szCs w:val="20"/>
                <w:lang w:eastAsia="it-IT"/>
              </w:rPr>
            </w:pPr>
            <w:r w:rsidRPr="000D36DF">
              <w:rPr>
                <w:rFonts w:ascii="Times New Roman" w:eastAsia="Times New Roman" w:hAnsi="Times New Roman" w:cs="Times New Roman"/>
                <w:sz w:val="20"/>
                <w:szCs w:val="20"/>
                <w:lang w:eastAsia="it-IT"/>
              </w:rPr>
              <w:t>*** p&lt;0.01, ** p&lt;0.05, * p&lt;0.1</w:t>
            </w:r>
          </w:p>
          <w:p w14:paraId="31E4EFAA" w14:textId="49656465" w:rsidR="00B144FA" w:rsidRPr="000D36DF" w:rsidRDefault="00B144FA" w:rsidP="00524461">
            <w:pP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hideMark/>
          </w:tcPr>
          <w:p w14:paraId="36CB185D" w14:textId="77777777" w:rsidR="00E211AF" w:rsidRPr="000D36DF" w:rsidRDefault="00E211AF"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hideMark/>
          </w:tcPr>
          <w:p w14:paraId="287265D4" w14:textId="77777777" w:rsidR="00E211AF" w:rsidRPr="000D36DF" w:rsidRDefault="00E211AF" w:rsidP="00524461">
            <w:pP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hideMark/>
          </w:tcPr>
          <w:p w14:paraId="47B938C7" w14:textId="77777777" w:rsidR="00E211AF" w:rsidRPr="000D36DF" w:rsidRDefault="00E211AF" w:rsidP="00524461">
            <w:pPr>
              <w:rPr>
                <w:rFonts w:ascii="Times New Roman" w:eastAsia="Times New Roman" w:hAnsi="Times New Roman" w:cs="Times New Roman"/>
                <w:sz w:val="20"/>
                <w:szCs w:val="20"/>
                <w:lang w:eastAsia="it-IT"/>
              </w:rPr>
            </w:pPr>
          </w:p>
        </w:tc>
      </w:tr>
      <w:tr w:rsidR="00457F71" w:rsidRPr="000D36DF" w14:paraId="5049C4D8" w14:textId="77777777" w:rsidTr="00524461">
        <w:trPr>
          <w:trHeight w:val="280"/>
        </w:trPr>
        <w:tc>
          <w:tcPr>
            <w:tcW w:w="4200" w:type="dxa"/>
            <w:tcBorders>
              <w:top w:val="nil"/>
              <w:left w:val="nil"/>
              <w:bottom w:val="nil"/>
              <w:right w:val="nil"/>
            </w:tcBorders>
            <w:shd w:val="clear" w:color="auto" w:fill="auto"/>
            <w:noWrap/>
            <w:vAlign w:val="bottom"/>
          </w:tcPr>
          <w:p w14:paraId="52C45B2A" w14:textId="77777777" w:rsidR="00457F71" w:rsidRPr="000D36DF" w:rsidRDefault="00457F71" w:rsidP="00524461">
            <w:pPr>
              <w:rPr>
                <w:rFonts w:ascii="Times New Roman" w:eastAsia="Times New Roman" w:hAnsi="Times New Roman" w:cs="Times New Roman"/>
                <w:sz w:val="20"/>
                <w:szCs w:val="20"/>
                <w:lang w:eastAsia="it-IT"/>
              </w:rPr>
            </w:pPr>
          </w:p>
        </w:tc>
        <w:tc>
          <w:tcPr>
            <w:tcW w:w="1351" w:type="dxa"/>
            <w:tcBorders>
              <w:top w:val="nil"/>
              <w:left w:val="nil"/>
              <w:bottom w:val="nil"/>
              <w:right w:val="nil"/>
            </w:tcBorders>
            <w:shd w:val="clear" w:color="auto" w:fill="auto"/>
            <w:noWrap/>
            <w:vAlign w:val="bottom"/>
          </w:tcPr>
          <w:p w14:paraId="51EA32E6" w14:textId="77777777" w:rsidR="00457F71" w:rsidRPr="000D36DF" w:rsidRDefault="00457F71" w:rsidP="00524461">
            <w:pPr>
              <w:rPr>
                <w:rFonts w:ascii="Times New Roman" w:eastAsia="Times New Roman" w:hAnsi="Times New Roman" w:cs="Times New Roman"/>
                <w:sz w:val="20"/>
                <w:szCs w:val="20"/>
                <w:lang w:eastAsia="it-IT"/>
              </w:rPr>
            </w:pPr>
          </w:p>
        </w:tc>
        <w:tc>
          <w:tcPr>
            <w:tcW w:w="1160" w:type="dxa"/>
            <w:tcBorders>
              <w:top w:val="nil"/>
              <w:left w:val="nil"/>
              <w:bottom w:val="nil"/>
              <w:right w:val="nil"/>
            </w:tcBorders>
            <w:shd w:val="clear" w:color="auto" w:fill="auto"/>
            <w:noWrap/>
            <w:vAlign w:val="bottom"/>
          </w:tcPr>
          <w:p w14:paraId="20AF76D3" w14:textId="77777777" w:rsidR="00457F71" w:rsidRPr="000D36DF" w:rsidRDefault="00457F71" w:rsidP="00524461">
            <w:pPr>
              <w:rPr>
                <w:rFonts w:ascii="Times New Roman" w:eastAsia="Times New Roman" w:hAnsi="Times New Roman" w:cs="Times New Roman"/>
                <w:sz w:val="20"/>
                <w:szCs w:val="20"/>
                <w:lang w:eastAsia="it-IT"/>
              </w:rPr>
            </w:pPr>
          </w:p>
        </w:tc>
        <w:tc>
          <w:tcPr>
            <w:tcW w:w="1452" w:type="dxa"/>
            <w:tcBorders>
              <w:top w:val="nil"/>
              <w:left w:val="nil"/>
              <w:bottom w:val="nil"/>
              <w:right w:val="nil"/>
            </w:tcBorders>
            <w:shd w:val="clear" w:color="auto" w:fill="auto"/>
            <w:noWrap/>
            <w:vAlign w:val="bottom"/>
          </w:tcPr>
          <w:p w14:paraId="066E4B42" w14:textId="77777777" w:rsidR="00457F71" w:rsidRPr="000D36DF" w:rsidRDefault="00457F71" w:rsidP="00524461">
            <w:pPr>
              <w:rPr>
                <w:rFonts w:ascii="Times New Roman" w:eastAsia="Times New Roman" w:hAnsi="Times New Roman" w:cs="Times New Roman"/>
                <w:sz w:val="20"/>
                <w:szCs w:val="20"/>
                <w:lang w:eastAsia="it-IT"/>
              </w:rPr>
            </w:pPr>
          </w:p>
        </w:tc>
      </w:tr>
    </w:tbl>
    <w:p w14:paraId="1684B237" w14:textId="77777777" w:rsidR="007265D6" w:rsidRPr="007265D6" w:rsidRDefault="007265D6" w:rsidP="007265D6">
      <w:pPr>
        <w:spacing w:line="360" w:lineRule="auto"/>
        <w:jc w:val="both"/>
        <w:rPr>
          <w:rFonts w:ascii="Times New Roman" w:hAnsi="Times New Roman" w:cs="Times New Roman"/>
          <w:lang w:val="en-US"/>
        </w:rPr>
      </w:pPr>
      <w:r w:rsidRPr="007265D6">
        <w:rPr>
          <w:rFonts w:ascii="Times New Roman" w:hAnsi="Times New Roman" w:cs="Times New Roman"/>
          <w:lang w:val="en-US"/>
        </w:rPr>
        <w:t>In the first model, the impact of the Net Migration Rate on GDP per capita is examined without including control variables. In this specification, the Net Migration Rate does not exhibit a statistically significant effect on GDP per capita.</w:t>
      </w:r>
    </w:p>
    <w:p w14:paraId="7BB59F93" w14:textId="77777777" w:rsidR="007265D6" w:rsidRPr="007265D6" w:rsidRDefault="007265D6" w:rsidP="007265D6">
      <w:pPr>
        <w:spacing w:line="360" w:lineRule="auto"/>
        <w:jc w:val="both"/>
        <w:rPr>
          <w:rFonts w:ascii="Times New Roman" w:hAnsi="Times New Roman" w:cs="Times New Roman"/>
          <w:lang w:val="en-US"/>
        </w:rPr>
      </w:pPr>
    </w:p>
    <w:p w14:paraId="01B7C211" w14:textId="77777777" w:rsidR="007265D6" w:rsidRPr="007265D6" w:rsidRDefault="007265D6" w:rsidP="007265D6">
      <w:pPr>
        <w:spacing w:line="360" w:lineRule="auto"/>
        <w:jc w:val="both"/>
        <w:rPr>
          <w:rFonts w:ascii="Times New Roman" w:hAnsi="Times New Roman" w:cs="Times New Roman"/>
          <w:lang w:val="en-US"/>
        </w:rPr>
      </w:pPr>
      <w:r w:rsidRPr="007265D6">
        <w:rPr>
          <w:rFonts w:ascii="Times New Roman" w:hAnsi="Times New Roman" w:cs="Times New Roman"/>
          <w:lang w:val="en-US"/>
        </w:rPr>
        <w:t>In the second model, the interaction term between Region and Net Migration Rate is introduced, still without controlling for additional variables. Here too, neither the Net Migration Rate nor the interaction terms with Region show any statistically significant effects.</w:t>
      </w:r>
    </w:p>
    <w:p w14:paraId="019CBCCD" w14:textId="77777777" w:rsidR="007265D6" w:rsidRPr="007265D6" w:rsidRDefault="007265D6" w:rsidP="007265D6">
      <w:pPr>
        <w:spacing w:line="360" w:lineRule="auto"/>
        <w:jc w:val="both"/>
        <w:rPr>
          <w:rFonts w:ascii="Times New Roman" w:hAnsi="Times New Roman" w:cs="Times New Roman"/>
          <w:lang w:val="en-US"/>
        </w:rPr>
      </w:pPr>
    </w:p>
    <w:p w14:paraId="7503C7E8" w14:textId="4BFDA897" w:rsidR="007265D6" w:rsidRPr="007265D6" w:rsidRDefault="007265D6" w:rsidP="007265D6">
      <w:pPr>
        <w:spacing w:line="360" w:lineRule="auto"/>
        <w:jc w:val="both"/>
        <w:rPr>
          <w:rFonts w:ascii="Times New Roman" w:hAnsi="Times New Roman" w:cs="Times New Roman"/>
          <w:lang w:val="en-US"/>
        </w:rPr>
      </w:pPr>
      <w:r w:rsidRPr="007265D6">
        <w:rPr>
          <w:rFonts w:ascii="Times New Roman" w:hAnsi="Times New Roman" w:cs="Times New Roman"/>
          <w:lang w:val="en-US"/>
        </w:rPr>
        <w:t>In the third model, all relevant control variables are included. This model reveals that several predictors—including some of the interaction terms—become statistically significant. Specifically, the Net Migration Rate is shown to have a significant and positive effect on GDP per capita, with a coefficient of 0.006</w:t>
      </w:r>
      <w:r w:rsidRPr="000D36DF">
        <w:rPr>
          <w:rFonts w:ascii="Times New Roman" w:hAnsi="Times New Roman" w:cs="Times New Roman"/>
          <w:lang w:val="en-US"/>
        </w:rPr>
        <w:t>**</w:t>
      </w:r>
      <w:r w:rsidRPr="007265D6">
        <w:rPr>
          <w:rFonts w:ascii="Times New Roman" w:hAnsi="Times New Roman" w:cs="Times New Roman"/>
          <w:lang w:val="en-US"/>
        </w:rPr>
        <w:t>. As a result, the first hypothesis cannot be rejected.</w:t>
      </w:r>
    </w:p>
    <w:p w14:paraId="2D191267" w14:textId="77777777" w:rsidR="007265D6" w:rsidRPr="007265D6" w:rsidRDefault="007265D6" w:rsidP="007265D6">
      <w:pPr>
        <w:spacing w:line="360" w:lineRule="auto"/>
        <w:jc w:val="both"/>
        <w:rPr>
          <w:rFonts w:ascii="Times New Roman" w:hAnsi="Times New Roman" w:cs="Times New Roman"/>
          <w:lang w:val="en-US"/>
        </w:rPr>
      </w:pPr>
    </w:p>
    <w:p w14:paraId="35E3BB48" w14:textId="57D1EDF6" w:rsidR="007265D6" w:rsidRPr="007265D6" w:rsidRDefault="007265D6" w:rsidP="007265D6">
      <w:pPr>
        <w:spacing w:line="360" w:lineRule="auto"/>
        <w:jc w:val="both"/>
        <w:rPr>
          <w:rFonts w:ascii="Times New Roman" w:hAnsi="Times New Roman" w:cs="Times New Roman"/>
          <w:lang w:val="en-US"/>
        </w:rPr>
      </w:pPr>
      <w:r w:rsidRPr="007265D6">
        <w:rPr>
          <w:rFonts w:ascii="Times New Roman" w:hAnsi="Times New Roman" w:cs="Times New Roman"/>
          <w:lang w:val="en-US"/>
        </w:rPr>
        <w:t xml:space="preserve">However, the interaction terms exhibit a more complex pattern. Statistically significant effects are found only for Emilia-Romagna, Toscana, Marche, and Lazio. For Emilia-Romagna and Toscana, the interaction between the Net Migration Rate and GDP per capita is negative and significant (-0.013** and -0.020***, respectively). In contrast, for Marche and Lazio, the interaction is positive and significant (0.037** and 0.050**, respectively). These results highlight not only regional differences but also </w:t>
      </w:r>
      <w:r w:rsidR="00BD7BA4">
        <w:rPr>
          <w:rFonts w:ascii="Times New Roman" w:hAnsi="Times New Roman" w:cs="Times New Roman"/>
          <w:lang w:val="en-US"/>
        </w:rPr>
        <w:t>positive</w:t>
      </w:r>
      <w:r w:rsidRPr="007265D6">
        <w:rPr>
          <w:rFonts w:ascii="Times New Roman" w:hAnsi="Times New Roman" w:cs="Times New Roman"/>
          <w:lang w:val="en-US"/>
        </w:rPr>
        <w:t xml:space="preserve"> and negative regional outcomes associated with immigration’s effect on GDP per capita. Therefore, the second hypothes</w:t>
      </w:r>
      <w:r w:rsidR="00BD7BA4">
        <w:rPr>
          <w:rFonts w:ascii="Times New Roman" w:hAnsi="Times New Roman" w:cs="Times New Roman"/>
          <w:lang w:val="en-US"/>
        </w:rPr>
        <w:t>i</w:t>
      </w:r>
      <w:r w:rsidRPr="007265D6">
        <w:rPr>
          <w:rFonts w:ascii="Times New Roman" w:hAnsi="Times New Roman" w:cs="Times New Roman"/>
          <w:lang w:val="en-US"/>
        </w:rPr>
        <w:t xml:space="preserve">s </w:t>
      </w:r>
      <w:r w:rsidR="00BD7BA4">
        <w:rPr>
          <w:rFonts w:ascii="Times New Roman" w:hAnsi="Times New Roman" w:cs="Times New Roman"/>
          <w:lang w:val="en-US"/>
        </w:rPr>
        <w:t>is</w:t>
      </w:r>
      <w:r w:rsidRPr="007265D6">
        <w:rPr>
          <w:rFonts w:ascii="Times New Roman" w:hAnsi="Times New Roman" w:cs="Times New Roman"/>
          <w:lang w:val="en-US"/>
        </w:rPr>
        <w:t xml:space="preserve"> rejected.</w:t>
      </w:r>
    </w:p>
    <w:p w14:paraId="7C948608" w14:textId="77777777" w:rsidR="007265D6" w:rsidRPr="007265D6" w:rsidRDefault="007265D6" w:rsidP="007265D6">
      <w:pPr>
        <w:spacing w:line="360" w:lineRule="auto"/>
        <w:jc w:val="both"/>
        <w:rPr>
          <w:rFonts w:ascii="Times New Roman" w:hAnsi="Times New Roman" w:cs="Times New Roman"/>
          <w:lang w:val="en-US"/>
        </w:rPr>
      </w:pPr>
    </w:p>
    <w:p w14:paraId="68E6C8AE" w14:textId="77777777" w:rsidR="007265D6" w:rsidRPr="007265D6" w:rsidRDefault="007265D6" w:rsidP="007265D6">
      <w:pPr>
        <w:spacing w:line="360" w:lineRule="auto"/>
        <w:jc w:val="both"/>
        <w:rPr>
          <w:rFonts w:ascii="Times New Roman" w:hAnsi="Times New Roman" w:cs="Times New Roman"/>
          <w:lang w:val="en-US"/>
        </w:rPr>
      </w:pPr>
      <w:r w:rsidRPr="007265D6">
        <w:rPr>
          <w:rFonts w:ascii="Times New Roman" w:hAnsi="Times New Roman" w:cs="Times New Roman"/>
          <w:lang w:val="en-US"/>
        </w:rPr>
        <w:t>Figure 4 provides a graphical representation of the model’s results using a scatter plot, visually illustrating the linear relationship between the Net Migration Rate and GDP per capita across the regions included in the analysis.</w:t>
      </w:r>
    </w:p>
    <w:p w14:paraId="78ADAB13" w14:textId="77777777" w:rsidR="007265D6" w:rsidRPr="007265D6" w:rsidRDefault="007265D6" w:rsidP="007265D6">
      <w:pPr>
        <w:spacing w:line="360" w:lineRule="auto"/>
        <w:jc w:val="both"/>
        <w:rPr>
          <w:rFonts w:ascii="Times New Roman" w:hAnsi="Times New Roman" w:cs="Times New Roman"/>
          <w:lang w:val="en-US"/>
        </w:rPr>
      </w:pPr>
    </w:p>
    <w:p w14:paraId="3988FF60" w14:textId="77777777" w:rsidR="007265D6" w:rsidRPr="007265D6" w:rsidRDefault="007265D6" w:rsidP="007265D6">
      <w:pPr>
        <w:spacing w:line="360" w:lineRule="auto"/>
        <w:jc w:val="both"/>
        <w:rPr>
          <w:rFonts w:ascii="Times New Roman" w:hAnsi="Times New Roman" w:cs="Times New Roman"/>
          <w:lang w:val="en-US"/>
        </w:rPr>
      </w:pPr>
      <w:r w:rsidRPr="007265D6">
        <w:rPr>
          <w:rFonts w:ascii="Times New Roman" w:hAnsi="Times New Roman" w:cs="Times New Roman"/>
          <w:lang w:val="en-US"/>
        </w:rPr>
        <w:t xml:space="preserve">With regard to the control variables, the unemployment rate has a negative and statistically significant effect on GDP per capita (-228.496**), while the fertility rate shows a positive and significant effect </w:t>
      </w:r>
      <w:r w:rsidRPr="007265D6">
        <w:rPr>
          <w:rFonts w:ascii="Times New Roman" w:hAnsi="Times New Roman" w:cs="Times New Roman"/>
          <w:lang w:val="en-US"/>
        </w:rPr>
        <w:lastRenderedPageBreak/>
        <w:t>(2,748.438*). Similarly, the infant mortality rate is positively and significantly associated with GDP per capita (532.276**), and the year variable also displays a significant positive effect (289.634***).</w:t>
      </w:r>
    </w:p>
    <w:p w14:paraId="40413A79" w14:textId="77777777" w:rsidR="007265D6" w:rsidRPr="000D36DF" w:rsidRDefault="007265D6" w:rsidP="007265D6">
      <w:pPr>
        <w:spacing w:line="360" w:lineRule="auto"/>
        <w:jc w:val="both"/>
        <w:rPr>
          <w:rFonts w:ascii="Times New Roman" w:hAnsi="Times New Roman" w:cs="Times New Roman"/>
          <w:lang w:val="en-US"/>
        </w:rPr>
      </w:pPr>
    </w:p>
    <w:p w14:paraId="24D92E55" w14:textId="57ED28C0" w:rsidR="009718BA" w:rsidRPr="000D36DF" w:rsidRDefault="009718BA" w:rsidP="007265D6">
      <w:pPr>
        <w:spacing w:line="360" w:lineRule="auto"/>
        <w:jc w:val="both"/>
        <w:rPr>
          <w:rFonts w:ascii="Times New Roman" w:hAnsi="Times New Roman" w:cs="Times New Roman"/>
          <w:lang w:val="en-US"/>
        </w:rPr>
      </w:pPr>
      <w:r w:rsidRPr="000D36DF">
        <w:rPr>
          <w:rFonts w:ascii="Times New Roman" w:hAnsi="Times New Roman" w:cs="Times New Roman"/>
          <w:lang w:val="en-US"/>
        </w:rPr>
        <w:t>Figure 4. Scatter plot illustrating the relationship between Region as the independent variable, Net Migration Rate as a moderator and GDP per capita as the dependent variable (without outliers).</w:t>
      </w:r>
    </w:p>
    <w:p w14:paraId="255380A4" w14:textId="477B0E17" w:rsidR="009718BA" w:rsidRDefault="009718BA" w:rsidP="00FB3E35">
      <w:pPr>
        <w:pStyle w:val="p1"/>
        <w:spacing w:line="360" w:lineRule="auto"/>
        <w:jc w:val="both"/>
        <w:rPr>
          <w:lang w:val="en-US"/>
        </w:rPr>
      </w:pPr>
      <w:r w:rsidRPr="009718BA">
        <w:rPr>
          <w:noProof/>
          <w:lang w:val="en-US"/>
        </w:rPr>
        <w:drawing>
          <wp:inline distT="0" distB="0" distL="0" distR="0" wp14:anchorId="1E8E773D" wp14:editId="5A8125E4">
            <wp:extent cx="5029200" cy="36576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3657600"/>
                    </a:xfrm>
                    <a:prstGeom prst="rect">
                      <a:avLst/>
                    </a:prstGeom>
                  </pic:spPr>
                </pic:pic>
              </a:graphicData>
            </a:graphic>
          </wp:inline>
        </w:drawing>
      </w:r>
    </w:p>
    <w:p w14:paraId="56D86CC2" w14:textId="4143FFF7" w:rsidR="000D36DF" w:rsidRDefault="00E37BB5" w:rsidP="00FB3E35">
      <w:pPr>
        <w:pStyle w:val="p1"/>
        <w:spacing w:line="360" w:lineRule="auto"/>
        <w:jc w:val="both"/>
        <w:rPr>
          <w:lang w:val="en-US"/>
        </w:rPr>
      </w:pPr>
      <w:r>
        <w:rPr>
          <w:lang w:val="en-US"/>
        </w:rPr>
        <w:t>6.</w:t>
      </w:r>
      <w:r w:rsidR="00F05ED9">
        <w:rPr>
          <w:lang w:val="en-US"/>
        </w:rPr>
        <w:t xml:space="preserve"> </w:t>
      </w:r>
      <w:r w:rsidR="000D36DF">
        <w:rPr>
          <w:lang w:val="en-US"/>
        </w:rPr>
        <w:t>Conclusions and Discussion</w:t>
      </w:r>
    </w:p>
    <w:p w14:paraId="46CAE8DE" w14:textId="16F3568A" w:rsidR="003538C2" w:rsidRPr="003538C2" w:rsidRDefault="003538C2" w:rsidP="003538C2">
      <w:pPr>
        <w:pStyle w:val="p1"/>
        <w:spacing w:line="360" w:lineRule="auto"/>
        <w:jc w:val="both"/>
        <w:rPr>
          <w:color w:val="000000"/>
          <w:lang w:val="en-US"/>
        </w:rPr>
      </w:pPr>
      <w:r w:rsidRPr="003538C2">
        <w:rPr>
          <w:color w:val="000000"/>
          <w:lang w:val="en-US"/>
        </w:rPr>
        <w:t>The academic field of migration studies offers an extensive body of literature on the topic. Some contributions have explored the interplay between macro-level immigration flows and micro-level outcomes such as wages (Borjas, 2017). In contrast, the present study focuses exclusively on macro-regional effects within the Italian context. Specifically, the aim was to assess the magnitude of immigration’s impact on the relationship between regional context and GDP per capita in Italy. This was achieved through a panel data analysis covering the period from 2000 to 2023.</w:t>
      </w:r>
    </w:p>
    <w:p w14:paraId="4C79CBC4" w14:textId="5A14C443" w:rsidR="003538C2" w:rsidRPr="003538C2" w:rsidRDefault="003538C2" w:rsidP="003538C2">
      <w:pPr>
        <w:pStyle w:val="p1"/>
        <w:spacing w:line="360" w:lineRule="auto"/>
        <w:jc w:val="both"/>
        <w:rPr>
          <w:color w:val="000000"/>
          <w:lang w:val="en-US"/>
        </w:rPr>
      </w:pPr>
      <w:r w:rsidRPr="003538C2">
        <w:rPr>
          <w:color w:val="000000"/>
          <w:lang w:val="en-US"/>
        </w:rPr>
        <w:t xml:space="preserve">The theoretical framework is grounded in the “Push-Pull” theory of migration (European Commission) and the Neoclassical growth theory (Solow, 1999). Based on this foundation, the first hypothesis proposed a positive association between higher net immigration rates and higher regional GDP per capita. Previous studies have supported this relationship, identifying positive links between mobility—whether of knowledge or capital—and economic growth (Peri, 2012; Huber &amp; Tondl, </w:t>
      </w:r>
      <w:r w:rsidRPr="003538C2">
        <w:rPr>
          <w:color w:val="000000"/>
          <w:lang w:val="en-US"/>
        </w:rPr>
        <w:lastRenderedPageBreak/>
        <w:t>2012; Boubtane et al., 201</w:t>
      </w:r>
      <w:r w:rsidR="00092454">
        <w:rPr>
          <w:color w:val="000000"/>
          <w:lang w:val="en-US"/>
        </w:rPr>
        <w:t>3</w:t>
      </w:r>
      <w:r w:rsidRPr="003538C2">
        <w:rPr>
          <w:color w:val="000000"/>
          <w:lang w:val="en-US"/>
        </w:rPr>
        <w:t>; IMF, 2020). The findings of this analysis are consistent with this trend, and as such, the first hypothesis cannot be rejected.</w:t>
      </w:r>
    </w:p>
    <w:p w14:paraId="287A59C2" w14:textId="65EA74F5" w:rsidR="003538C2" w:rsidRPr="003538C2" w:rsidRDefault="003538C2" w:rsidP="003538C2">
      <w:pPr>
        <w:pStyle w:val="p1"/>
        <w:spacing w:line="360" w:lineRule="auto"/>
        <w:jc w:val="both"/>
        <w:rPr>
          <w:color w:val="000000"/>
          <w:lang w:val="en-US"/>
        </w:rPr>
      </w:pPr>
      <w:r w:rsidRPr="003538C2">
        <w:rPr>
          <w:color w:val="000000"/>
          <w:lang w:val="en-US"/>
        </w:rPr>
        <w:t xml:space="preserve">An interaction term was then introduced to capture the macro-level interplay between </w:t>
      </w:r>
      <w:r w:rsidR="00F05ED9">
        <w:rPr>
          <w:color w:val="000000"/>
          <w:lang w:val="en-US"/>
        </w:rPr>
        <w:t xml:space="preserve">the </w:t>
      </w:r>
      <w:r w:rsidRPr="003538C2">
        <w:rPr>
          <w:color w:val="000000"/>
          <w:lang w:val="en-US"/>
        </w:rPr>
        <w:t xml:space="preserve">regional context and the </w:t>
      </w:r>
      <w:r w:rsidR="00F05ED9">
        <w:rPr>
          <w:color w:val="000000"/>
          <w:lang w:val="en-US"/>
        </w:rPr>
        <w:t>N</w:t>
      </w:r>
      <w:r w:rsidRPr="003538C2">
        <w:rPr>
          <w:color w:val="000000"/>
          <w:lang w:val="en-US"/>
        </w:rPr>
        <w:t xml:space="preserve">et </w:t>
      </w:r>
      <w:r w:rsidR="00F05ED9">
        <w:rPr>
          <w:color w:val="000000"/>
          <w:lang w:val="en-US"/>
        </w:rPr>
        <w:t>Migration</w:t>
      </w:r>
      <w:r w:rsidRPr="003538C2">
        <w:rPr>
          <w:color w:val="000000"/>
          <w:lang w:val="en-US"/>
        </w:rPr>
        <w:t xml:space="preserve"> </w:t>
      </w:r>
      <w:r w:rsidR="00F05ED9">
        <w:rPr>
          <w:color w:val="000000"/>
          <w:lang w:val="en-US"/>
        </w:rPr>
        <w:t>R</w:t>
      </w:r>
      <w:r w:rsidRPr="003538C2">
        <w:rPr>
          <w:color w:val="000000"/>
          <w:lang w:val="en-US"/>
        </w:rPr>
        <w:t>ate. Accordingly, the second hypothesis proposed that the effect of regional context on GDP per capita would vary depending on the level of net immigration. Existing literature highlights significant regional disparities in Italy, particularly in relation to the North</w:t>
      </w:r>
      <w:r w:rsidR="00F05ED9">
        <w:rPr>
          <w:color w:val="000000"/>
          <w:lang w:val="en-US"/>
        </w:rPr>
        <w:t>-</w:t>
      </w:r>
      <w:r w:rsidRPr="003538C2">
        <w:rPr>
          <w:color w:val="000000"/>
          <w:lang w:val="en-US"/>
        </w:rPr>
        <w:t>South divide (</w:t>
      </w:r>
      <w:r w:rsidR="00D24166" w:rsidRPr="003538C2">
        <w:rPr>
          <w:color w:val="000000"/>
          <w:lang w:val="en-US"/>
        </w:rPr>
        <w:t>Vedovato 1990</w:t>
      </w:r>
      <w:r w:rsidR="00D24166">
        <w:rPr>
          <w:color w:val="000000"/>
          <w:lang w:val="en-US"/>
        </w:rPr>
        <w:t xml:space="preserve">, </w:t>
      </w:r>
      <w:r w:rsidR="00D24166" w:rsidRPr="003538C2">
        <w:rPr>
          <w:color w:val="000000"/>
          <w:lang w:val="en-US"/>
        </w:rPr>
        <w:t>Paci &amp; Pigliaru 1998</w:t>
      </w:r>
      <w:r w:rsidR="00D24166">
        <w:rPr>
          <w:color w:val="000000"/>
          <w:lang w:val="en-US"/>
        </w:rPr>
        <w:t xml:space="preserve">, </w:t>
      </w:r>
      <w:r w:rsidR="00D24166" w:rsidRPr="003538C2">
        <w:rPr>
          <w:color w:val="000000"/>
          <w:lang w:val="en-US"/>
        </w:rPr>
        <w:t>Dunford &amp; Greco</w:t>
      </w:r>
      <w:r w:rsidR="00D24166">
        <w:rPr>
          <w:color w:val="000000"/>
          <w:lang w:val="en-US"/>
        </w:rPr>
        <w:t xml:space="preserve"> </w:t>
      </w:r>
      <w:r w:rsidR="00D24166" w:rsidRPr="003538C2">
        <w:rPr>
          <w:color w:val="000000"/>
          <w:lang w:val="en-US"/>
        </w:rPr>
        <w:t>2008</w:t>
      </w:r>
      <w:r w:rsidR="00D24166">
        <w:rPr>
          <w:color w:val="000000"/>
          <w:lang w:val="en-US"/>
        </w:rPr>
        <w:t xml:space="preserve">, </w:t>
      </w:r>
      <w:r w:rsidRPr="003538C2">
        <w:rPr>
          <w:color w:val="000000"/>
          <w:lang w:val="en-US"/>
        </w:rPr>
        <w:t>Iuzzolino et al. 2011</w:t>
      </w:r>
      <w:r w:rsidR="00D24166">
        <w:rPr>
          <w:color w:val="000000"/>
          <w:lang w:val="en-US"/>
        </w:rPr>
        <w:t>,</w:t>
      </w:r>
      <w:r w:rsidRPr="003538C2">
        <w:rPr>
          <w:color w:val="000000"/>
          <w:lang w:val="en-US"/>
        </w:rPr>
        <w:t xml:space="preserve"> </w:t>
      </w:r>
      <w:r w:rsidR="00D24166" w:rsidRPr="003538C2">
        <w:rPr>
          <w:color w:val="000000"/>
          <w:lang w:val="en-US"/>
        </w:rPr>
        <w:t>Marinelli 2011</w:t>
      </w:r>
      <w:r w:rsidR="00D24166">
        <w:rPr>
          <w:color w:val="000000"/>
          <w:lang w:val="en-US"/>
        </w:rPr>
        <w:t xml:space="preserve">, </w:t>
      </w:r>
      <w:r w:rsidRPr="003538C2">
        <w:rPr>
          <w:color w:val="000000"/>
          <w:lang w:val="en-US"/>
        </w:rPr>
        <w:t>Mulino et al. 2017</w:t>
      </w:r>
      <w:r w:rsidR="00D24166">
        <w:rPr>
          <w:color w:val="000000"/>
          <w:lang w:val="en-US"/>
        </w:rPr>
        <w:t>,</w:t>
      </w:r>
      <w:r w:rsidRPr="003538C2">
        <w:rPr>
          <w:color w:val="000000"/>
          <w:lang w:val="en-US"/>
        </w:rPr>
        <w:t xml:space="preserve"> </w:t>
      </w:r>
      <w:r w:rsidR="00D24166" w:rsidRPr="003538C2">
        <w:rPr>
          <w:color w:val="000000"/>
          <w:lang w:val="en-US"/>
        </w:rPr>
        <w:t>Ramazzotti</w:t>
      </w:r>
      <w:r w:rsidR="00D24166">
        <w:rPr>
          <w:color w:val="000000"/>
          <w:lang w:val="en-US"/>
        </w:rPr>
        <w:t xml:space="preserve"> </w:t>
      </w:r>
      <w:r w:rsidR="00D24166" w:rsidRPr="003538C2">
        <w:rPr>
          <w:color w:val="000000"/>
          <w:lang w:val="en-US"/>
        </w:rPr>
        <w:t>2023</w:t>
      </w:r>
      <w:r w:rsidR="00D24166">
        <w:rPr>
          <w:color w:val="000000"/>
          <w:lang w:val="en-US"/>
        </w:rPr>
        <w:t xml:space="preserve">, </w:t>
      </w:r>
      <w:r w:rsidRPr="003538C2">
        <w:rPr>
          <w:color w:val="000000"/>
          <w:lang w:val="en-US"/>
        </w:rPr>
        <w:t>Scarpino et al. 2023</w:t>
      </w:r>
      <w:r w:rsidR="00D24166">
        <w:rPr>
          <w:color w:val="000000"/>
          <w:lang w:val="en-US"/>
        </w:rPr>
        <w:t>,</w:t>
      </w:r>
      <w:r w:rsidRPr="003538C2">
        <w:rPr>
          <w:color w:val="000000"/>
          <w:lang w:val="en-US"/>
        </w:rPr>
        <w:t xml:space="preserve"> Mauro &amp; Pigliaru</w:t>
      </w:r>
      <w:r w:rsidR="00D24166">
        <w:rPr>
          <w:color w:val="000000"/>
          <w:lang w:val="en-US"/>
        </w:rPr>
        <w:t xml:space="preserve"> </w:t>
      </w:r>
      <w:r w:rsidRPr="003538C2">
        <w:rPr>
          <w:color w:val="000000"/>
          <w:lang w:val="en-US"/>
        </w:rPr>
        <w:t>2024</w:t>
      </w:r>
      <w:r w:rsidR="00D24166">
        <w:rPr>
          <w:color w:val="000000"/>
          <w:lang w:val="en-US"/>
        </w:rPr>
        <w:t xml:space="preserve">, </w:t>
      </w:r>
      <w:r w:rsidR="00D24166" w:rsidRPr="003538C2">
        <w:rPr>
          <w:color w:val="000000"/>
          <w:lang w:val="en-US"/>
        </w:rPr>
        <w:t>Colacchio &amp; Forges Davanzati</w:t>
      </w:r>
      <w:r w:rsidR="00D24166">
        <w:rPr>
          <w:color w:val="000000"/>
          <w:lang w:val="en-US"/>
        </w:rPr>
        <w:t xml:space="preserve"> </w:t>
      </w:r>
      <w:r w:rsidR="00D24166" w:rsidRPr="003538C2">
        <w:rPr>
          <w:color w:val="000000"/>
          <w:lang w:val="en-US"/>
        </w:rPr>
        <w:t>2025</w:t>
      </w:r>
      <w:r w:rsidRPr="003538C2">
        <w:rPr>
          <w:color w:val="000000"/>
          <w:lang w:val="en-US"/>
        </w:rPr>
        <w:t>). While immigration may offer opportunities for disadvantaged regions, structural constraints—such as historically rooted infrastructural deficiencies (Myrdal 1957)—may limit their capacity to accommodate large migrant populations.</w:t>
      </w:r>
    </w:p>
    <w:p w14:paraId="317D3C00" w14:textId="3F57A19C" w:rsidR="003538C2" w:rsidRPr="003538C2" w:rsidRDefault="003538C2" w:rsidP="003538C2">
      <w:pPr>
        <w:pStyle w:val="p1"/>
        <w:spacing w:line="360" w:lineRule="auto"/>
        <w:jc w:val="both"/>
        <w:rPr>
          <w:color w:val="000000"/>
          <w:lang w:val="en-US"/>
        </w:rPr>
      </w:pPr>
      <w:r w:rsidRPr="003538C2">
        <w:rPr>
          <w:color w:val="000000"/>
          <w:lang w:val="en-US"/>
        </w:rPr>
        <w:t>The empirical findings point to a more nuanced pattern: Emilia-Romagna and Toscana show a negative interaction effect, whereas Lazio and Marche display a positive one. These results underscore the importance of considering regional context when examining the economic impacts of immigration in Italy. Moreover, the findings suggest that regional disparities may not always align neatly with the North</w:t>
      </w:r>
      <w:r w:rsidR="00F05ED9">
        <w:rPr>
          <w:color w:val="000000"/>
          <w:lang w:val="en-US"/>
        </w:rPr>
        <w:t>-</w:t>
      </w:r>
      <w:r w:rsidRPr="003538C2">
        <w:rPr>
          <w:color w:val="000000"/>
          <w:lang w:val="en-US"/>
        </w:rPr>
        <w:t xml:space="preserve">South divide. In this case, all significant interaction effects were observed in regions located in the central part of the country, with divergent outcomes—two negative, </w:t>
      </w:r>
      <w:r w:rsidR="00F05ED9">
        <w:rPr>
          <w:color w:val="000000"/>
          <w:lang w:val="en-US"/>
        </w:rPr>
        <w:t xml:space="preserve">and </w:t>
      </w:r>
      <w:r w:rsidRPr="003538C2">
        <w:rPr>
          <w:color w:val="000000"/>
          <w:lang w:val="en-US"/>
        </w:rPr>
        <w:t>two positive.</w:t>
      </w:r>
    </w:p>
    <w:p w14:paraId="2C739E0C" w14:textId="31B318D3" w:rsidR="003538C2" w:rsidRDefault="003538C2" w:rsidP="003538C2">
      <w:pPr>
        <w:pStyle w:val="p1"/>
        <w:spacing w:line="360" w:lineRule="auto"/>
        <w:jc w:val="both"/>
        <w:rPr>
          <w:color w:val="000000"/>
          <w:lang w:val="en-US"/>
        </w:rPr>
      </w:pPr>
      <w:r w:rsidRPr="003538C2">
        <w:rPr>
          <w:color w:val="000000"/>
          <w:lang w:val="en-US"/>
        </w:rPr>
        <w:t>This pattern may be explained by differences in regional infrastructure or by the varying distribution of net migration rates. For example, Marche—despite showing a relatively low net migration rate over the years—was associated with positive economic outcomes. This could indicate that limited but manageable migration flows may be beneficial, whereas larger inflows might yield different results</w:t>
      </w:r>
      <w:r w:rsidR="00BE050E">
        <w:rPr>
          <w:color w:val="000000"/>
          <w:lang w:val="en-US"/>
        </w:rPr>
        <w:t xml:space="preserve"> for certain regions</w:t>
      </w:r>
      <w:r w:rsidRPr="003538C2">
        <w:rPr>
          <w:color w:val="000000"/>
          <w:lang w:val="en-US"/>
        </w:rPr>
        <w:t>. These dynamics highlight the need for region-specific approaches when assessing the broader economic consequences of immigration.</w:t>
      </w:r>
    </w:p>
    <w:p w14:paraId="38909C64" w14:textId="77777777" w:rsidR="00106513" w:rsidRDefault="00106513" w:rsidP="00106513">
      <w:pPr>
        <w:pStyle w:val="p1"/>
        <w:spacing w:line="360" w:lineRule="auto"/>
        <w:jc w:val="both"/>
        <w:rPr>
          <w:color w:val="000000"/>
          <w:lang w:val="en-US"/>
        </w:rPr>
      </w:pPr>
      <w:r w:rsidRPr="00106513">
        <w:rPr>
          <w:color w:val="000000"/>
          <w:lang w:val="en-US"/>
        </w:rPr>
        <w:t>Following the results obtained, this study provides meaningful insights and contributes to the existing body of literature. As previously discussed, many prior studies have focused on micro-level outcomes, whereas this analysis adopts a macro-level perspective. This approach allows for a deeper exploration of regional dynamics within a complex Southern European country such as Italy, by examining how immigration flows interact with local contexts over time through panel data analysis. By capturing temporal trends, the study addresses a notable gap in migration research, particularly in the Italian case.</w:t>
      </w:r>
    </w:p>
    <w:p w14:paraId="57520400" w14:textId="17DE30EF" w:rsidR="00106513" w:rsidRPr="003538C2" w:rsidRDefault="00106513" w:rsidP="00106513">
      <w:pPr>
        <w:pStyle w:val="p1"/>
        <w:spacing w:line="360" w:lineRule="auto"/>
        <w:jc w:val="both"/>
        <w:rPr>
          <w:color w:val="000000"/>
          <w:lang w:val="en-US"/>
        </w:rPr>
      </w:pPr>
      <w:r w:rsidRPr="00106513">
        <w:rPr>
          <w:color w:val="000000"/>
          <w:lang w:val="en-US"/>
        </w:rPr>
        <w:lastRenderedPageBreak/>
        <w:t>From a policy perspective, these findings highlight the importance of adopting region-specific strategies when assessing the effects of immigration. Tailored approaches that consider institutional frameworks, infrastructure quality, social cohesion, labor market conditions, and the capacity for integration can help ensure that immigration contributes positively to economic growth. Such strategies are essential not only to mitigate potential negative impacts</w:t>
      </w:r>
      <w:r w:rsidR="00987AD8">
        <w:rPr>
          <w:color w:val="000000"/>
          <w:lang w:val="en-US"/>
        </w:rPr>
        <w:t xml:space="preserve">, </w:t>
      </w:r>
      <w:r w:rsidRPr="00106513">
        <w:rPr>
          <w:color w:val="000000"/>
          <w:lang w:val="en-US"/>
        </w:rPr>
        <w:t>but also to leverage immigration as a driver of development and innovation.</w:t>
      </w:r>
    </w:p>
    <w:p w14:paraId="3B775C9B" w14:textId="35BF1551" w:rsidR="003A309F" w:rsidRPr="003A309F" w:rsidRDefault="003A309F" w:rsidP="003A309F">
      <w:pPr>
        <w:pStyle w:val="p1"/>
        <w:spacing w:line="360" w:lineRule="auto"/>
        <w:jc w:val="both"/>
        <w:rPr>
          <w:color w:val="000000"/>
          <w:lang w:val="en-US"/>
        </w:rPr>
      </w:pPr>
      <w:r w:rsidRPr="003A309F">
        <w:rPr>
          <w:color w:val="000000"/>
          <w:lang w:val="en-US"/>
        </w:rPr>
        <w:t>Lastly, this study is subject to several limitations. First, the risk of endogeneity and multicollinearity is present. Without establishing a clear causal chain, it is not possible to draw definitive conclusions about causality, which weakens the robustness of the analysis. Moreover, the methodology employed may not be the most appropriate for addressing the complexity of this topic. Previous research—such as Borjas (2017)—has often relied on more advanced econometric techniques, including difference-in-differences approaches and instrumental variable methods, to better account for endogeneity.</w:t>
      </w:r>
    </w:p>
    <w:p w14:paraId="44397574" w14:textId="667B7825" w:rsidR="003A309F" w:rsidRPr="003A309F" w:rsidRDefault="003A309F" w:rsidP="003A309F">
      <w:pPr>
        <w:pStyle w:val="p1"/>
        <w:spacing w:line="360" w:lineRule="auto"/>
        <w:jc w:val="both"/>
        <w:rPr>
          <w:color w:val="000000"/>
          <w:lang w:val="en-US"/>
        </w:rPr>
      </w:pPr>
      <w:r w:rsidRPr="003A309F">
        <w:rPr>
          <w:color w:val="000000"/>
          <w:lang w:val="en-US"/>
        </w:rPr>
        <w:t>Additionally, this study does not include information on the composition of the immigrant population arriving in Italy. As a result, important factors such as nationality, political attitudes, religion, and skill levels are not captured, preventing an assessment of within-group heterogeneity among immigrants. The analysis also lacks consideration of the institutional structure of the various regions, failing to examine in depth the public</w:t>
      </w:r>
      <w:r w:rsidR="00F05ED9">
        <w:rPr>
          <w:color w:val="000000"/>
          <w:lang w:val="en-US"/>
        </w:rPr>
        <w:t>-</w:t>
      </w:r>
      <w:r w:rsidRPr="003A309F">
        <w:rPr>
          <w:color w:val="000000"/>
          <w:lang w:val="en-US"/>
        </w:rPr>
        <w:t>private divide or differences in governance capacity across the country.</w:t>
      </w:r>
    </w:p>
    <w:p w14:paraId="65CC8AE9" w14:textId="6B5BB9FB" w:rsidR="00EC5462" w:rsidRDefault="003A309F" w:rsidP="003A309F">
      <w:pPr>
        <w:pStyle w:val="p1"/>
        <w:spacing w:line="360" w:lineRule="auto"/>
        <w:jc w:val="both"/>
        <w:rPr>
          <w:lang w:val="en-US"/>
        </w:rPr>
      </w:pPr>
      <w:r w:rsidRPr="003A309F">
        <w:rPr>
          <w:color w:val="000000"/>
          <w:lang w:val="en-US"/>
        </w:rPr>
        <w:t>Future research should address these limitations to offer a more comprehensive understanding of the potential benefits of immigration for host countries—particularly in fragmented national contexts like Italy, where regional disparities are deeply entrenched and highly relevant to the migration-development nexus.</w:t>
      </w:r>
    </w:p>
    <w:p w14:paraId="3895A735" w14:textId="493B5F55" w:rsidR="00275F5E" w:rsidRDefault="00E22236" w:rsidP="004352F4">
      <w:pPr>
        <w:pStyle w:val="p1"/>
        <w:spacing w:line="360" w:lineRule="auto"/>
        <w:jc w:val="both"/>
        <w:rPr>
          <w:lang w:val="en-US"/>
        </w:rPr>
      </w:pPr>
      <w:r>
        <w:rPr>
          <w:lang w:val="en-US"/>
        </w:rPr>
        <w:t>A</w:t>
      </w:r>
      <w:r w:rsidR="00E37BB5">
        <w:rPr>
          <w:lang w:val="en-US"/>
        </w:rPr>
        <w:t>ppendix</w:t>
      </w:r>
    </w:p>
    <w:p w14:paraId="433A71AA" w14:textId="01B475A6" w:rsidR="00E22236" w:rsidRDefault="00E22236" w:rsidP="004352F4">
      <w:pPr>
        <w:pStyle w:val="p1"/>
        <w:spacing w:line="360" w:lineRule="auto"/>
        <w:jc w:val="both"/>
        <w:rPr>
          <w:lang w:val="en-US"/>
        </w:rPr>
      </w:pPr>
      <w:r>
        <w:rPr>
          <w:lang w:val="en-US"/>
        </w:rPr>
        <w:t>Figure 5</w:t>
      </w:r>
      <w:r w:rsidR="001A3F68">
        <w:rPr>
          <w:lang w:val="en-US"/>
        </w:rPr>
        <w:t>. Fertility</w:t>
      </w:r>
      <w:r w:rsidR="001A3F68" w:rsidRPr="000D36DF">
        <w:rPr>
          <w:lang w:val="en-US"/>
        </w:rPr>
        <w:t xml:space="preserve"> trend for regions </w:t>
      </w:r>
      <w:r w:rsidR="001A3F68">
        <w:rPr>
          <w:lang w:val="en-US"/>
        </w:rPr>
        <w:t>from</w:t>
      </w:r>
      <w:r w:rsidR="001A3F68" w:rsidRPr="000D36DF">
        <w:rPr>
          <w:lang w:val="en-US"/>
        </w:rPr>
        <w:t xml:space="preserve"> 2000 to 2023</w:t>
      </w:r>
      <w:r w:rsidR="001A3F68">
        <w:rPr>
          <w:lang w:val="en-US"/>
        </w:rPr>
        <w:t>.</w:t>
      </w:r>
    </w:p>
    <w:p w14:paraId="70084DDF" w14:textId="2099B75D" w:rsidR="001A3F68" w:rsidRDefault="001A3F68" w:rsidP="004352F4">
      <w:pPr>
        <w:pStyle w:val="p1"/>
        <w:spacing w:line="360" w:lineRule="auto"/>
        <w:jc w:val="both"/>
        <w:rPr>
          <w:lang w:val="en-US"/>
        </w:rPr>
      </w:pPr>
      <w:r>
        <w:rPr>
          <w:noProof/>
          <w:lang w:val="en-US"/>
        </w:rPr>
        <w:lastRenderedPageBreak/>
        <w:drawing>
          <wp:inline distT="0" distB="0" distL="0" distR="0" wp14:anchorId="441C375D" wp14:editId="69CFCD02">
            <wp:extent cx="6120130" cy="4450715"/>
            <wp:effectExtent l="0" t="0" r="1270" b="0"/>
            <wp:docPr id="8" name="Immagine 8" descr="Immagine che contiene testo, linea, calligrafi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 linea, calligrafia, ricevuta&#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6A175961" w14:textId="1CCCCE2F" w:rsidR="001A3F68" w:rsidRDefault="001A3F68" w:rsidP="004352F4">
      <w:pPr>
        <w:pStyle w:val="p1"/>
        <w:spacing w:line="360" w:lineRule="auto"/>
        <w:jc w:val="both"/>
        <w:rPr>
          <w:lang w:val="en-US"/>
        </w:rPr>
      </w:pPr>
    </w:p>
    <w:p w14:paraId="780EA2C9" w14:textId="6487DE52" w:rsidR="001A3F68" w:rsidRDefault="001A3F68" w:rsidP="004352F4">
      <w:pPr>
        <w:pStyle w:val="p1"/>
        <w:spacing w:line="360" w:lineRule="auto"/>
        <w:jc w:val="both"/>
        <w:rPr>
          <w:lang w:val="en-US"/>
        </w:rPr>
      </w:pPr>
    </w:p>
    <w:p w14:paraId="2B8F683D" w14:textId="77777777" w:rsidR="001A3F68" w:rsidRDefault="001A3F68" w:rsidP="001A3F68">
      <w:pPr>
        <w:pStyle w:val="p1"/>
        <w:spacing w:line="360" w:lineRule="auto"/>
        <w:jc w:val="both"/>
        <w:rPr>
          <w:lang w:val="en-US"/>
        </w:rPr>
      </w:pPr>
    </w:p>
    <w:p w14:paraId="5CC371D9" w14:textId="77777777" w:rsidR="001A3F68" w:rsidRDefault="001A3F68" w:rsidP="001A3F68">
      <w:pPr>
        <w:pStyle w:val="p1"/>
        <w:spacing w:line="360" w:lineRule="auto"/>
        <w:jc w:val="both"/>
        <w:rPr>
          <w:lang w:val="en-US"/>
        </w:rPr>
      </w:pPr>
    </w:p>
    <w:p w14:paraId="294D8AEE" w14:textId="77777777" w:rsidR="001A3F68" w:rsidRDefault="001A3F68" w:rsidP="001A3F68">
      <w:pPr>
        <w:pStyle w:val="p1"/>
        <w:spacing w:line="360" w:lineRule="auto"/>
        <w:jc w:val="both"/>
        <w:rPr>
          <w:lang w:val="en-US"/>
        </w:rPr>
      </w:pPr>
    </w:p>
    <w:p w14:paraId="4B68DFCE" w14:textId="0C21A49B" w:rsidR="001A3F68" w:rsidRDefault="001A3F68" w:rsidP="004352F4">
      <w:pPr>
        <w:pStyle w:val="p1"/>
        <w:spacing w:line="360" w:lineRule="auto"/>
        <w:jc w:val="both"/>
        <w:rPr>
          <w:lang w:val="en-US"/>
        </w:rPr>
      </w:pPr>
      <w:r>
        <w:rPr>
          <w:lang w:val="en-US"/>
        </w:rPr>
        <w:t>Figure 6. Fertility</w:t>
      </w:r>
      <w:r w:rsidRPr="000D36DF">
        <w:rPr>
          <w:lang w:val="en-US"/>
        </w:rPr>
        <w:t xml:space="preserve"> trend for regions </w:t>
      </w:r>
      <w:r>
        <w:rPr>
          <w:lang w:val="en-US"/>
        </w:rPr>
        <w:t>from</w:t>
      </w:r>
      <w:r w:rsidRPr="000D36DF">
        <w:rPr>
          <w:lang w:val="en-US"/>
        </w:rPr>
        <w:t xml:space="preserve"> 2000 to 2023</w:t>
      </w:r>
      <w:r>
        <w:rPr>
          <w:lang w:val="en-US"/>
        </w:rPr>
        <w:t>.</w:t>
      </w:r>
    </w:p>
    <w:p w14:paraId="5FCAE4F9" w14:textId="1F57737E" w:rsidR="00E22236" w:rsidRDefault="001A3F68" w:rsidP="004352F4">
      <w:pPr>
        <w:pStyle w:val="p1"/>
        <w:spacing w:line="360" w:lineRule="auto"/>
        <w:jc w:val="both"/>
        <w:rPr>
          <w:lang w:val="en-US"/>
        </w:rPr>
      </w:pPr>
      <w:r>
        <w:rPr>
          <w:noProof/>
          <w:lang w:val="en-US"/>
        </w:rPr>
        <w:lastRenderedPageBreak/>
        <w:drawing>
          <wp:inline distT="0" distB="0" distL="0" distR="0" wp14:anchorId="78F65F78" wp14:editId="33DDF5B5">
            <wp:extent cx="6120130" cy="4450715"/>
            <wp:effectExtent l="0" t="0" r="1270" b="0"/>
            <wp:docPr id="2" name="Immagine 2" descr="Immagine che contiene testo, ricevut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ricevuta, schermata, Carattere&#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4DC3DB4E" w14:textId="52A48225" w:rsidR="001A3F68" w:rsidRDefault="001A3F68" w:rsidP="001A3F68">
      <w:pPr>
        <w:pStyle w:val="p1"/>
        <w:spacing w:line="360" w:lineRule="auto"/>
        <w:jc w:val="both"/>
        <w:rPr>
          <w:lang w:val="en-US"/>
        </w:rPr>
      </w:pPr>
      <w:r>
        <w:rPr>
          <w:lang w:val="en-US"/>
        </w:rPr>
        <w:t xml:space="preserve">Figure 7. Life expectancy </w:t>
      </w:r>
      <w:r w:rsidRPr="000D36DF">
        <w:rPr>
          <w:lang w:val="en-US"/>
        </w:rPr>
        <w:t xml:space="preserve">trend for regions </w:t>
      </w:r>
      <w:r>
        <w:rPr>
          <w:lang w:val="en-US"/>
        </w:rPr>
        <w:t>from</w:t>
      </w:r>
      <w:r w:rsidRPr="000D36DF">
        <w:rPr>
          <w:lang w:val="en-US"/>
        </w:rPr>
        <w:t xml:space="preserve"> 2000 to 2023</w:t>
      </w:r>
      <w:r>
        <w:rPr>
          <w:lang w:val="en-US"/>
        </w:rPr>
        <w:t>.</w:t>
      </w:r>
    </w:p>
    <w:p w14:paraId="1C8B7379" w14:textId="6527E96F" w:rsidR="00275F5E" w:rsidRDefault="00275F5E" w:rsidP="004352F4">
      <w:pPr>
        <w:pStyle w:val="p1"/>
        <w:spacing w:line="360" w:lineRule="auto"/>
        <w:jc w:val="both"/>
        <w:rPr>
          <w:lang w:val="en-US"/>
        </w:rPr>
      </w:pPr>
    </w:p>
    <w:p w14:paraId="47332882" w14:textId="7FCFE600" w:rsidR="001A3F68" w:rsidRDefault="001A3F68" w:rsidP="004352F4">
      <w:pPr>
        <w:pStyle w:val="p1"/>
        <w:spacing w:line="360" w:lineRule="auto"/>
        <w:jc w:val="both"/>
        <w:rPr>
          <w:lang w:val="en-US"/>
        </w:rPr>
      </w:pPr>
      <w:r>
        <w:rPr>
          <w:noProof/>
          <w:lang w:val="en-US"/>
        </w:rPr>
        <w:lastRenderedPageBreak/>
        <w:drawing>
          <wp:inline distT="0" distB="0" distL="0" distR="0" wp14:anchorId="035E0E52" wp14:editId="41E05DEB">
            <wp:extent cx="6120130" cy="4450715"/>
            <wp:effectExtent l="0" t="0" r="1270" b="0"/>
            <wp:docPr id="6" name="Immagine 6" descr="Immagine che contiene testo, ricevut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testo, ricevuta, linea, schermata&#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65B77EC4" w14:textId="4B870D47" w:rsidR="001A3F68" w:rsidRDefault="001A3F68" w:rsidP="004352F4">
      <w:pPr>
        <w:pStyle w:val="p1"/>
        <w:spacing w:line="360" w:lineRule="auto"/>
        <w:jc w:val="both"/>
        <w:rPr>
          <w:lang w:val="en-US"/>
        </w:rPr>
      </w:pPr>
    </w:p>
    <w:p w14:paraId="4E356CA3" w14:textId="77777777" w:rsidR="001A3F68" w:rsidRDefault="001A3F68" w:rsidP="001A3F68">
      <w:pPr>
        <w:pStyle w:val="p1"/>
        <w:spacing w:line="360" w:lineRule="auto"/>
        <w:jc w:val="both"/>
        <w:rPr>
          <w:lang w:val="en-US"/>
        </w:rPr>
      </w:pPr>
    </w:p>
    <w:p w14:paraId="6B059673" w14:textId="77777777" w:rsidR="001A3F68" w:rsidRDefault="001A3F68" w:rsidP="001A3F68">
      <w:pPr>
        <w:pStyle w:val="p1"/>
        <w:spacing w:line="360" w:lineRule="auto"/>
        <w:jc w:val="both"/>
        <w:rPr>
          <w:lang w:val="en-US"/>
        </w:rPr>
      </w:pPr>
    </w:p>
    <w:p w14:paraId="7E595A3E" w14:textId="77777777" w:rsidR="001A3F68" w:rsidRDefault="001A3F68" w:rsidP="001A3F68">
      <w:pPr>
        <w:pStyle w:val="p1"/>
        <w:spacing w:line="360" w:lineRule="auto"/>
        <w:jc w:val="both"/>
        <w:rPr>
          <w:lang w:val="en-US"/>
        </w:rPr>
      </w:pPr>
    </w:p>
    <w:p w14:paraId="147DCA62" w14:textId="77777777" w:rsidR="001A3F68" w:rsidRDefault="001A3F68" w:rsidP="001A3F68">
      <w:pPr>
        <w:pStyle w:val="p1"/>
        <w:spacing w:line="360" w:lineRule="auto"/>
        <w:jc w:val="both"/>
        <w:rPr>
          <w:lang w:val="en-US"/>
        </w:rPr>
      </w:pPr>
    </w:p>
    <w:p w14:paraId="32D35CD2" w14:textId="77777777" w:rsidR="001A3F68" w:rsidRDefault="001A3F68" w:rsidP="001A3F68">
      <w:pPr>
        <w:pStyle w:val="p1"/>
        <w:spacing w:line="360" w:lineRule="auto"/>
        <w:jc w:val="both"/>
        <w:rPr>
          <w:lang w:val="en-US"/>
        </w:rPr>
      </w:pPr>
    </w:p>
    <w:p w14:paraId="261F9F30" w14:textId="77777777" w:rsidR="001A3F68" w:rsidRDefault="001A3F68" w:rsidP="001A3F68">
      <w:pPr>
        <w:pStyle w:val="p1"/>
        <w:spacing w:line="360" w:lineRule="auto"/>
        <w:jc w:val="both"/>
        <w:rPr>
          <w:lang w:val="en-US"/>
        </w:rPr>
      </w:pPr>
    </w:p>
    <w:p w14:paraId="4F21FA8A" w14:textId="77777777" w:rsidR="001A3F68" w:rsidRDefault="001A3F68" w:rsidP="001A3F68">
      <w:pPr>
        <w:pStyle w:val="p1"/>
        <w:spacing w:line="360" w:lineRule="auto"/>
        <w:jc w:val="both"/>
        <w:rPr>
          <w:lang w:val="en-US"/>
        </w:rPr>
      </w:pPr>
    </w:p>
    <w:p w14:paraId="2E2DB12E" w14:textId="77777777" w:rsidR="001A3F68" w:rsidRDefault="001A3F68" w:rsidP="001A3F68">
      <w:pPr>
        <w:pStyle w:val="p1"/>
        <w:spacing w:line="360" w:lineRule="auto"/>
        <w:jc w:val="both"/>
        <w:rPr>
          <w:lang w:val="en-US"/>
        </w:rPr>
      </w:pPr>
    </w:p>
    <w:p w14:paraId="6C53EECA" w14:textId="77777777" w:rsidR="001A3F68" w:rsidRDefault="001A3F68" w:rsidP="001A3F68">
      <w:pPr>
        <w:pStyle w:val="p1"/>
        <w:spacing w:line="360" w:lineRule="auto"/>
        <w:jc w:val="both"/>
        <w:rPr>
          <w:lang w:val="en-US"/>
        </w:rPr>
      </w:pPr>
    </w:p>
    <w:p w14:paraId="17154219" w14:textId="42BC2E5D" w:rsidR="001A3F68" w:rsidRDefault="001A3F68" w:rsidP="004352F4">
      <w:pPr>
        <w:pStyle w:val="p1"/>
        <w:spacing w:line="360" w:lineRule="auto"/>
        <w:jc w:val="both"/>
        <w:rPr>
          <w:lang w:val="en-US"/>
        </w:rPr>
      </w:pPr>
      <w:r>
        <w:rPr>
          <w:lang w:val="en-US"/>
        </w:rPr>
        <w:lastRenderedPageBreak/>
        <w:t>Figure 8. Unemployment</w:t>
      </w:r>
      <w:r w:rsidRPr="000D36DF">
        <w:rPr>
          <w:lang w:val="en-US"/>
        </w:rPr>
        <w:t xml:space="preserve"> trend for regions </w:t>
      </w:r>
      <w:r>
        <w:rPr>
          <w:lang w:val="en-US"/>
        </w:rPr>
        <w:t>from</w:t>
      </w:r>
      <w:r w:rsidRPr="000D36DF">
        <w:rPr>
          <w:lang w:val="en-US"/>
        </w:rPr>
        <w:t xml:space="preserve"> 2000 to 2023</w:t>
      </w:r>
      <w:r>
        <w:rPr>
          <w:lang w:val="en-US"/>
        </w:rPr>
        <w:t>.</w:t>
      </w:r>
    </w:p>
    <w:p w14:paraId="43C02223" w14:textId="289C6A97" w:rsidR="001A3F68" w:rsidRDefault="001A3F68" w:rsidP="004352F4">
      <w:pPr>
        <w:pStyle w:val="p1"/>
        <w:spacing w:line="360" w:lineRule="auto"/>
        <w:jc w:val="both"/>
        <w:rPr>
          <w:lang w:val="en-US"/>
        </w:rPr>
      </w:pPr>
      <w:r>
        <w:rPr>
          <w:noProof/>
          <w:lang w:val="en-US"/>
        </w:rPr>
        <w:drawing>
          <wp:inline distT="0" distB="0" distL="0" distR="0" wp14:anchorId="789276A6" wp14:editId="662B1C97">
            <wp:extent cx="6120130" cy="4450715"/>
            <wp:effectExtent l="0" t="0" r="1270" b="0"/>
            <wp:docPr id="9" name="Immagine 9" descr="Immagine che contiene testo, ricevut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testo, ricevuta, schermata, linea&#10;&#10;Descrizione generat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2D2CB65D" w14:textId="6B4EA27B" w:rsidR="001A3F68" w:rsidRDefault="001A3F68" w:rsidP="001A3F68">
      <w:pPr>
        <w:pStyle w:val="p1"/>
        <w:spacing w:line="360" w:lineRule="auto"/>
        <w:jc w:val="both"/>
        <w:rPr>
          <w:lang w:val="en-US"/>
        </w:rPr>
      </w:pPr>
      <w:r>
        <w:rPr>
          <w:lang w:val="en-US"/>
        </w:rPr>
        <w:t>Figure 9. Long-Term Unemployment</w:t>
      </w:r>
      <w:r w:rsidRPr="000D36DF">
        <w:rPr>
          <w:lang w:val="en-US"/>
        </w:rPr>
        <w:t xml:space="preserve"> trend for regions </w:t>
      </w:r>
      <w:r>
        <w:rPr>
          <w:lang w:val="en-US"/>
        </w:rPr>
        <w:t>from</w:t>
      </w:r>
      <w:r w:rsidRPr="000D36DF">
        <w:rPr>
          <w:lang w:val="en-US"/>
        </w:rPr>
        <w:t xml:space="preserve"> 2000 to 2023</w:t>
      </w:r>
    </w:p>
    <w:p w14:paraId="13B1F5BB" w14:textId="77777777" w:rsidR="001A3F68" w:rsidRPr="004352F4" w:rsidRDefault="001A3F68" w:rsidP="004352F4">
      <w:pPr>
        <w:pStyle w:val="p1"/>
        <w:spacing w:line="360" w:lineRule="auto"/>
        <w:jc w:val="both"/>
        <w:rPr>
          <w:lang w:val="en-US"/>
        </w:rPr>
      </w:pPr>
    </w:p>
    <w:p w14:paraId="5E739EC5" w14:textId="420BC55D" w:rsidR="004352F4" w:rsidRPr="004352F4" w:rsidRDefault="001A3F68" w:rsidP="000364BC">
      <w:pPr>
        <w:pStyle w:val="p1"/>
        <w:spacing w:line="360" w:lineRule="auto"/>
        <w:jc w:val="both"/>
        <w:rPr>
          <w:lang w:val="en-US"/>
        </w:rPr>
      </w:pPr>
      <w:r>
        <w:rPr>
          <w:noProof/>
          <w:lang w:val="en-US"/>
        </w:rPr>
        <w:lastRenderedPageBreak/>
        <w:drawing>
          <wp:inline distT="0" distB="0" distL="0" distR="0" wp14:anchorId="589F681C" wp14:editId="64FDF99C">
            <wp:extent cx="6120130" cy="4450715"/>
            <wp:effectExtent l="0" t="0" r="1270" b="0"/>
            <wp:docPr id="7" name="Immagine 7" descr="Immagine che contiene testo, ricevu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testo, ricevuta, linea, diagramma&#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51E9E08E" w14:textId="77777777" w:rsidR="00FB68D7" w:rsidRDefault="00FB68D7" w:rsidP="000364BC">
      <w:pPr>
        <w:pStyle w:val="p1"/>
        <w:spacing w:line="360" w:lineRule="auto"/>
        <w:jc w:val="both"/>
        <w:rPr>
          <w:lang w:val="en-US"/>
        </w:rPr>
      </w:pPr>
    </w:p>
    <w:p w14:paraId="65D7C6C1" w14:textId="77777777" w:rsidR="00A966CB" w:rsidRDefault="00A966CB" w:rsidP="00243D9C">
      <w:pPr>
        <w:pStyle w:val="p1"/>
        <w:spacing w:line="360" w:lineRule="auto"/>
        <w:jc w:val="both"/>
        <w:rPr>
          <w:lang w:val="en-US"/>
        </w:rPr>
      </w:pPr>
    </w:p>
    <w:p w14:paraId="2FEB877D" w14:textId="77777777" w:rsidR="00A966CB" w:rsidRDefault="00A966CB" w:rsidP="00243D9C">
      <w:pPr>
        <w:pStyle w:val="p1"/>
        <w:spacing w:line="360" w:lineRule="auto"/>
        <w:jc w:val="both"/>
        <w:rPr>
          <w:lang w:val="en-US"/>
        </w:rPr>
      </w:pPr>
    </w:p>
    <w:p w14:paraId="5B96CFB5" w14:textId="77777777" w:rsidR="00862D5F" w:rsidRDefault="00862D5F" w:rsidP="001A3F68">
      <w:pPr>
        <w:pStyle w:val="p1"/>
        <w:spacing w:line="360" w:lineRule="auto"/>
        <w:jc w:val="both"/>
        <w:rPr>
          <w:lang w:val="en-US"/>
        </w:rPr>
      </w:pPr>
    </w:p>
    <w:p w14:paraId="192DF125" w14:textId="77777777" w:rsidR="00862D5F" w:rsidRDefault="00862D5F" w:rsidP="001A3F68">
      <w:pPr>
        <w:pStyle w:val="p1"/>
        <w:spacing w:line="360" w:lineRule="auto"/>
        <w:jc w:val="both"/>
        <w:rPr>
          <w:lang w:val="en-US"/>
        </w:rPr>
      </w:pPr>
    </w:p>
    <w:p w14:paraId="2448F073" w14:textId="77777777" w:rsidR="00862D5F" w:rsidRDefault="00862D5F" w:rsidP="001A3F68">
      <w:pPr>
        <w:pStyle w:val="p1"/>
        <w:spacing w:line="360" w:lineRule="auto"/>
        <w:jc w:val="both"/>
        <w:rPr>
          <w:lang w:val="en-US"/>
        </w:rPr>
      </w:pPr>
    </w:p>
    <w:p w14:paraId="52797202" w14:textId="77777777" w:rsidR="00862D5F" w:rsidRDefault="00862D5F" w:rsidP="001A3F68">
      <w:pPr>
        <w:pStyle w:val="p1"/>
        <w:spacing w:line="360" w:lineRule="auto"/>
        <w:jc w:val="both"/>
        <w:rPr>
          <w:lang w:val="en-US"/>
        </w:rPr>
      </w:pPr>
    </w:p>
    <w:p w14:paraId="5E8454A5" w14:textId="77777777" w:rsidR="00862D5F" w:rsidRDefault="00862D5F" w:rsidP="001A3F68">
      <w:pPr>
        <w:pStyle w:val="p1"/>
        <w:spacing w:line="360" w:lineRule="auto"/>
        <w:jc w:val="both"/>
        <w:rPr>
          <w:lang w:val="en-US"/>
        </w:rPr>
      </w:pPr>
    </w:p>
    <w:p w14:paraId="1F9B84AF" w14:textId="77777777" w:rsidR="00862D5F" w:rsidRDefault="00862D5F" w:rsidP="001A3F68">
      <w:pPr>
        <w:pStyle w:val="p1"/>
        <w:spacing w:line="360" w:lineRule="auto"/>
        <w:jc w:val="both"/>
        <w:rPr>
          <w:lang w:val="en-US"/>
        </w:rPr>
      </w:pPr>
    </w:p>
    <w:p w14:paraId="5F878385" w14:textId="77777777" w:rsidR="00862D5F" w:rsidRDefault="00862D5F" w:rsidP="001A3F68">
      <w:pPr>
        <w:pStyle w:val="p1"/>
        <w:spacing w:line="360" w:lineRule="auto"/>
        <w:jc w:val="both"/>
        <w:rPr>
          <w:lang w:val="en-US"/>
        </w:rPr>
      </w:pPr>
    </w:p>
    <w:p w14:paraId="33F35B47" w14:textId="1EC827B2" w:rsidR="00243D9C" w:rsidRPr="00A966CB" w:rsidRDefault="001A3F68" w:rsidP="00243D9C">
      <w:pPr>
        <w:pStyle w:val="p1"/>
        <w:spacing w:line="360" w:lineRule="auto"/>
        <w:jc w:val="both"/>
        <w:rPr>
          <w:lang w:val="en-US"/>
        </w:rPr>
      </w:pPr>
      <w:r>
        <w:rPr>
          <w:lang w:val="en-US"/>
        </w:rPr>
        <w:lastRenderedPageBreak/>
        <w:t xml:space="preserve">Figure </w:t>
      </w:r>
      <w:r w:rsidR="00862D5F">
        <w:rPr>
          <w:lang w:val="en-US"/>
        </w:rPr>
        <w:t>10</w:t>
      </w:r>
      <w:r>
        <w:rPr>
          <w:lang w:val="en-US"/>
        </w:rPr>
        <w:t>. De</w:t>
      </w:r>
      <w:r w:rsidR="00862D5F">
        <w:rPr>
          <w:lang w:val="en-US"/>
        </w:rPr>
        <w:t>nsity of the Population</w:t>
      </w:r>
      <w:r w:rsidRPr="000D36DF">
        <w:rPr>
          <w:lang w:val="en-US"/>
        </w:rPr>
        <w:t xml:space="preserve"> trend for regions </w:t>
      </w:r>
      <w:r>
        <w:rPr>
          <w:lang w:val="en-US"/>
        </w:rPr>
        <w:t>from</w:t>
      </w:r>
      <w:r w:rsidRPr="000D36DF">
        <w:rPr>
          <w:lang w:val="en-US"/>
        </w:rPr>
        <w:t xml:space="preserve"> 2000 to 2023</w:t>
      </w:r>
      <w:r w:rsidR="00862D5F">
        <w:rPr>
          <w:lang w:val="en-US"/>
        </w:rPr>
        <w:t>.</w:t>
      </w:r>
    </w:p>
    <w:p w14:paraId="49600A4E" w14:textId="1C35C0FD" w:rsidR="00243D9C" w:rsidRPr="00A966CB" w:rsidRDefault="001A3F68" w:rsidP="00243D9C">
      <w:pPr>
        <w:pStyle w:val="p1"/>
        <w:spacing w:line="360" w:lineRule="auto"/>
        <w:jc w:val="both"/>
        <w:rPr>
          <w:lang w:val="en-US"/>
        </w:rPr>
      </w:pPr>
      <w:r>
        <w:rPr>
          <w:noProof/>
          <w:lang w:val="en-US"/>
        </w:rPr>
        <w:drawing>
          <wp:inline distT="0" distB="0" distL="0" distR="0" wp14:anchorId="5539627B" wp14:editId="3155969E">
            <wp:extent cx="6120130" cy="4450715"/>
            <wp:effectExtent l="0" t="0" r="1270" b="0"/>
            <wp:docPr id="10" name="Immagine 10" descr="Immagine che contiene testo, ricevuta,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Immagine che contiene testo, ricevuta, calligrafia&#10;&#10;Descrizione generat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4450715"/>
                    </a:xfrm>
                    <a:prstGeom prst="rect">
                      <a:avLst/>
                    </a:prstGeom>
                  </pic:spPr>
                </pic:pic>
              </a:graphicData>
            </a:graphic>
          </wp:inline>
        </w:drawing>
      </w:r>
    </w:p>
    <w:p w14:paraId="34085B78" w14:textId="77777777" w:rsidR="00243D9C" w:rsidRPr="00243D9C" w:rsidRDefault="00243D9C" w:rsidP="00243D9C">
      <w:pPr>
        <w:pStyle w:val="p1"/>
        <w:spacing w:line="360" w:lineRule="auto"/>
        <w:jc w:val="both"/>
        <w:rPr>
          <w:lang w:val="en-US"/>
        </w:rPr>
      </w:pPr>
    </w:p>
    <w:p w14:paraId="51A752AF" w14:textId="77777777" w:rsidR="00243D9C" w:rsidRPr="00A966CB" w:rsidRDefault="00243D9C" w:rsidP="00243D9C">
      <w:pPr>
        <w:pStyle w:val="p1"/>
        <w:jc w:val="both"/>
        <w:rPr>
          <w:lang w:val="en-US"/>
        </w:rPr>
      </w:pPr>
    </w:p>
    <w:p w14:paraId="00639BDF" w14:textId="77777777" w:rsidR="00243D9C" w:rsidRPr="00A966CB" w:rsidRDefault="00243D9C" w:rsidP="006E4E1B">
      <w:pPr>
        <w:pStyle w:val="p1"/>
        <w:rPr>
          <w:lang w:val="en-US"/>
        </w:rPr>
      </w:pPr>
    </w:p>
    <w:p w14:paraId="44F8664B" w14:textId="77777777" w:rsidR="00B30158" w:rsidRPr="00A966CB" w:rsidRDefault="00B30158" w:rsidP="006E4E1B">
      <w:pPr>
        <w:pStyle w:val="p1"/>
        <w:rPr>
          <w:lang w:val="en-US"/>
        </w:rPr>
      </w:pPr>
    </w:p>
    <w:p w14:paraId="70FEED2D" w14:textId="77777777" w:rsidR="00B30158" w:rsidRPr="00A966CB" w:rsidRDefault="00B30158" w:rsidP="006E4E1B">
      <w:pPr>
        <w:rPr>
          <w:lang w:val="en-US"/>
        </w:rPr>
      </w:pPr>
    </w:p>
    <w:p w14:paraId="1DE861E3" w14:textId="77777777" w:rsidR="00B30158" w:rsidRPr="00A966CB" w:rsidRDefault="00B30158" w:rsidP="006E4E1B">
      <w:pPr>
        <w:rPr>
          <w:lang w:val="en-US"/>
        </w:rPr>
      </w:pPr>
    </w:p>
    <w:p w14:paraId="5880A3E3" w14:textId="77777777" w:rsidR="00B30158" w:rsidRPr="00A966CB" w:rsidRDefault="00B30158" w:rsidP="006E4E1B">
      <w:pPr>
        <w:rPr>
          <w:lang w:val="en-US"/>
        </w:rPr>
      </w:pPr>
    </w:p>
    <w:p w14:paraId="0646F686" w14:textId="77777777" w:rsidR="00B30158" w:rsidRPr="00A966CB" w:rsidRDefault="00B30158" w:rsidP="006E4E1B">
      <w:pPr>
        <w:rPr>
          <w:lang w:val="en-US"/>
        </w:rPr>
      </w:pPr>
    </w:p>
    <w:p w14:paraId="2F345BE0" w14:textId="77777777" w:rsidR="00B30158" w:rsidRPr="00A966CB" w:rsidRDefault="00B30158" w:rsidP="006E4E1B">
      <w:pPr>
        <w:rPr>
          <w:lang w:val="en-US"/>
        </w:rPr>
      </w:pPr>
    </w:p>
    <w:p w14:paraId="458A6746" w14:textId="77777777" w:rsidR="00987AD8" w:rsidRDefault="00987AD8" w:rsidP="006E4E1B">
      <w:pPr>
        <w:rPr>
          <w:lang w:val="en-US"/>
        </w:rPr>
      </w:pPr>
    </w:p>
    <w:p w14:paraId="1B11BD13" w14:textId="77777777" w:rsidR="00A55F0E" w:rsidRDefault="00A55F0E" w:rsidP="006E4E1B">
      <w:pPr>
        <w:rPr>
          <w:rFonts w:ascii="Times New Roman" w:hAnsi="Times New Roman" w:cs="Times New Roman"/>
          <w:lang w:val="en-US"/>
        </w:rPr>
      </w:pPr>
    </w:p>
    <w:p w14:paraId="1F15ECD6" w14:textId="77777777" w:rsidR="00A55F0E" w:rsidRDefault="00A55F0E" w:rsidP="006E4E1B">
      <w:pPr>
        <w:rPr>
          <w:rFonts w:ascii="Times New Roman" w:hAnsi="Times New Roman" w:cs="Times New Roman"/>
          <w:lang w:val="en-US"/>
        </w:rPr>
      </w:pPr>
    </w:p>
    <w:p w14:paraId="5022184D" w14:textId="77777777" w:rsidR="00A55F0E" w:rsidRDefault="00A55F0E" w:rsidP="006E4E1B">
      <w:pPr>
        <w:rPr>
          <w:rFonts w:ascii="Times New Roman" w:hAnsi="Times New Roman" w:cs="Times New Roman"/>
          <w:lang w:val="en-US"/>
        </w:rPr>
      </w:pPr>
    </w:p>
    <w:p w14:paraId="1178BDC1" w14:textId="77777777" w:rsidR="00A55F0E" w:rsidRDefault="00A55F0E" w:rsidP="006E4E1B">
      <w:pPr>
        <w:rPr>
          <w:rFonts w:ascii="Times New Roman" w:hAnsi="Times New Roman" w:cs="Times New Roman"/>
          <w:lang w:val="en-US"/>
        </w:rPr>
      </w:pPr>
    </w:p>
    <w:p w14:paraId="04F25D60" w14:textId="77777777" w:rsidR="00A55F0E" w:rsidRDefault="00A55F0E" w:rsidP="006E4E1B">
      <w:pPr>
        <w:rPr>
          <w:rFonts w:ascii="Times New Roman" w:hAnsi="Times New Roman" w:cs="Times New Roman"/>
          <w:lang w:val="en-US"/>
        </w:rPr>
      </w:pPr>
    </w:p>
    <w:p w14:paraId="2F2EBA17" w14:textId="77777777" w:rsidR="00A55F0E" w:rsidRDefault="00A55F0E" w:rsidP="006E4E1B">
      <w:pPr>
        <w:rPr>
          <w:rFonts w:ascii="Times New Roman" w:hAnsi="Times New Roman" w:cs="Times New Roman"/>
          <w:lang w:val="en-US"/>
        </w:rPr>
      </w:pPr>
    </w:p>
    <w:p w14:paraId="74C081CA" w14:textId="77777777" w:rsidR="00E37BB5" w:rsidRDefault="00E37BB5" w:rsidP="006E4E1B">
      <w:pPr>
        <w:rPr>
          <w:rFonts w:ascii="Times New Roman" w:hAnsi="Times New Roman" w:cs="Times New Roman"/>
          <w:lang w:val="en-US"/>
        </w:rPr>
      </w:pPr>
    </w:p>
    <w:p w14:paraId="10248E3E" w14:textId="05C514ED" w:rsidR="00C11904" w:rsidRPr="00A55F0E" w:rsidRDefault="00B30158" w:rsidP="006E4E1B">
      <w:pPr>
        <w:rPr>
          <w:rFonts w:ascii="Times New Roman" w:hAnsi="Times New Roman" w:cs="Times New Roman"/>
          <w:lang w:val="en-US"/>
        </w:rPr>
      </w:pPr>
      <w:r w:rsidRPr="00A55F0E">
        <w:rPr>
          <w:rFonts w:ascii="Times New Roman" w:hAnsi="Times New Roman" w:cs="Times New Roman"/>
          <w:lang w:val="en-US"/>
        </w:rPr>
        <w:lastRenderedPageBreak/>
        <w:t xml:space="preserve">Bibliography </w:t>
      </w:r>
    </w:p>
    <w:p w14:paraId="293A25F1" w14:textId="36CE5BA7" w:rsidR="008C77DE" w:rsidRPr="00A55F0E" w:rsidRDefault="008C77DE" w:rsidP="006E4E1B">
      <w:pPr>
        <w:rPr>
          <w:rFonts w:ascii="Times New Roman" w:hAnsi="Times New Roman" w:cs="Times New Roman"/>
          <w:lang w:val="en-US"/>
        </w:rPr>
      </w:pPr>
    </w:p>
    <w:p w14:paraId="48EAE8C8" w14:textId="6EA5DDDB" w:rsidR="00D24166" w:rsidRPr="00D24166" w:rsidRDefault="00D24166" w:rsidP="00617637">
      <w:pPr>
        <w:pStyle w:val="NormaleWeb"/>
        <w:spacing w:line="360" w:lineRule="auto"/>
        <w:rPr>
          <w:color w:val="000000"/>
          <w:lang w:val="en-US"/>
        </w:rPr>
      </w:pPr>
      <w:r w:rsidRPr="00D24166">
        <w:rPr>
          <w:color w:val="000000"/>
          <w:lang w:val="en-US"/>
        </w:rPr>
        <w:t>Acemoglu, D., Aghion, P., &amp; Zilibotti, F. (2006). Distance to frontier, selection, and economic growth. </w:t>
      </w:r>
      <w:r w:rsidRPr="00D24166">
        <w:rPr>
          <w:i/>
          <w:iCs/>
          <w:color w:val="000000"/>
          <w:lang w:val="en-US"/>
        </w:rPr>
        <w:t>Journal of the European Economic Association, 4</w:t>
      </w:r>
      <w:r w:rsidRPr="00D24166">
        <w:rPr>
          <w:color w:val="000000"/>
          <w:lang w:val="en-US"/>
        </w:rPr>
        <w:t>(1), 37–74.</w:t>
      </w:r>
    </w:p>
    <w:p w14:paraId="1CD411D1" w14:textId="520CFEAC" w:rsidR="00D24166" w:rsidRPr="00D24166" w:rsidRDefault="00D24166" w:rsidP="00617637">
      <w:pPr>
        <w:pStyle w:val="NormaleWeb"/>
        <w:spacing w:line="360" w:lineRule="auto"/>
        <w:rPr>
          <w:color w:val="000000"/>
          <w:lang w:val="en-US"/>
        </w:rPr>
      </w:pPr>
      <w:r w:rsidRPr="00D24166">
        <w:rPr>
          <w:color w:val="000000"/>
          <w:lang w:val="en-US"/>
        </w:rPr>
        <w:t>Aghion, P., Boustan, L., Hoxby, C., &amp; Vadenbussche, J. (2005). Exploiting states’ mistakes to identify the causal impact of higher education on growth [NBER Working Paper].</w:t>
      </w:r>
    </w:p>
    <w:p w14:paraId="6730D0B5" w14:textId="382CAEF0" w:rsidR="00D24166" w:rsidRPr="00D24166" w:rsidRDefault="00D24166" w:rsidP="00617637">
      <w:pPr>
        <w:pStyle w:val="NormaleWeb"/>
        <w:spacing w:line="360" w:lineRule="auto"/>
        <w:rPr>
          <w:color w:val="000000"/>
          <w:lang w:val="en-US"/>
        </w:rPr>
      </w:pPr>
      <w:r w:rsidRPr="00D24166">
        <w:rPr>
          <w:color w:val="000000"/>
          <w:lang w:val="en-US"/>
        </w:rPr>
        <w:t>Aghion, P., Boustan, L., Hoxby, C., &amp; Vandenbussche, J. (2009). The causal impact of education on economic growth: Evidence from US. Harvard University, 1–73.</w:t>
      </w:r>
    </w:p>
    <w:p w14:paraId="26EF98FA" w14:textId="2F966851" w:rsidR="00D24166" w:rsidRPr="00D24166" w:rsidRDefault="00D24166" w:rsidP="00617637">
      <w:pPr>
        <w:pStyle w:val="NormaleWeb"/>
        <w:spacing w:line="360" w:lineRule="auto"/>
        <w:rPr>
          <w:color w:val="000000"/>
          <w:lang w:val="en-US"/>
        </w:rPr>
      </w:pPr>
      <w:r w:rsidRPr="00D24166">
        <w:rPr>
          <w:color w:val="000000"/>
          <w:lang w:val="en-US"/>
        </w:rPr>
        <w:t>Andersen, T. B., &amp; Dalgaard, C.-J. (2011). Flows of people, flows of ideas, and the inequality of nations. </w:t>
      </w:r>
      <w:r w:rsidRPr="00D24166">
        <w:rPr>
          <w:i/>
          <w:iCs/>
          <w:color w:val="000000"/>
          <w:lang w:val="en-US"/>
        </w:rPr>
        <w:t>Journal of Economic Growth, 16</w:t>
      </w:r>
      <w:r w:rsidRPr="00D24166">
        <w:rPr>
          <w:color w:val="000000"/>
          <w:lang w:val="en-US"/>
        </w:rPr>
        <w:t>(1), 1–32. https://doi.org/10.1007/s10887-011-9060-7</w:t>
      </w:r>
    </w:p>
    <w:p w14:paraId="51199346" w14:textId="38E7CC53" w:rsidR="00D24166" w:rsidRPr="00D24166" w:rsidRDefault="00D24166" w:rsidP="00617637">
      <w:pPr>
        <w:pStyle w:val="NormaleWeb"/>
        <w:spacing w:line="360" w:lineRule="auto"/>
        <w:rPr>
          <w:color w:val="000000"/>
          <w:lang w:val="en-US"/>
        </w:rPr>
      </w:pPr>
      <w:r w:rsidRPr="00D24166">
        <w:rPr>
          <w:color w:val="000000"/>
          <w:lang w:val="en-US"/>
        </w:rPr>
        <w:t>Angrist, J. D., &amp; Kugler, A. D. (2003). Protective or counter-productive? European labor market institutions and the effect of immigrants on EU natives. </w:t>
      </w:r>
      <w:r w:rsidRPr="00D24166">
        <w:rPr>
          <w:i/>
          <w:iCs/>
          <w:color w:val="000000"/>
          <w:lang w:val="en-US"/>
        </w:rPr>
        <w:t>The Economic Journal, 113</w:t>
      </w:r>
      <w:r w:rsidRPr="00D24166">
        <w:rPr>
          <w:color w:val="000000"/>
          <w:lang w:val="en-US"/>
        </w:rPr>
        <w:t>(488), F302–F331. https://doi.org/10.1111/1468-0297.00136</w:t>
      </w:r>
    </w:p>
    <w:p w14:paraId="25EBE52C" w14:textId="23CADF5E" w:rsidR="00D24166" w:rsidRPr="00D24166" w:rsidRDefault="00D24166" w:rsidP="00617637">
      <w:pPr>
        <w:pStyle w:val="NormaleWeb"/>
        <w:spacing w:line="360" w:lineRule="auto"/>
        <w:rPr>
          <w:color w:val="000000"/>
          <w:lang w:val="en-US"/>
        </w:rPr>
      </w:pPr>
      <w:r w:rsidRPr="00D24166">
        <w:rPr>
          <w:color w:val="000000"/>
          <w:lang w:val="en-US"/>
        </w:rPr>
        <w:t>ANPAL. (2023). https://www.lavoro.gov.it/temi-e-priorita-immigrazione/focus/sintesi-xiii-rapporto-mdl-stranieri-2023</w:t>
      </w:r>
    </w:p>
    <w:p w14:paraId="17C409F5" w14:textId="7E6FD853" w:rsidR="00D24166" w:rsidRPr="00D24166" w:rsidRDefault="00D24166" w:rsidP="00617637">
      <w:pPr>
        <w:pStyle w:val="NormaleWeb"/>
        <w:spacing w:line="360" w:lineRule="auto"/>
        <w:rPr>
          <w:color w:val="000000"/>
          <w:lang w:val="en-US"/>
        </w:rPr>
      </w:pPr>
      <w:r w:rsidRPr="00D24166">
        <w:rPr>
          <w:color w:val="000000"/>
          <w:lang w:val="en-US"/>
        </w:rPr>
        <w:t>ANSA. (2024). https://www.ansa.it/sito/notizie/economia/2024/06/26/istat-pil-pro-capite-del-nordovest-doppio-rispetto-al-sud_d3d33b08-3dc9-4a3f-b30a-aebd7f65f06a.html#:~:text=Nel%202022%2C%20ultimo%20anno%20per,Se</w:t>
      </w:r>
    </w:p>
    <w:p w14:paraId="6B731DF5" w14:textId="5592D611" w:rsidR="00D24166" w:rsidRPr="00D24166" w:rsidRDefault="00D24166" w:rsidP="00617637">
      <w:pPr>
        <w:pStyle w:val="NormaleWeb"/>
        <w:spacing w:line="360" w:lineRule="auto"/>
        <w:rPr>
          <w:color w:val="000000"/>
          <w:lang w:val="en-US"/>
        </w:rPr>
      </w:pPr>
      <w:r w:rsidRPr="00D24166">
        <w:rPr>
          <w:color w:val="000000"/>
          <w:lang w:val="en-US"/>
        </w:rPr>
        <w:t>Ashby, N. J. (2010). Freedom and international migration. </w:t>
      </w:r>
      <w:r w:rsidRPr="00D24166">
        <w:rPr>
          <w:i/>
          <w:iCs/>
          <w:color w:val="000000"/>
          <w:lang w:val="en-US"/>
        </w:rPr>
        <w:t>Southern Economic Journal, 77</w:t>
      </w:r>
      <w:r w:rsidRPr="00D24166">
        <w:rPr>
          <w:color w:val="000000"/>
          <w:lang w:val="en-US"/>
        </w:rPr>
        <w:t>(1), 49–62.</w:t>
      </w:r>
    </w:p>
    <w:p w14:paraId="58EE1073" w14:textId="7D2B3A7D" w:rsidR="00D24166" w:rsidRPr="00D24166" w:rsidRDefault="00D24166" w:rsidP="00617637">
      <w:pPr>
        <w:pStyle w:val="NormaleWeb"/>
        <w:spacing w:line="360" w:lineRule="auto"/>
        <w:rPr>
          <w:color w:val="000000"/>
          <w:lang w:val="en-US"/>
        </w:rPr>
      </w:pPr>
      <w:r w:rsidRPr="00D24166">
        <w:rPr>
          <w:color w:val="000000"/>
          <w:lang w:val="en-US"/>
        </w:rPr>
        <w:t>Barnett, V., &amp; Lewis, T. (1994). </w:t>
      </w:r>
      <w:r w:rsidRPr="00D24166">
        <w:rPr>
          <w:i/>
          <w:iCs/>
          <w:color w:val="000000"/>
          <w:lang w:val="en-US"/>
        </w:rPr>
        <w:t>Outliers in statistical data</w:t>
      </w:r>
      <w:r w:rsidRPr="00D24166">
        <w:rPr>
          <w:color w:val="000000"/>
          <w:lang w:val="en-US"/>
        </w:rPr>
        <w:t xml:space="preserve"> (3rd ed.). Chichester, UK: John Wiley &amp; Sons.</w:t>
      </w:r>
    </w:p>
    <w:p w14:paraId="72E1B96F" w14:textId="57F46350" w:rsidR="00D24166" w:rsidRPr="002B64BF" w:rsidRDefault="00D24166" w:rsidP="00617637">
      <w:pPr>
        <w:pStyle w:val="NormaleWeb"/>
        <w:spacing w:line="360" w:lineRule="auto"/>
        <w:rPr>
          <w:color w:val="000000"/>
          <w:lang w:val="en-US"/>
        </w:rPr>
      </w:pPr>
      <w:r w:rsidRPr="002B64BF">
        <w:rPr>
          <w:color w:val="000000"/>
          <w:lang w:val="en-US"/>
        </w:rPr>
        <w:t>Berardino, C., D’Ingiullo, D., Furia, D., &amp; Cartone, A. (2021). Immigration diversity and regional economic growth. </w:t>
      </w:r>
      <w:r w:rsidRPr="002B64BF">
        <w:rPr>
          <w:i/>
          <w:iCs/>
          <w:color w:val="000000"/>
          <w:lang w:val="en-US"/>
        </w:rPr>
        <w:t>Economia Politica, 38</w:t>
      </w:r>
      <w:r w:rsidRPr="002B64BF">
        <w:rPr>
          <w:color w:val="000000"/>
          <w:lang w:val="en-US"/>
        </w:rPr>
        <w:t>(3), 863–886. https://doi.org/10.1007/s40888-021-00226-8</w:t>
      </w:r>
    </w:p>
    <w:p w14:paraId="3BD6FB2C" w14:textId="2B54314F" w:rsidR="00D24166" w:rsidRPr="00D24166" w:rsidRDefault="00D24166" w:rsidP="00617637">
      <w:pPr>
        <w:pStyle w:val="NormaleWeb"/>
        <w:spacing w:line="360" w:lineRule="auto"/>
        <w:rPr>
          <w:color w:val="000000"/>
          <w:lang w:val="en-US"/>
        </w:rPr>
      </w:pPr>
      <w:r w:rsidRPr="00D24166">
        <w:rPr>
          <w:color w:val="000000"/>
          <w:lang w:val="en-US"/>
        </w:rPr>
        <w:t>Bodvarsson, Ö. B., &amp; Van den Berg, H. (2013). The economics of immigration. https://doi.org/10.1007/978-1-4614-2116-0</w:t>
      </w:r>
    </w:p>
    <w:p w14:paraId="49A14CE8" w14:textId="58C57CDE" w:rsidR="00D24166" w:rsidRPr="00D24166" w:rsidRDefault="00D24166" w:rsidP="00617637">
      <w:pPr>
        <w:pStyle w:val="NormaleWeb"/>
        <w:spacing w:line="360" w:lineRule="auto"/>
        <w:rPr>
          <w:color w:val="000000"/>
          <w:lang w:val="en-US"/>
        </w:rPr>
      </w:pPr>
      <w:r w:rsidRPr="00D24166">
        <w:rPr>
          <w:color w:val="000000"/>
          <w:lang w:val="en-US"/>
        </w:rPr>
        <w:lastRenderedPageBreak/>
        <w:t>Borjas, G. J. (2003). The labor demand curve. </w:t>
      </w:r>
      <w:r w:rsidRPr="00D24166">
        <w:rPr>
          <w:i/>
          <w:iCs/>
          <w:color w:val="000000"/>
          <w:lang w:val="en-US"/>
        </w:rPr>
        <w:t>Quarterly Journal of Economics, 118</w:t>
      </w:r>
      <w:r w:rsidRPr="00D24166">
        <w:rPr>
          <w:color w:val="000000"/>
          <w:lang w:val="en-US"/>
        </w:rPr>
        <w:t>(4), 1335–1374. https://doi.org/10.1162/003355303322552810</w:t>
      </w:r>
    </w:p>
    <w:p w14:paraId="2402FAE9" w14:textId="52105CD0" w:rsidR="00D24166" w:rsidRPr="00D24166" w:rsidRDefault="00D24166" w:rsidP="00617637">
      <w:pPr>
        <w:pStyle w:val="NormaleWeb"/>
        <w:spacing w:line="360" w:lineRule="auto"/>
        <w:rPr>
          <w:color w:val="000000"/>
          <w:lang w:val="en-US"/>
        </w:rPr>
      </w:pPr>
      <w:r w:rsidRPr="00D24166">
        <w:rPr>
          <w:color w:val="000000"/>
          <w:lang w:val="en-US"/>
        </w:rPr>
        <w:t>Borjas, G. J. (2017). The wage impact of the Marielitos: A reappraisal.</w:t>
      </w:r>
    </w:p>
    <w:p w14:paraId="11040A06" w14:textId="4081E3CD" w:rsidR="00D24166" w:rsidRPr="00D24166" w:rsidRDefault="00D24166" w:rsidP="00617637">
      <w:pPr>
        <w:pStyle w:val="NormaleWeb"/>
        <w:spacing w:line="360" w:lineRule="auto"/>
        <w:rPr>
          <w:color w:val="000000"/>
          <w:lang w:val="en-US"/>
        </w:rPr>
      </w:pPr>
      <w:r w:rsidRPr="00D24166">
        <w:rPr>
          <w:color w:val="000000"/>
          <w:lang w:val="en-US"/>
        </w:rPr>
        <w:t>Borjas, G. J. (2019). Immigration and economic growth. NBER Working Paper No. 25836. National Bureau of Economic Research.</w:t>
      </w:r>
    </w:p>
    <w:p w14:paraId="5E319EA3" w14:textId="2F36BDD1" w:rsidR="00D24166" w:rsidRPr="00D24166" w:rsidRDefault="00D24166" w:rsidP="00617637">
      <w:pPr>
        <w:pStyle w:val="NormaleWeb"/>
        <w:spacing w:line="360" w:lineRule="auto"/>
        <w:rPr>
          <w:color w:val="000000"/>
        </w:rPr>
      </w:pPr>
      <w:r w:rsidRPr="00D24166">
        <w:rPr>
          <w:color w:val="000000"/>
          <w:lang w:val="en-US"/>
        </w:rPr>
        <w:t xml:space="preserve">Brunow, S., Nijkamp, P., &amp; Poot, J. (2015). The impact of international migration on economic growth in the global economy. In B. R. Chiswick &amp; P. W. Miller (Eds.), </w:t>
      </w:r>
      <w:r w:rsidRPr="00D24166">
        <w:rPr>
          <w:i/>
          <w:iCs/>
          <w:color w:val="000000"/>
          <w:lang w:val="en-US"/>
        </w:rPr>
        <w:t>Handbook of the economics of international migration</w:t>
      </w:r>
      <w:r w:rsidRPr="00D24166">
        <w:rPr>
          <w:color w:val="000000"/>
          <w:lang w:val="en-US"/>
        </w:rPr>
        <w:t xml:space="preserve"> (Cap. 19). </w:t>
      </w:r>
      <w:r w:rsidRPr="00D24166">
        <w:rPr>
          <w:color w:val="000000"/>
        </w:rPr>
        <w:t>Publisher Name.</w:t>
      </w:r>
    </w:p>
    <w:p w14:paraId="79CA17BA" w14:textId="6B4E2037" w:rsidR="00D24166" w:rsidRPr="00D24166" w:rsidRDefault="00D24166" w:rsidP="00617637">
      <w:pPr>
        <w:pStyle w:val="NormaleWeb"/>
        <w:spacing w:line="360" w:lineRule="auto"/>
        <w:rPr>
          <w:color w:val="000000"/>
          <w:lang w:val="en-US"/>
        </w:rPr>
      </w:pPr>
      <w:r w:rsidRPr="00D24166">
        <w:rPr>
          <w:color w:val="000000"/>
        </w:rPr>
        <w:t xml:space="preserve">Bugamelli, M., et al. (2018). Quale può essere il contributo degli immigrati alla crescita economica in Italia? </w:t>
      </w:r>
      <w:r w:rsidRPr="00D24166">
        <w:rPr>
          <w:color w:val="000000"/>
          <w:lang w:val="en-US"/>
        </w:rPr>
        <w:t>Banca d’Italia Annual Report [as cited in Bonatti (2019)].</w:t>
      </w:r>
    </w:p>
    <w:p w14:paraId="05C1AFE2" w14:textId="7566295F" w:rsidR="00D24166" w:rsidRPr="00D24166" w:rsidRDefault="00D24166" w:rsidP="00617637">
      <w:pPr>
        <w:pStyle w:val="NormaleWeb"/>
        <w:spacing w:line="360" w:lineRule="auto"/>
        <w:rPr>
          <w:color w:val="000000"/>
          <w:lang w:val="en-US"/>
        </w:rPr>
      </w:pPr>
      <w:r w:rsidRPr="00D24166">
        <w:rPr>
          <w:color w:val="000000"/>
          <w:lang w:val="en-US"/>
        </w:rPr>
        <w:t>Boubtane, E., Coulibaly, D., &amp; Rault, C. (2013). Immigration, unemployment, and GDP in the host country: Bootstrap panel Granger causality analysis on OECD countries. </w:t>
      </w:r>
      <w:r w:rsidRPr="00D24166">
        <w:rPr>
          <w:i/>
          <w:iCs/>
          <w:color w:val="000000"/>
          <w:lang w:val="en-US"/>
        </w:rPr>
        <w:t>Economic Modelling, 33</w:t>
      </w:r>
      <w:r w:rsidRPr="00D24166">
        <w:rPr>
          <w:color w:val="000000"/>
          <w:lang w:val="en-US"/>
        </w:rPr>
        <w:t>, 261–269.</w:t>
      </w:r>
    </w:p>
    <w:p w14:paraId="7B7C950B" w14:textId="1D202633" w:rsidR="00D24166" w:rsidRPr="00D24166" w:rsidRDefault="00D24166" w:rsidP="00617637">
      <w:pPr>
        <w:pStyle w:val="NormaleWeb"/>
        <w:spacing w:line="360" w:lineRule="auto"/>
        <w:rPr>
          <w:color w:val="000000"/>
          <w:lang w:val="en-US"/>
        </w:rPr>
      </w:pPr>
      <w:r w:rsidRPr="00D24166">
        <w:rPr>
          <w:color w:val="000000"/>
          <w:lang w:val="en-US"/>
        </w:rPr>
        <w:t xml:space="preserve">Carbajal, M., &amp; de Miguel Calvo, J. (2021). Factors that influence immigration to OECD member states. </w:t>
      </w:r>
      <w:r w:rsidRPr="00D24166">
        <w:rPr>
          <w:i/>
          <w:iCs/>
          <w:color w:val="000000"/>
          <w:lang w:val="en-US"/>
        </w:rPr>
        <w:t>Cuadernos de Trabajo Social, 34</w:t>
      </w:r>
      <w:r w:rsidRPr="00D24166">
        <w:rPr>
          <w:color w:val="000000"/>
          <w:lang w:val="en-US"/>
        </w:rPr>
        <w:t>, 417–430.</w:t>
      </w:r>
    </w:p>
    <w:p w14:paraId="34671216" w14:textId="3E4CA343" w:rsidR="00D24166" w:rsidRPr="00D24166" w:rsidRDefault="00D24166" w:rsidP="00617637">
      <w:pPr>
        <w:pStyle w:val="NormaleWeb"/>
        <w:spacing w:line="360" w:lineRule="auto"/>
        <w:rPr>
          <w:color w:val="000000"/>
          <w:lang w:val="en-US"/>
        </w:rPr>
      </w:pPr>
      <w:r w:rsidRPr="00D24166">
        <w:rPr>
          <w:color w:val="000000"/>
          <w:lang w:val="en-US"/>
        </w:rPr>
        <w:t>Cellini, R., &amp; Scorcu, A. E. (2000). Segmented stochastic convergence across the G-7 countries. </w:t>
      </w:r>
      <w:r w:rsidRPr="00D24166">
        <w:rPr>
          <w:i/>
          <w:iCs/>
          <w:color w:val="000000"/>
          <w:lang w:val="en-US"/>
        </w:rPr>
        <w:t>Empirical Economics, 25</w:t>
      </w:r>
      <w:r w:rsidRPr="00D24166">
        <w:rPr>
          <w:color w:val="000000"/>
          <w:lang w:val="en-US"/>
        </w:rPr>
        <w:t>, 463–474.</w:t>
      </w:r>
    </w:p>
    <w:p w14:paraId="01888701" w14:textId="02CAEF58" w:rsidR="00D24166" w:rsidRPr="00D24166" w:rsidRDefault="00D24166" w:rsidP="00617637">
      <w:pPr>
        <w:pStyle w:val="NormaleWeb"/>
        <w:spacing w:line="360" w:lineRule="auto"/>
        <w:rPr>
          <w:color w:val="000000"/>
          <w:lang w:val="en-US"/>
        </w:rPr>
      </w:pPr>
      <w:r w:rsidRPr="00D24166">
        <w:rPr>
          <w:color w:val="000000"/>
          <w:lang w:val="en-US"/>
        </w:rPr>
        <w:t xml:space="preserve">Colacchio, G., &amp; Forges Davanzati, G. (2025). Augusto Graziani on Italian economic development (1950–1970). </w:t>
      </w:r>
      <w:r w:rsidRPr="00D24166">
        <w:rPr>
          <w:i/>
          <w:iCs/>
          <w:color w:val="000000"/>
          <w:lang w:val="en-US"/>
        </w:rPr>
        <w:t>Review of Political Economy</w:t>
      </w:r>
      <w:r w:rsidRPr="00D24166">
        <w:rPr>
          <w:color w:val="000000"/>
          <w:lang w:val="en-US"/>
        </w:rPr>
        <w:t>.</w:t>
      </w:r>
    </w:p>
    <w:p w14:paraId="0CDD00F5" w14:textId="72BAC956" w:rsidR="00D24166" w:rsidRPr="00D24166" w:rsidRDefault="00D24166" w:rsidP="00617637">
      <w:pPr>
        <w:pStyle w:val="NormaleWeb"/>
        <w:spacing w:line="360" w:lineRule="auto"/>
        <w:rPr>
          <w:color w:val="000000"/>
        </w:rPr>
      </w:pPr>
      <w:r w:rsidRPr="00D24166">
        <w:rPr>
          <w:color w:val="000000"/>
          <w:lang w:val="en-US"/>
        </w:rPr>
        <w:t xml:space="preserve">Del Giudice, T. (2023, January 26). L’emorragia demografica delle aree rurali [The demographic hemorrhage of rural areas]. </w:t>
      </w:r>
      <w:r w:rsidRPr="00D24166">
        <w:rPr>
          <w:color w:val="000000"/>
        </w:rPr>
        <w:t>Lavoce.info. https://lavoce.info/archives/99769/lemorragia-demografica-delle-aree-rurali/</w:t>
      </w:r>
    </w:p>
    <w:p w14:paraId="173F20BC" w14:textId="2CA5E123" w:rsidR="00D24166" w:rsidRPr="00D24166" w:rsidRDefault="00D24166" w:rsidP="00617637">
      <w:pPr>
        <w:pStyle w:val="NormaleWeb"/>
        <w:spacing w:line="360" w:lineRule="auto"/>
        <w:rPr>
          <w:color w:val="000000"/>
          <w:lang w:val="en-US"/>
        </w:rPr>
      </w:pPr>
      <w:r w:rsidRPr="00D24166">
        <w:rPr>
          <w:color w:val="000000"/>
          <w:lang w:val="en-US"/>
        </w:rPr>
        <w:t>Dolado, J., Goria, A., &amp; Ichino, A. (1994). Immigration, human capital and growth in the host country: Evidence from pooled country data. </w:t>
      </w:r>
      <w:r w:rsidRPr="00D24166">
        <w:rPr>
          <w:i/>
          <w:iCs/>
          <w:color w:val="000000"/>
          <w:lang w:val="en-US"/>
        </w:rPr>
        <w:t>Journal of Population Economics, 7</w:t>
      </w:r>
      <w:r w:rsidRPr="00D24166">
        <w:rPr>
          <w:color w:val="000000"/>
          <w:lang w:val="en-US"/>
        </w:rPr>
        <w:t>(2), 193–215.</w:t>
      </w:r>
    </w:p>
    <w:p w14:paraId="45A3DCB9" w14:textId="15B3C554" w:rsidR="00D24166" w:rsidRPr="00D24166" w:rsidRDefault="00D24166" w:rsidP="00617637">
      <w:pPr>
        <w:pStyle w:val="NormaleWeb"/>
        <w:spacing w:line="360" w:lineRule="auto"/>
        <w:rPr>
          <w:color w:val="000000"/>
          <w:lang w:val="en-US"/>
        </w:rPr>
      </w:pPr>
      <w:r w:rsidRPr="00D24166">
        <w:rPr>
          <w:color w:val="000000"/>
          <w:lang w:val="en-US"/>
        </w:rPr>
        <w:t>D’Ambrosio, A., Montresor, S., Parrilli, M. D., &amp; Quatraro, F. (2019). Migration, communities on the move and international innovation networks: An empirical analysis of Spanish regions. </w:t>
      </w:r>
      <w:r w:rsidRPr="00D24166">
        <w:rPr>
          <w:i/>
          <w:iCs/>
          <w:color w:val="000000"/>
          <w:lang w:val="en-US"/>
        </w:rPr>
        <w:t>Regional Studies, 53</w:t>
      </w:r>
      <w:r w:rsidRPr="00D24166">
        <w:rPr>
          <w:color w:val="000000"/>
          <w:lang w:val="en-US"/>
        </w:rPr>
        <w:t>(1), 6–16. https://doi.org/10.1080/00343404.2018.1426850</w:t>
      </w:r>
    </w:p>
    <w:p w14:paraId="4858D08D" w14:textId="607D77AF" w:rsidR="00D24166" w:rsidRDefault="00D24166" w:rsidP="00617637">
      <w:pPr>
        <w:pStyle w:val="NormaleWeb"/>
        <w:spacing w:line="360" w:lineRule="auto"/>
        <w:rPr>
          <w:color w:val="000000"/>
          <w:lang w:val="en-US"/>
        </w:rPr>
      </w:pPr>
      <w:r w:rsidRPr="00D24166">
        <w:rPr>
          <w:color w:val="000000"/>
          <w:lang w:val="en-US"/>
        </w:rPr>
        <w:lastRenderedPageBreak/>
        <w:t>Dunford, M., &amp; Greco, L. (2008). After the three Italies: Wealth, inequality and industrial change. Wiley-Blackwell.</w:t>
      </w:r>
    </w:p>
    <w:p w14:paraId="4865590E" w14:textId="777DD4C6" w:rsidR="00A75CF1" w:rsidRPr="00D24166" w:rsidRDefault="00A75CF1" w:rsidP="00617637">
      <w:pPr>
        <w:pStyle w:val="NormaleWeb"/>
        <w:spacing w:line="360" w:lineRule="auto"/>
        <w:rPr>
          <w:color w:val="000000"/>
          <w:lang w:val="en-US"/>
        </w:rPr>
      </w:pPr>
      <w:r w:rsidRPr="00A75CF1">
        <w:rPr>
          <w:color w:val="000000"/>
          <w:lang w:val="en-US"/>
        </w:rPr>
        <w:t xml:space="preserve">Dustmann, C., &amp; Preston, I. (2019). Free Movement, Open Borders, and the Global Gains from Labor Mobility. </w:t>
      </w:r>
      <w:r w:rsidRPr="00A75CF1">
        <w:rPr>
          <w:i/>
          <w:iCs/>
          <w:color w:val="000000"/>
        </w:rPr>
        <w:t>Annual Review of Economics</w:t>
      </w:r>
      <w:r w:rsidRPr="00A75CF1">
        <w:rPr>
          <w:color w:val="000000"/>
        </w:rPr>
        <w:t xml:space="preserve">, 11, 783–808. </w:t>
      </w:r>
      <w:hyperlink r:id="rId18" w:history="1">
        <w:r w:rsidRPr="00A75CF1">
          <w:rPr>
            <w:rStyle w:val="Collegamentoipertestuale"/>
            <w:lang w:val="en-US"/>
          </w:rPr>
          <w:t>https://doi.org/10.1146/annurev-economics-080218-030215</w:t>
        </w:r>
      </w:hyperlink>
      <w:r w:rsidRPr="00A75CF1">
        <w:rPr>
          <w:color w:val="000000"/>
          <w:lang w:val="en-US"/>
        </w:rPr>
        <w:t xml:space="preserve"> </w:t>
      </w:r>
    </w:p>
    <w:p w14:paraId="10427E81" w14:textId="2D63A8D1" w:rsidR="00D24166" w:rsidRPr="00D24166" w:rsidRDefault="00D24166" w:rsidP="00617637">
      <w:pPr>
        <w:pStyle w:val="NormaleWeb"/>
        <w:spacing w:line="360" w:lineRule="auto"/>
        <w:rPr>
          <w:color w:val="000000"/>
          <w:lang w:val="en-US"/>
        </w:rPr>
      </w:pPr>
      <w:r w:rsidRPr="00D24166">
        <w:rPr>
          <w:color w:val="000000"/>
          <w:lang w:val="en-US"/>
        </w:rPr>
        <w:t xml:space="preserve">Dritsaki, M., &amp; Dritsaki, C. (2024). Immigration, growth and unemployment: Panel VAR evidence from E.U. countries. </w:t>
      </w:r>
      <w:r w:rsidRPr="00D24166">
        <w:rPr>
          <w:i/>
          <w:iCs/>
          <w:color w:val="000000"/>
          <w:lang w:val="en-US"/>
        </w:rPr>
        <w:t>Journal of the Knowledge Economy</w:t>
      </w:r>
      <w:r w:rsidRPr="00D24166">
        <w:rPr>
          <w:color w:val="000000"/>
          <w:lang w:val="en-US"/>
        </w:rPr>
        <w:t>.</w:t>
      </w:r>
    </w:p>
    <w:p w14:paraId="17E20658" w14:textId="254D9BED" w:rsidR="00D24166" w:rsidRPr="00D24166" w:rsidRDefault="00D24166" w:rsidP="00617637">
      <w:pPr>
        <w:pStyle w:val="NormaleWeb"/>
        <w:spacing w:line="360" w:lineRule="auto"/>
        <w:rPr>
          <w:color w:val="000000"/>
          <w:lang w:val="en-US"/>
        </w:rPr>
      </w:pPr>
      <w:r w:rsidRPr="00D24166">
        <w:rPr>
          <w:color w:val="000000"/>
          <w:lang w:val="en-US"/>
        </w:rPr>
        <w:t>European Commission. (n.d.). Push–pull factor. Retrieved from https://home-affairs.ec.europa.eu/networks/european-migration-network-emn/emn-asylum-and-migration-glossary/glossary/push-pull-factor_en</w:t>
      </w:r>
    </w:p>
    <w:p w14:paraId="65F93E9E" w14:textId="01E2686C" w:rsidR="00D24166" w:rsidRPr="002B64BF" w:rsidRDefault="00D24166" w:rsidP="00617637">
      <w:pPr>
        <w:pStyle w:val="NormaleWeb"/>
        <w:spacing w:line="360" w:lineRule="auto"/>
        <w:rPr>
          <w:color w:val="000000"/>
        </w:rPr>
      </w:pPr>
      <w:r w:rsidRPr="00D24166">
        <w:rPr>
          <w:color w:val="000000"/>
          <w:lang w:val="en-US"/>
        </w:rPr>
        <w:t xml:space="preserve">European Commission. (2023). Country report Italy 2023. Publications Office of the European Union. </w:t>
      </w:r>
      <w:hyperlink r:id="rId19" w:history="1">
        <w:r w:rsidR="00CA0FBA" w:rsidRPr="002B64BF">
          <w:rPr>
            <w:rStyle w:val="Collegamentoipertestuale"/>
          </w:rPr>
          <w:t>https://economy-finance.ec.europa.eu/system/files/2023-06/ip236_en.pdf</w:t>
        </w:r>
      </w:hyperlink>
    </w:p>
    <w:p w14:paraId="078DA113" w14:textId="27F23CEE" w:rsidR="00CA0FBA" w:rsidRPr="002B64BF" w:rsidRDefault="00CA0FBA" w:rsidP="00CA0FBA">
      <w:pPr>
        <w:pStyle w:val="p1"/>
        <w:rPr>
          <w:lang w:val="en-US"/>
        </w:rPr>
      </w:pPr>
      <w:r w:rsidRPr="00CA0FBA">
        <w:rPr>
          <w:lang w:val="en-US"/>
        </w:rPr>
        <w:t xml:space="preserve">European Social Survey. (2023). </w:t>
      </w:r>
      <w:r w:rsidRPr="00CA0FBA">
        <w:rPr>
          <w:i/>
          <w:iCs/>
          <w:lang w:val="en-US"/>
        </w:rPr>
        <w:t>ESS 2023 NUTS 2 level</w:t>
      </w:r>
      <w:r w:rsidRPr="00CA0FBA">
        <w:rPr>
          <w:lang w:val="en-US"/>
        </w:rPr>
        <w:t xml:space="preserve"> [Data set]. </w:t>
      </w:r>
      <w:r w:rsidRPr="002B64BF">
        <w:rPr>
          <w:lang w:val="en-US"/>
        </w:rPr>
        <w:t>Retrieved from https://www.europeansocialsurvey.org</w:t>
      </w:r>
    </w:p>
    <w:p w14:paraId="39C2A47D" w14:textId="534D5B54" w:rsidR="00D24166" w:rsidRPr="00D24166" w:rsidRDefault="00D24166" w:rsidP="00617637">
      <w:pPr>
        <w:pStyle w:val="NormaleWeb"/>
        <w:spacing w:line="360" w:lineRule="auto"/>
        <w:rPr>
          <w:color w:val="000000"/>
          <w:lang w:val="en-US"/>
        </w:rPr>
      </w:pPr>
      <w:r w:rsidRPr="00D24166">
        <w:rPr>
          <w:color w:val="000000"/>
          <w:lang w:val="en-US"/>
        </w:rPr>
        <w:t>Federal Ministry for Economic Cooperation and Development. (2023). Available at: https://www.bmz.de/en</w:t>
      </w:r>
    </w:p>
    <w:p w14:paraId="0B193604" w14:textId="5C76C416" w:rsidR="00D24166" w:rsidRPr="00D24166" w:rsidRDefault="00D24166" w:rsidP="00617637">
      <w:pPr>
        <w:pStyle w:val="NormaleWeb"/>
        <w:spacing w:line="360" w:lineRule="auto"/>
        <w:rPr>
          <w:color w:val="000000"/>
          <w:lang w:val="en-US"/>
        </w:rPr>
      </w:pPr>
      <w:r w:rsidRPr="00D24166">
        <w:rPr>
          <w:color w:val="000000"/>
          <w:lang w:val="en-US"/>
        </w:rPr>
        <w:t>Foged, M., &amp; Peri, G. (2015). Immigrants’ effect on native workers: New analysis on longitudinal data. </w:t>
      </w:r>
      <w:r w:rsidRPr="00D24166">
        <w:rPr>
          <w:i/>
          <w:iCs/>
          <w:color w:val="000000"/>
          <w:lang w:val="en-US"/>
        </w:rPr>
        <w:t>American Economic Journal: Applied Economics, 8</w:t>
      </w:r>
      <w:r w:rsidRPr="00D24166">
        <w:rPr>
          <w:color w:val="000000"/>
          <w:lang w:val="en-US"/>
        </w:rPr>
        <w:t>(2), 1–34.</w:t>
      </w:r>
    </w:p>
    <w:p w14:paraId="079FEAFF" w14:textId="6CED08C8" w:rsidR="00D24166" w:rsidRPr="00D24166" w:rsidRDefault="00D24166" w:rsidP="00617637">
      <w:pPr>
        <w:pStyle w:val="NormaleWeb"/>
        <w:spacing w:line="360" w:lineRule="auto"/>
        <w:rPr>
          <w:color w:val="000000"/>
          <w:lang w:val="en-US"/>
        </w:rPr>
      </w:pPr>
      <w:r w:rsidRPr="00D24166">
        <w:rPr>
          <w:color w:val="000000"/>
          <w:lang w:val="en-US"/>
        </w:rPr>
        <w:t>Frankel, J. A., &amp; Romer, D. (1999). Does trade cause growth? </w:t>
      </w:r>
      <w:r w:rsidRPr="00D24166">
        <w:rPr>
          <w:i/>
          <w:iCs/>
          <w:color w:val="000000"/>
          <w:lang w:val="en-US"/>
        </w:rPr>
        <w:t>American Economic Review, 89</w:t>
      </w:r>
      <w:r w:rsidRPr="00D24166">
        <w:rPr>
          <w:color w:val="000000"/>
          <w:lang w:val="en-US"/>
        </w:rPr>
        <w:t>(3), 379–399. https://doi.org/10.1257/aer.89.3.379</w:t>
      </w:r>
    </w:p>
    <w:p w14:paraId="2E212042" w14:textId="5D69D79F" w:rsidR="00D24166" w:rsidRPr="00D24166" w:rsidRDefault="00D24166" w:rsidP="00617637">
      <w:pPr>
        <w:pStyle w:val="NormaleWeb"/>
        <w:spacing w:line="360" w:lineRule="auto"/>
        <w:rPr>
          <w:color w:val="000000"/>
          <w:lang w:val="en-US"/>
        </w:rPr>
      </w:pPr>
      <w:r w:rsidRPr="00D24166">
        <w:rPr>
          <w:color w:val="000000"/>
          <w:lang w:val="en-US"/>
        </w:rPr>
        <w:t>Gujarati, D. N., &amp; Porter, D. C. (2009). </w:t>
      </w:r>
      <w:r w:rsidRPr="00D24166">
        <w:rPr>
          <w:i/>
          <w:iCs/>
          <w:color w:val="000000"/>
          <w:lang w:val="en-US"/>
        </w:rPr>
        <w:t>Basic econometrics</w:t>
      </w:r>
      <w:r w:rsidRPr="00D24166">
        <w:rPr>
          <w:color w:val="000000"/>
          <w:lang w:val="en-US"/>
        </w:rPr>
        <w:t xml:space="preserve"> (5th ed.). New York, NY: McGraw-Hill Education.</w:t>
      </w:r>
    </w:p>
    <w:p w14:paraId="5F63E97E" w14:textId="56B806E3" w:rsidR="00D24166" w:rsidRPr="00D24166" w:rsidRDefault="00D24166" w:rsidP="00617637">
      <w:pPr>
        <w:pStyle w:val="NormaleWeb"/>
        <w:spacing w:line="360" w:lineRule="auto"/>
        <w:rPr>
          <w:color w:val="000000"/>
          <w:lang w:val="en-US"/>
        </w:rPr>
      </w:pPr>
      <w:r w:rsidRPr="00D24166">
        <w:rPr>
          <w:color w:val="000000"/>
          <w:lang w:val="en-US"/>
        </w:rPr>
        <w:t>Huber, P., &amp; Tondl, G. (2012). Migration and regional convergence in the European Union. </w:t>
      </w:r>
      <w:r w:rsidRPr="00D24166">
        <w:rPr>
          <w:i/>
          <w:iCs/>
          <w:color w:val="000000"/>
          <w:lang w:val="en-US"/>
        </w:rPr>
        <w:t>Empirica, 39</w:t>
      </w:r>
      <w:r w:rsidRPr="00D24166">
        <w:rPr>
          <w:color w:val="000000"/>
          <w:lang w:val="en-US"/>
        </w:rPr>
        <w:t>(4), 439–460. https://doi.org/10.1007/s10663-011-9175-0</w:t>
      </w:r>
    </w:p>
    <w:p w14:paraId="2D3FDD8D" w14:textId="6069D25C" w:rsidR="00D24166" w:rsidRPr="00D24166" w:rsidRDefault="00D24166" w:rsidP="00617637">
      <w:pPr>
        <w:pStyle w:val="NormaleWeb"/>
        <w:spacing w:line="360" w:lineRule="auto"/>
        <w:rPr>
          <w:color w:val="000000"/>
          <w:lang w:val="en-US"/>
        </w:rPr>
      </w:pPr>
      <w:r w:rsidRPr="00D24166">
        <w:rPr>
          <w:color w:val="000000"/>
          <w:lang w:val="en-US"/>
        </w:rPr>
        <w:t>International Monetary Fund. (2020). World economic outlook, April 2020: Chapter 4 – The macroeconomic effects of migration. Washington, DC: IMF.</w:t>
      </w:r>
    </w:p>
    <w:p w14:paraId="0EAF9140" w14:textId="234D1D4D" w:rsidR="00D24166" w:rsidRPr="00D24166" w:rsidRDefault="00D24166" w:rsidP="00617637">
      <w:pPr>
        <w:pStyle w:val="NormaleWeb"/>
        <w:spacing w:line="360" w:lineRule="auto"/>
        <w:rPr>
          <w:color w:val="000000"/>
          <w:lang w:val="en-US"/>
        </w:rPr>
      </w:pPr>
      <w:r w:rsidRPr="00D24166">
        <w:rPr>
          <w:color w:val="000000"/>
          <w:lang w:val="en-US"/>
        </w:rPr>
        <w:lastRenderedPageBreak/>
        <w:t>IOM. (2017). Retrieved from https://italy.iom.int/sites/g/files/tmzbdl1096/files/IOM_Italy_Briefing_02_Oct2017_Migrants’%20contributions.pdf</w:t>
      </w:r>
    </w:p>
    <w:p w14:paraId="182E94B5" w14:textId="6879CA27" w:rsidR="00D24166" w:rsidRPr="00D24166" w:rsidRDefault="00D24166" w:rsidP="00617637">
      <w:pPr>
        <w:pStyle w:val="NormaleWeb"/>
        <w:spacing w:line="360" w:lineRule="auto"/>
        <w:rPr>
          <w:color w:val="000000"/>
        </w:rPr>
      </w:pPr>
      <w:r w:rsidRPr="00D24166">
        <w:rPr>
          <w:color w:val="000000"/>
        </w:rPr>
        <w:t>Istat – Istituto Nazionale di Statistica. (2024). Conti economici territoriali 2021–2023 (Regional economic accounts). Rome: ISTAT.</w:t>
      </w:r>
    </w:p>
    <w:p w14:paraId="30397581" w14:textId="4C335612" w:rsidR="00D24166" w:rsidRPr="00D24166" w:rsidRDefault="00D24166" w:rsidP="00617637">
      <w:pPr>
        <w:pStyle w:val="NormaleWeb"/>
        <w:spacing w:line="360" w:lineRule="auto"/>
        <w:rPr>
          <w:color w:val="000000"/>
        </w:rPr>
      </w:pPr>
      <w:r w:rsidRPr="00D24166">
        <w:rPr>
          <w:color w:val="000000"/>
        </w:rPr>
        <w:t>Istituto Nazionale di Statistica. (2021). Previsioni demografiche per il periodo 2021–2070 [Demographic forecasts for the period 2021–2070]. https://www.istat.it/it/files/2022/09/REPORT-PREVISIONI-DEMOGRAFICHE-2021.pdf</w:t>
      </w:r>
    </w:p>
    <w:p w14:paraId="5032FDAC" w14:textId="234C966B" w:rsidR="00D24166" w:rsidRPr="00D24166" w:rsidRDefault="00D24166" w:rsidP="00617637">
      <w:pPr>
        <w:pStyle w:val="NormaleWeb"/>
        <w:spacing w:line="360" w:lineRule="auto"/>
        <w:rPr>
          <w:color w:val="000000"/>
          <w:lang w:val="en-US"/>
        </w:rPr>
      </w:pPr>
      <w:r w:rsidRPr="00D24166">
        <w:rPr>
          <w:color w:val="000000"/>
        </w:rPr>
        <w:t xml:space="preserve">Iuzzolino, G., Pellegrini, G., &amp; Viesti, G. (2011). Convergence among Italian regions, 1861–2011. </w:t>
      </w:r>
      <w:r w:rsidRPr="00D24166">
        <w:rPr>
          <w:color w:val="000000"/>
          <w:lang w:val="en-US"/>
        </w:rPr>
        <w:t>Bank of Italy Economic History Working Paper.</w:t>
      </w:r>
    </w:p>
    <w:p w14:paraId="17873ABA" w14:textId="1C772ED6" w:rsidR="00D24166" w:rsidRPr="00D24166" w:rsidRDefault="00D24166" w:rsidP="00617637">
      <w:pPr>
        <w:pStyle w:val="NormaleWeb"/>
        <w:spacing w:line="360" w:lineRule="auto"/>
        <w:rPr>
          <w:color w:val="000000"/>
          <w:lang w:val="en-US"/>
        </w:rPr>
      </w:pPr>
      <w:r w:rsidRPr="00D24166">
        <w:rPr>
          <w:color w:val="000000"/>
          <w:lang w:val="en-US"/>
        </w:rPr>
        <w:t>Kahanec, M., &amp; Pytlikova, M. (2017). The economic impact of east–west migration on the European Union. </w:t>
      </w:r>
      <w:r w:rsidRPr="00D24166">
        <w:rPr>
          <w:i/>
          <w:iCs/>
          <w:color w:val="000000"/>
          <w:lang w:val="en-US"/>
        </w:rPr>
        <w:t>Empirica, 44</w:t>
      </w:r>
      <w:r w:rsidRPr="00D24166">
        <w:rPr>
          <w:color w:val="000000"/>
          <w:lang w:val="en-US"/>
        </w:rPr>
        <w:t>(3), 407–434.</w:t>
      </w:r>
    </w:p>
    <w:p w14:paraId="15AA975E" w14:textId="08B4D5B5" w:rsidR="00D24166" w:rsidRPr="00D24166" w:rsidRDefault="00D24166" w:rsidP="00617637">
      <w:pPr>
        <w:pStyle w:val="NormaleWeb"/>
        <w:spacing w:line="360" w:lineRule="auto"/>
        <w:rPr>
          <w:color w:val="000000"/>
          <w:lang w:val="en-US"/>
        </w:rPr>
      </w:pPr>
      <w:r w:rsidRPr="00D24166">
        <w:rPr>
          <w:color w:val="000000"/>
          <w:lang w:val="en-US"/>
        </w:rPr>
        <w:t>Keller, W. (2004). International technology diffusion. </w:t>
      </w:r>
      <w:r w:rsidRPr="00D24166">
        <w:rPr>
          <w:i/>
          <w:iCs/>
          <w:color w:val="000000"/>
          <w:lang w:val="en-US"/>
        </w:rPr>
        <w:t>Journal of Economic Literature, 42</w:t>
      </w:r>
      <w:r w:rsidRPr="00D24166">
        <w:rPr>
          <w:color w:val="000000"/>
          <w:lang w:val="en-US"/>
        </w:rPr>
        <w:t>(3), 752–782. https://doi.org/10.2753/EEE0012-8775510202</w:t>
      </w:r>
    </w:p>
    <w:p w14:paraId="0D0729F2" w14:textId="6C54B51C" w:rsidR="00D24166" w:rsidRPr="00D24166" w:rsidRDefault="00D24166" w:rsidP="00617637">
      <w:pPr>
        <w:pStyle w:val="NormaleWeb"/>
        <w:spacing w:line="360" w:lineRule="auto"/>
        <w:rPr>
          <w:color w:val="000000"/>
          <w:lang w:val="en-US"/>
        </w:rPr>
      </w:pPr>
      <w:r w:rsidRPr="00D24166">
        <w:rPr>
          <w:color w:val="000000"/>
          <w:lang w:val="en-US"/>
        </w:rPr>
        <w:t>Khan, M. I., Alharthi, M., Haque, A., &amp; Illiyan, A. (2023). Statistical analysis of push and pull factors of migration: A case study of India. Department of Economics, College of Economics and Business Administration, University of Technology and Applied Sciences, Ibri, Oman.</w:t>
      </w:r>
    </w:p>
    <w:p w14:paraId="5A7F64FE" w14:textId="50912C13" w:rsidR="00D24166" w:rsidRPr="00D24166" w:rsidRDefault="00D24166" w:rsidP="00617637">
      <w:pPr>
        <w:pStyle w:val="NormaleWeb"/>
        <w:spacing w:line="360" w:lineRule="auto"/>
        <w:rPr>
          <w:color w:val="000000"/>
          <w:lang w:val="en-US"/>
        </w:rPr>
      </w:pPr>
      <w:r w:rsidRPr="00D24166">
        <w:rPr>
          <w:color w:val="000000"/>
          <w:lang w:val="en-US"/>
        </w:rPr>
        <w:t>Khalid, &amp; Urbanski, M. (2021). Approaches to understanding migration: A multi-country analysis of the push and pull migration trend. </w:t>
      </w:r>
      <w:r w:rsidRPr="00D24166">
        <w:rPr>
          <w:i/>
          <w:iCs/>
          <w:color w:val="000000"/>
          <w:lang w:val="en-US"/>
        </w:rPr>
        <w:t>Economics and Sociology, 14</w:t>
      </w:r>
      <w:r w:rsidRPr="00D24166">
        <w:rPr>
          <w:color w:val="000000"/>
          <w:lang w:val="en-US"/>
        </w:rPr>
        <w:t>, 249–274.</w:t>
      </w:r>
    </w:p>
    <w:p w14:paraId="42D50851" w14:textId="53251486" w:rsidR="00D24166" w:rsidRPr="00D24166" w:rsidRDefault="00D24166" w:rsidP="00617637">
      <w:pPr>
        <w:pStyle w:val="NormaleWeb"/>
        <w:spacing w:line="360" w:lineRule="auto"/>
        <w:rPr>
          <w:color w:val="000000"/>
          <w:lang w:val="en-US"/>
        </w:rPr>
      </w:pPr>
      <w:r w:rsidRPr="00D24166">
        <w:rPr>
          <w:color w:val="000000"/>
          <w:lang w:val="en-US"/>
        </w:rPr>
        <w:t>Kerr, W., &amp; Lincoln, W. (2010). The supply side of innovation: H-1B visa reforms and U.S. ethnic invention. </w:t>
      </w:r>
      <w:r w:rsidRPr="00D24166">
        <w:rPr>
          <w:i/>
          <w:iCs/>
          <w:color w:val="000000"/>
          <w:lang w:val="en-US"/>
        </w:rPr>
        <w:t>Journal of Labor Economics, 28</w:t>
      </w:r>
      <w:r w:rsidRPr="00D24166">
        <w:rPr>
          <w:color w:val="000000"/>
          <w:lang w:val="en-US"/>
        </w:rPr>
        <w:t>(3), 473–508.</w:t>
      </w:r>
    </w:p>
    <w:p w14:paraId="63653689" w14:textId="7042F104" w:rsidR="00D24166" w:rsidRPr="00D24166" w:rsidRDefault="00D24166" w:rsidP="00617637">
      <w:pPr>
        <w:pStyle w:val="NormaleWeb"/>
        <w:spacing w:line="360" w:lineRule="auto"/>
        <w:rPr>
          <w:color w:val="000000"/>
          <w:lang w:val="en-US"/>
        </w:rPr>
      </w:pPr>
      <w:r w:rsidRPr="00D24166">
        <w:rPr>
          <w:color w:val="000000"/>
          <w:lang w:val="en-US"/>
        </w:rPr>
        <w:t>Koczan, Z., Peri, G., Pinat, M., &amp; Rozhkov, D. (2021). The impact of international migration on inclusive growth: A review. IMF Working Paper No. 2021/088.</w:t>
      </w:r>
    </w:p>
    <w:p w14:paraId="7830CA25" w14:textId="436AB8DE" w:rsidR="00D24166" w:rsidRPr="00D24166" w:rsidRDefault="00D24166" w:rsidP="00617637">
      <w:pPr>
        <w:pStyle w:val="NormaleWeb"/>
        <w:spacing w:line="360" w:lineRule="auto"/>
        <w:rPr>
          <w:color w:val="000000"/>
          <w:lang w:val="en-US"/>
        </w:rPr>
      </w:pPr>
      <w:r w:rsidRPr="00D24166">
        <w:rPr>
          <w:color w:val="000000"/>
          <w:lang w:val="en-US"/>
        </w:rPr>
        <w:t>Lee, E. S. (1966). A theory of migration. </w:t>
      </w:r>
      <w:r w:rsidRPr="00D24166">
        <w:rPr>
          <w:i/>
          <w:iCs/>
          <w:color w:val="000000"/>
          <w:lang w:val="en-US"/>
        </w:rPr>
        <w:t>Demography, 3</w:t>
      </w:r>
      <w:r w:rsidRPr="00D24166">
        <w:rPr>
          <w:color w:val="000000"/>
          <w:lang w:val="en-US"/>
        </w:rPr>
        <w:t>(1), 47–57. Retrieved from Duke University Press</w:t>
      </w:r>
    </w:p>
    <w:p w14:paraId="4A87699A" w14:textId="676C5E4E" w:rsidR="00D24166" w:rsidRPr="00D24166" w:rsidRDefault="00D24166" w:rsidP="00617637">
      <w:pPr>
        <w:pStyle w:val="NormaleWeb"/>
        <w:spacing w:line="360" w:lineRule="auto"/>
        <w:rPr>
          <w:color w:val="000000"/>
          <w:lang w:val="en-US"/>
        </w:rPr>
      </w:pPr>
      <w:r w:rsidRPr="00D24166">
        <w:rPr>
          <w:color w:val="000000"/>
          <w:lang w:val="en-US"/>
        </w:rPr>
        <w:t>Mandal, T., Das, J., &amp; Poddar, D. (2018). Nature and determinates of labour migration: A case study of Koch Bihar district.</w:t>
      </w:r>
    </w:p>
    <w:p w14:paraId="21AF6103" w14:textId="1C04823A" w:rsidR="00D24166" w:rsidRPr="00D24166" w:rsidRDefault="00D24166" w:rsidP="00617637">
      <w:pPr>
        <w:pStyle w:val="NormaleWeb"/>
        <w:spacing w:line="360" w:lineRule="auto"/>
        <w:rPr>
          <w:color w:val="000000"/>
          <w:lang w:val="en-US"/>
        </w:rPr>
      </w:pPr>
      <w:r w:rsidRPr="00D24166">
        <w:rPr>
          <w:color w:val="000000"/>
          <w:lang w:val="en-US"/>
        </w:rPr>
        <w:lastRenderedPageBreak/>
        <w:t>Marinelli, E. (2011). Graduates on the move: Knowledge flows and Italian regional disparities (Doctoral dissertation, LSE).</w:t>
      </w:r>
    </w:p>
    <w:p w14:paraId="3402081E" w14:textId="2744F8AB" w:rsidR="00D24166" w:rsidRPr="00D24166" w:rsidRDefault="00D24166" w:rsidP="00617637">
      <w:pPr>
        <w:pStyle w:val="NormaleWeb"/>
        <w:spacing w:line="360" w:lineRule="auto"/>
        <w:rPr>
          <w:color w:val="000000"/>
          <w:lang w:val="en-US"/>
        </w:rPr>
      </w:pPr>
      <w:r w:rsidRPr="00D24166">
        <w:rPr>
          <w:color w:val="000000"/>
          <w:lang w:val="en-US"/>
        </w:rPr>
        <w:t xml:space="preserve">Mauro, L., &amp; Pigliaru, F. (2024). Italy’s national recovery and resilience plan: Will it narrow the north–south productivity gap? </w:t>
      </w:r>
      <w:r w:rsidRPr="00D24166">
        <w:rPr>
          <w:i/>
          <w:iCs/>
          <w:color w:val="000000"/>
          <w:lang w:val="en-US"/>
        </w:rPr>
        <w:t>Italian Economic Journal</w:t>
      </w:r>
      <w:r w:rsidRPr="00D24166">
        <w:rPr>
          <w:color w:val="000000"/>
          <w:lang w:val="en-US"/>
        </w:rPr>
        <w:t>.</w:t>
      </w:r>
    </w:p>
    <w:p w14:paraId="4D4D5164" w14:textId="0B592516" w:rsidR="00D24166" w:rsidRPr="00D24166" w:rsidRDefault="00D24166" w:rsidP="00617637">
      <w:pPr>
        <w:pStyle w:val="NormaleWeb"/>
        <w:spacing w:line="360" w:lineRule="auto"/>
        <w:rPr>
          <w:color w:val="000000"/>
          <w:lang w:val="en-US"/>
        </w:rPr>
      </w:pPr>
      <w:r w:rsidRPr="00D24166">
        <w:rPr>
          <w:color w:val="000000"/>
          <w:lang w:val="en-US"/>
        </w:rPr>
        <w:t>Mulino, M., Giallonardo, L., &amp; Iapadre, L. P. (2017). The European Economic Community and Italian regional disparities, 1951–1987. Economic History Working Paper.</w:t>
      </w:r>
    </w:p>
    <w:p w14:paraId="4E9A7615" w14:textId="02A37349" w:rsidR="00D24166" w:rsidRDefault="00D24166" w:rsidP="00617637">
      <w:pPr>
        <w:pStyle w:val="NormaleWeb"/>
        <w:spacing w:line="360" w:lineRule="auto"/>
        <w:rPr>
          <w:color w:val="000000"/>
          <w:lang w:val="en-US"/>
        </w:rPr>
      </w:pPr>
      <w:r w:rsidRPr="00D24166">
        <w:rPr>
          <w:color w:val="000000"/>
          <w:lang w:val="en-US"/>
        </w:rPr>
        <w:t>Myrdal, G. (1957). Economic theory and underdeveloped regions. London: Duckworth.</w:t>
      </w:r>
    </w:p>
    <w:p w14:paraId="538A6440" w14:textId="0BD79F84" w:rsidR="00084104" w:rsidRPr="00D24166" w:rsidRDefault="00084104" w:rsidP="00617637">
      <w:pPr>
        <w:pStyle w:val="NormaleWeb"/>
        <w:spacing w:line="360" w:lineRule="auto"/>
        <w:rPr>
          <w:color w:val="000000"/>
          <w:lang w:val="en-US"/>
        </w:rPr>
      </w:pPr>
      <w:r w:rsidRPr="00084104">
        <w:rPr>
          <w:color w:val="000000"/>
          <w:lang w:val="en-US"/>
        </w:rPr>
        <w:t xml:space="preserve">OECD. (2007). </w:t>
      </w:r>
      <w:r w:rsidRPr="00084104">
        <w:rPr>
          <w:i/>
          <w:iCs/>
          <w:color w:val="000000"/>
          <w:lang w:val="en-US"/>
        </w:rPr>
        <w:t>International Migration Outlook 2007</w:t>
      </w:r>
      <w:r w:rsidRPr="00084104">
        <w:rPr>
          <w:color w:val="000000"/>
          <w:lang w:val="en-US"/>
        </w:rPr>
        <w:t>. OECD Publishing. https://doi.org/10.1787/migr_outlook-2007-en</w:t>
      </w:r>
    </w:p>
    <w:p w14:paraId="19A8DC38" w14:textId="6AB2D558" w:rsidR="00D24166" w:rsidRPr="002B64BF" w:rsidRDefault="00D24166" w:rsidP="00617637">
      <w:pPr>
        <w:pStyle w:val="NormaleWeb"/>
        <w:spacing w:line="360" w:lineRule="auto"/>
        <w:rPr>
          <w:color w:val="000000"/>
          <w:lang w:val="en-US"/>
        </w:rPr>
      </w:pPr>
      <w:r w:rsidRPr="00D24166">
        <w:rPr>
          <w:color w:val="000000"/>
          <w:lang w:val="en-US"/>
        </w:rPr>
        <w:t xml:space="preserve">OECD. (2019). OECD economic surveys: Italy 2019. </w:t>
      </w:r>
      <w:r w:rsidRPr="002B64BF">
        <w:rPr>
          <w:color w:val="000000"/>
          <w:lang w:val="en-US"/>
        </w:rPr>
        <w:t>Paris: OECD Publishing.</w:t>
      </w:r>
    </w:p>
    <w:p w14:paraId="06D8E59F" w14:textId="6045A409" w:rsidR="00D24166" w:rsidRPr="00D24166" w:rsidRDefault="00D24166" w:rsidP="00617637">
      <w:pPr>
        <w:pStyle w:val="NormaleWeb"/>
        <w:spacing w:line="360" w:lineRule="auto"/>
        <w:rPr>
          <w:color w:val="000000"/>
        </w:rPr>
      </w:pPr>
      <w:r w:rsidRPr="00D24166">
        <w:rPr>
          <w:color w:val="000000"/>
          <w:lang w:val="en-US"/>
        </w:rPr>
        <w:t xml:space="preserve">OECD. (2022). The contribution of migration to regional development. </w:t>
      </w:r>
      <w:r w:rsidRPr="00D24166">
        <w:rPr>
          <w:color w:val="000000"/>
        </w:rPr>
        <w:t>Paris: OECD Publishing.</w:t>
      </w:r>
    </w:p>
    <w:p w14:paraId="3EF2D725" w14:textId="0430C107" w:rsidR="00D24166" w:rsidRPr="00D24166" w:rsidRDefault="00D24166" w:rsidP="00617637">
      <w:pPr>
        <w:pStyle w:val="NormaleWeb"/>
        <w:spacing w:line="360" w:lineRule="auto"/>
        <w:rPr>
          <w:color w:val="000000"/>
          <w:lang w:val="en-US"/>
        </w:rPr>
      </w:pPr>
      <w:r w:rsidRPr="00D24166">
        <w:rPr>
          <w:color w:val="000000"/>
          <w:lang w:val="en-US"/>
        </w:rPr>
        <w:t>OECD. (2022). [Data explorer]. Retrieved from https://data-explorer.oecd.org/vis?tm=elderly&amp;pg=0&amp;snb=14&amp;df[ds]=dsDisseminateFinalDMZ&amp;df[id]=DSD_POPULATION%40DF_POP_HIST&amp;df[ag]=OECD.ELS.SAE&amp;df[vs]=1.0&amp;dq=AUS..PS._T..&amp;pd=2010%2C2022&amp;to[TIME_PERIOD]=false</w:t>
      </w:r>
    </w:p>
    <w:p w14:paraId="4891EE31" w14:textId="0E936171" w:rsidR="00D24166" w:rsidRPr="00D24166" w:rsidRDefault="00D24166" w:rsidP="00617637">
      <w:pPr>
        <w:pStyle w:val="NormaleWeb"/>
        <w:spacing w:line="360" w:lineRule="auto"/>
        <w:rPr>
          <w:color w:val="000000"/>
          <w:lang w:val="en-US"/>
        </w:rPr>
      </w:pPr>
      <w:r w:rsidRPr="00D24166">
        <w:rPr>
          <w:color w:val="000000"/>
          <w:lang w:val="en-US"/>
        </w:rPr>
        <w:t xml:space="preserve">OECD. (2013). GDP per capita. In </w:t>
      </w:r>
      <w:r w:rsidRPr="00D24166">
        <w:rPr>
          <w:i/>
          <w:iCs/>
          <w:color w:val="000000"/>
          <w:lang w:val="en-US"/>
        </w:rPr>
        <w:t>National accounts at a glance 2013</w:t>
      </w:r>
      <w:r w:rsidRPr="00D24166">
        <w:rPr>
          <w:color w:val="000000"/>
          <w:lang w:val="en-US"/>
        </w:rPr>
        <w:t>. OECD Publishing. https://doi.org/10.1787/na_glance-2013-5-en</w:t>
      </w:r>
    </w:p>
    <w:p w14:paraId="3B6F8037" w14:textId="4155AB24" w:rsidR="00D24166" w:rsidRPr="00D24166" w:rsidRDefault="00D24166" w:rsidP="00617637">
      <w:pPr>
        <w:pStyle w:val="NormaleWeb"/>
        <w:spacing w:line="360" w:lineRule="auto"/>
        <w:rPr>
          <w:color w:val="000000"/>
          <w:lang w:val="en-US"/>
        </w:rPr>
      </w:pPr>
      <w:r w:rsidRPr="00D24166">
        <w:rPr>
          <w:color w:val="000000"/>
          <w:lang w:val="en-US"/>
        </w:rPr>
        <w:t>OECD. (2014). Jobs for immigrants (Vol. 4): Labour market integration in Italy. OECD. https://doi.org/10.1787/9789264214712-en</w:t>
      </w:r>
    </w:p>
    <w:p w14:paraId="0D627AF3" w14:textId="599B9951" w:rsidR="00D24166" w:rsidRPr="00D24166" w:rsidRDefault="00D24166" w:rsidP="00617637">
      <w:pPr>
        <w:pStyle w:val="NormaleWeb"/>
        <w:spacing w:line="360" w:lineRule="auto"/>
        <w:rPr>
          <w:color w:val="000000"/>
          <w:lang w:val="en-US"/>
        </w:rPr>
      </w:pPr>
      <w:r w:rsidRPr="00D24166">
        <w:rPr>
          <w:color w:val="000000"/>
          <w:lang w:val="en-US"/>
        </w:rPr>
        <w:t>Peri, G. (2012). The effect of immigration on productivity: Evidence from U.S. states. </w:t>
      </w:r>
      <w:r w:rsidRPr="00D24166">
        <w:rPr>
          <w:i/>
          <w:iCs/>
          <w:color w:val="000000"/>
          <w:lang w:val="en-US"/>
        </w:rPr>
        <w:t>Review of Economics and Statistics, 94</w:t>
      </w:r>
      <w:r w:rsidRPr="00D24166">
        <w:rPr>
          <w:color w:val="000000"/>
          <w:lang w:val="en-US"/>
        </w:rPr>
        <w:t>, 348–358.</w:t>
      </w:r>
    </w:p>
    <w:p w14:paraId="0423003C" w14:textId="05639D71" w:rsidR="00D24166" w:rsidRPr="00D24166" w:rsidRDefault="00D24166" w:rsidP="00617637">
      <w:pPr>
        <w:pStyle w:val="NormaleWeb"/>
        <w:spacing w:line="360" w:lineRule="auto"/>
        <w:rPr>
          <w:color w:val="000000"/>
          <w:lang w:val="en-US"/>
        </w:rPr>
      </w:pPr>
      <w:r w:rsidRPr="00D24166">
        <w:rPr>
          <w:color w:val="000000"/>
          <w:lang w:val="en-US"/>
        </w:rPr>
        <w:t>Pierce, J., &amp; Lawhon, M. (2015). Walking as method: Toward methodological forthrightness and comparability in urban geographical research. </w:t>
      </w:r>
      <w:r w:rsidRPr="00D24166">
        <w:rPr>
          <w:i/>
          <w:iCs/>
          <w:color w:val="000000"/>
          <w:lang w:val="en-US"/>
        </w:rPr>
        <w:t>The Professional Geographer, 67</w:t>
      </w:r>
      <w:r w:rsidRPr="00D24166">
        <w:rPr>
          <w:color w:val="000000"/>
          <w:lang w:val="en-US"/>
        </w:rPr>
        <w:t>(4), 655–662. https://doi.org/10.1080/00330124.2015.1059401</w:t>
      </w:r>
    </w:p>
    <w:p w14:paraId="42184C53" w14:textId="43F17EFA" w:rsidR="00D24166" w:rsidRPr="00D24166" w:rsidRDefault="00D24166" w:rsidP="00617637">
      <w:pPr>
        <w:pStyle w:val="NormaleWeb"/>
        <w:spacing w:line="360" w:lineRule="auto"/>
        <w:rPr>
          <w:color w:val="000000"/>
          <w:lang w:val="en-US"/>
        </w:rPr>
      </w:pPr>
      <w:r w:rsidRPr="00D24166">
        <w:rPr>
          <w:color w:val="000000"/>
          <w:lang w:val="en-US"/>
        </w:rPr>
        <w:t>Paci, R., &amp; Pigliaru, F. (1998). Growth and sectoral dynamics in the Italian regions.</w:t>
      </w:r>
    </w:p>
    <w:p w14:paraId="3CBB9AB5" w14:textId="19D2B835" w:rsidR="00D24166" w:rsidRPr="00D24166" w:rsidRDefault="00D24166" w:rsidP="00617637">
      <w:pPr>
        <w:pStyle w:val="NormaleWeb"/>
        <w:spacing w:line="360" w:lineRule="auto"/>
        <w:rPr>
          <w:color w:val="000000"/>
          <w:lang w:val="en-US"/>
        </w:rPr>
      </w:pPr>
      <w:r w:rsidRPr="00D24166">
        <w:rPr>
          <w:color w:val="000000"/>
          <w:lang w:val="en-US"/>
        </w:rPr>
        <w:lastRenderedPageBreak/>
        <w:t>Putnam, R. (1993a). Making democracy work: Civic traditions in modern Italy. Princeton University Press.</w:t>
      </w:r>
    </w:p>
    <w:p w14:paraId="7A5B5D64" w14:textId="52D6E9C3" w:rsidR="00D24166" w:rsidRPr="00D24166" w:rsidRDefault="00D24166" w:rsidP="00617637">
      <w:pPr>
        <w:pStyle w:val="NormaleWeb"/>
        <w:spacing w:line="360" w:lineRule="auto"/>
        <w:rPr>
          <w:color w:val="000000"/>
          <w:lang w:val="en-US"/>
        </w:rPr>
      </w:pPr>
      <w:r w:rsidRPr="00D24166">
        <w:rPr>
          <w:color w:val="000000"/>
          <w:lang w:val="en-US"/>
        </w:rPr>
        <w:t xml:space="preserve">Putnam, R. (1993b). The prosperous community: Social capital and public life. </w:t>
      </w:r>
      <w:r w:rsidRPr="00D24166">
        <w:rPr>
          <w:i/>
          <w:iCs/>
          <w:color w:val="000000"/>
          <w:lang w:val="en-US"/>
        </w:rPr>
        <w:t>The American Prospect, 13</w:t>
      </w:r>
      <w:r w:rsidRPr="00D24166">
        <w:rPr>
          <w:color w:val="000000"/>
          <w:lang w:val="en-US"/>
        </w:rPr>
        <w:t>(Spring), 4. Retrieved from http://www.prospect.org/print/vol/13</w:t>
      </w:r>
    </w:p>
    <w:p w14:paraId="04E7BAD8" w14:textId="7D24B495" w:rsidR="00D24166" w:rsidRPr="002B64BF" w:rsidRDefault="00D24166" w:rsidP="00617637">
      <w:pPr>
        <w:pStyle w:val="NormaleWeb"/>
        <w:spacing w:line="360" w:lineRule="auto"/>
        <w:rPr>
          <w:color w:val="000000"/>
          <w:lang w:val="en-US"/>
        </w:rPr>
      </w:pPr>
      <w:r w:rsidRPr="00D24166">
        <w:rPr>
          <w:color w:val="000000"/>
          <w:lang w:val="en-US"/>
        </w:rPr>
        <w:t xml:space="preserve">Ramazzotti, A. (2023). The legacy of 1969? Human capital, internal migration and manufacturing firms, 1960s–2000s (Doctoral dissertation, LSE). </w:t>
      </w:r>
      <w:r w:rsidRPr="002B64BF">
        <w:rPr>
          <w:color w:val="000000"/>
          <w:lang w:val="en-US"/>
        </w:rPr>
        <w:t>Retrieved from http://etheses.lse.ac.uk/4534/</w:t>
      </w:r>
    </w:p>
    <w:p w14:paraId="61DA4FBF" w14:textId="458D2526" w:rsidR="00D24166" w:rsidRPr="00D24166" w:rsidRDefault="00D24166" w:rsidP="00617637">
      <w:pPr>
        <w:pStyle w:val="NormaleWeb"/>
        <w:spacing w:line="360" w:lineRule="auto"/>
        <w:rPr>
          <w:color w:val="000000"/>
          <w:lang w:val="en-US"/>
        </w:rPr>
      </w:pPr>
      <w:r w:rsidRPr="00D24166">
        <w:rPr>
          <w:color w:val="000000"/>
          <w:lang w:val="en-US"/>
        </w:rPr>
        <w:t>Raymer, J., &amp; Wiśniowski, A. (2018). Applying and testing a forecasting model for age and sex patterns of immigration and emigration. </w:t>
      </w:r>
      <w:r w:rsidRPr="00D24166">
        <w:rPr>
          <w:i/>
          <w:iCs/>
          <w:color w:val="000000"/>
          <w:lang w:val="en-US"/>
        </w:rPr>
        <w:t>Population Studies, 72</w:t>
      </w:r>
      <w:r w:rsidRPr="00D24166">
        <w:rPr>
          <w:color w:val="000000"/>
          <w:lang w:val="en-US"/>
        </w:rPr>
        <w:t>(3), 339–355.</w:t>
      </w:r>
    </w:p>
    <w:p w14:paraId="13085C8C" w14:textId="73A2BF2D" w:rsidR="00D24166" w:rsidRPr="00D24166" w:rsidRDefault="00D24166" w:rsidP="00617637">
      <w:pPr>
        <w:pStyle w:val="NormaleWeb"/>
        <w:spacing w:line="360" w:lineRule="auto"/>
        <w:rPr>
          <w:color w:val="000000"/>
          <w:lang w:val="en-US"/>
        </w:rPr>
      </w:pPr>
      <w:r w:rsidRPr="00D24166">
        <w:rPr>
          <w:color w:val="000000"/>
          <w:lang w:val="en-US"/>
        </w:rPr>
        <w:t xml:space="preserve">Solow, R. M. (1999). Neoclassical growth theory. In J. B. Taylor &amp; M. Woodford (Eds.), </w:t>
      </w:r>
      <w:r w:rsidRPr="00D24166">
        <w:rPr>
          <w:i/>
          <w:iCs/>
          <w:color w:val="000000"/>
          <w:lang w:val="en-US"/>
        </w:rPr>
        <w:t>Handbook of Macroeconomics</w:t>
      </w:r>
      <w:r w:rsidRPr="00D24166">
        <w:rPr>
          <w:color w:val="000000"/>
          <w:lang w:val="en-US"/>
        </w:rPr>
        <w:t xml:space="preserve"> (Vol. 1, pp. 637–667). Elsevier.</w:t>
      </w:r>
    </w:p>
    <w:p w14:paraId="3894BC2E" w14:textId="5A546B3C" w:rsidR="00D24166" w:rsidRPr="00D24166" w:rsidRDefault="00D24166" w:rsidP="00617637">
      <w:pPr>
        <w:pStyle w:val="NormaleWeb"/>
        <w:spacing w:line="360" w:lineRule="auto"/>
        <w:rPr>
          <w:color w:val="000000"/>
          <w:lang w:val="en-US"/>
        </w:rPr>
      </w:pPr>
      <w:r w:rsidRPr="00D24166">
        <w:rPr>
          <w:color w:val="000000"/>
          <w:lang w:val="en-US"/>
        </w:rPr>
        <w:t>Siyal, G. E. A., Khalid, I. S., &amp; Qaisrani, A. (2019). Internal migration and urbanisation: A case study from semi-arid regions of Pakistan. </w:t>
      </w:r>
      <w:r w:rsidRPr="00D24166">
        <w:rPr>
          <w:i/>
          <w:iCs/>
          <w:color w:val="000000"/>
          <w:lang w:val="en-US"/>
        </w:rPr>
        <w:t>Sustainable Development Policy Institute</w:t>
      </w:r>
      <w:r w:rsidRPr="00D24166">
        <w:rPr>
          <w:color w:val="000000"/>
          <w:lang w:val="en-US"/>
        </w:rPr>
        <w:t>.</w:t>
      </w:r>
    </w:p>
    <w:p w14:paraId="5F7FF01C" w14:textId="025036D6" w:rsidR="00D24166" w:rsidRPr="00D24166" w:rsidRDefault="00D24166" w:rsidP="00617637">
      <w:pPr>
        <w:pStyle w:val="NormaleWeb"/>
        <w:spacing w:line="360" w:lineRule="auto"/>
        <w:rPr>
          <w:color w:val="000000"/>
          <w:lang w:val="en-US"/>
        </w:rPr>
      </w:pPr>
      <w:r w:rsidRPr="00D24166">
        <w:rPr>
          <w:color w:val="000000"/>
          <w:lang w:val="en-US"/>
        </w:rPr>
        <w:t>Scarpino, A., Steigleder, K., &amp; Kalkschmied, K. (2023). Public services as a predictor of economic wellbeing: A historical comparison (1945–1975) of Italy and Germany.</w:t>
      </w:r>
    </w:p>
    <w:p w14:paraId="77BE2FDA" w14:textId="3B608EBA" w:rsidR="00D24166" w:rsidRPr="00D24166" w:rsidRDefault="00D24166" w:rsidP="00617637">
      <w:pPr>
        <w:pStyle w:val="NormaleWeb"/>
        <w:spacing w:line="360" w:lineRule="auto"/>
        <w:rPr>
          <w:color w:val="000000"/>
          <w:lang w:val="en-US"/>
        </w:rPr>
      </w:pPr>
      <w:r w:rsidRPr="00D24166">
        <w:rPr>
          <w:color w:val="000000"/>
          <w:lang w:val="en-US"/>
        </w:rPr>
        <w:t xml:space="preserve">Urbański, M. (2022). Comparing push and pull factors affecting migration. </w:t>
      </w:r>
      <w:r w:rsidRPr="00D24166">
        <w:rPr>
          <w:i/>
          <w:iCs/>
          <w:color w:val="000000"/>
          <w:lang w:val="en-US"/>
        </w:rPr>
        <w:t>Economies, 10</w:t>
      </w:r>
      <w:r w:rsidRPr="00D24166">
        <w:rPr>
          <w:color w:val="000000"/>
          <w:lang w:val="en-US"/>
        </w:rPr>
        <w:t>(1), 21.</w:t>
      </w:r>
    </w:p>
    <w:p w14:paraId="4176F114" w14:textId="32E5F7CF" w:rsidR="00D24166" w:rsidRPr="00D24166" w:rsidRDefault="00D24166" w:rsidP="00617637">
      <w:pPr>
        <w:pStyle w:val="NormaleWeb"/>
        <w:spacing w:line="360" w:lineRule="auto"/>
        <w:rPr>
          <w:color w:val="000000"/>
          <w:lang w:val="en-US"/>
        </w:rPr>
      </w:pPr>
      <w:r w:rsidRPr="00D24166">
        <w:rPr>
          <w:color w:val="000000"/>
          <w:lang w:val="en-US"/>
        </w:rPr>
        <w:t>Vedovato, C. (1990). Economic stagnation and easy “exit”: The Italian South from unification to the 1950s. </w:t>
      </w:r>
      <w:r w:rsidRPr="00D24166">
        <w:rPr>
          <w:i/>
          <w:iCs/>
          <w:color w:val="000000"/>
          <w:lang w:val="en-US"/>
        </w:rPr>
        <w:t>Scandinavian Economic History Review, 38</w:t>
      </w:r>
      <w:r w:rsidRPr="00D24166">
        <w:rPr>
          <w:color w:val="000000"/>
          <w:lang w:val="en-US"/>
        </w:rPr>
        <w:t>(1), 28–42.</w:t>
      </w:r>
    </w:p>
    <w:p w14:paraId="0B0B65BC" w14:textId="77777777" w:rsidR="00D24166" w:rsidRPr="00D24166" w:rsidRDefault="00D24166" w:rsidP="00617637">
      <w:pPr>
        <w:pStyle w:val="NormaleWeb"/>
        <w:spacing w:line="360" w:lineRule="auto"/>
        <w:rPr>
          <w:color w:val="000000"/>
        </w:rPr>
      </w:pPr>
      <w:r w:rsidRPr="00D24166">
        <w:rPr>
          <w:color w:val="000000"/>
          <w:lang w:val="en-US"/>
        </w:rPr>
        <w:t>Wooldridge, J. M. (2012). </w:t>
      </w:r>
      <w:r w:rsidRPr="00D24166">
        <w:rPr>
          <w:i/>
          <w:iCs/>
          <w:color w:val="000000"/>
          <w:lang w:val="en-US"/>
        </w:rPr>
        <w:t>Introductory econometrics: A modern approach</w:t>
      </w:r>
      <w:r w:rsidRPr="00D24166">
        <w:rPr>
          <w:color w:val="000000"/>
          <w:lang w:val="en-US"/>
        </w:rPr>
        <w:t xml:space="preserve"> (5th ed.). </w:t>
      </w:r>
      <w:r w:rsidRPr="00D24166">
        <w:rPr>
          <w:color w:val="000000"/>
        </w:rPr>
        <w:t>Mason, OH: South-Western Cengage Learning.</w:t>
      </w:r>
    </w:p>
    <w:p w14:paraId="20022BE8" w14:textId="77777777" w:rsidR="00D24166" w:rsidRPr="00811B5E" w:rsidRDefault="00D24166" w:rsidP="00617637">
      <w:pPr>
        <w:pStyle w:val="NormaleWeb"/>
        <w:spacing w:line="360" w:lineRule="auto"/>
        <w:rPr>
          <w:color w:val="000000"/>
          <w:lang w:val="en-US"/>
        </w:rPr>
      </w:pPr>
    </w:p>
    <w:p w14:paraId="73EF0F49" w14:textId="77777777" w:rsidR="00A55F0E" w:rsidRPr="00811B5E" w:rsidRDefault="00A55F0E" w:rsidP="00A55F0E">
      <w:pPr>
        <w:rPr>
          <w:lang w:val="en-US"/>
        </w:rPr>
      </w:pPr>
    </w:p>
    <w:p w14:paraId="183472A0" w14:textId="77777777" w:rsidR="00FF120B" w:rsidRPr="00811B5E" w:rsidRDefault="00FF120B" w:rsidP="00FF120B">
      <w:pPr>
        <w:rPr>
          <w:lang w:val="en-US"/>
        </w:rPr>
      </w:pPr>
    </w:p>
    <w:p w14:paraId="4C5DB048" w14:textId="77777777" w:rsidR="00092454" w:rsidRPr="00811B5E" w:rsidRDefault="00092454" w:rsidP="00092454">
      <w:pPr>
        <w:rPr>
          <w:lang w:val="en-US"/>
        </w:rPr>
      </w:pPr>
    </w:p>
    <w:p w14:paraId="3C972FDB" w14:textId="77777777" w:rsidR="00092454" w:rsidRPr="00811B5E" w:rsidRDefault="00092454" w:rsidP="00092454">
      <w:pPr>
        <w:rPr>
          <w:lang w:val="en-US"/>
        </w:rPr>
      </w:pPr>
    </w:p>
    <w:sectPr w:rsidR="00092454" w:rsidRPr="00811B5E">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1C18F" w14:textId="77777777" w:rsidR="002F6F50" w:rsidRDefault="002F6F50" w:rsidP="00FB68D7">
      <w:r>
        <w:separator/>
      </w:r>
    </w:p>
  </w:endnote>
  <w:endnote w:type="continuationSeparator" w:id="0">
    <w:p w14:paraId="594628D7" w14:textId="77777777" w:rsidR="002F6F50" w:rsidRDefault="002F6F50" w:rsidP="00FB6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E98D3" w14:textId="77777777" w:rsidR="002F6F50" w:rsidRDefault="002F6F50" w:rsidP="00FB68D7">
      <w:r>
        <w:separator/>
      </w:r>
    </w:p>
  </w:footnote>
  <w:footnote w:type="continuationSeparator" w:id="0">
    <w:p w14:paraId="4BCFB2DA" w14:textId="77777777" w:rsidR="002F6F50" w:rsidRDefault="002F6F50" w:rsidP="00FB68D7">
      <w:r>
        <w:continuationSeparator/>
      </w:r>
    </w:p>
  </w:footnote>
  <w:footnote w:id="1">
    <w:p w14:paraId="4688E248" w14:textId="0F0FFD06" w:rsidR="00FB68D7" w:rsidRPr="00FB68D7" w:rsidRDefault="00FB68D7">
      <w:pPr>
        <w:pStyle w:val="Testonotaapidipagina"/>
        <w:rPr>
          <w:lang w:val="en-US"/>
        </w:rPr>
      </w:pPr>
      <w:r>
        <w:rPr>
          <w:rStyle w:val="Rimandonotaapidipagina"/>
        </w:rPr>
        <w:footnoteRef/>
      </w:r>
      <w:r>
        <w:rPr>
          <w:lang w:val="en-US"/>
        </w:rPr>
        <w:t xml:space="preserve"> </w:t>
      </w:r>
      <w:r w:rsidRPr="00272F99">
        <w:rPr>
          <w:lang w:val="en-US"/>
        </w:rPr>
        <w:t>For further clarification check the websi</w:t>
      </w:r>
      <w:r>
        <w:rPr>
          <w:lang w:val="en-US"/>
        </w:rPr>
        <w:t xml:space="preserve">te: </w:t>
      </w:r>
      <w:r w:rsidRPr="00272F99">
        <w:rPr>
          <w:lang w:val="en-US"/>
        </w:rPr>
        <w:t>https://home-affairs.ec.europa.eu/networks/european-migration-network-emn/emn-asylum-and-migration-glossary/glossary/push-pull-factor_en</w:t>
      </w:r>
    </w:p>
  </w:footnote>
  <w:footnote w:id="2">
    <w:p w14:paraId="16391B40" w14:textId="0B8B001A" w:rsidR="00FB68D7" w:rsidRPr="00FB68D7" w:rsidRDefault="00FB68D7">
      <w:pPr>
        <w:pStyle w:val="Testonotaapidipagina"/>
        <w:rPr>
          <w:lang w:val="en-US"/>
        </w:rPr>
      </w:pPr>
      <w:r>
        <w:rPr>
          <w:rStyle w:val="Rimandonotaapidipagina"/>
        </w:rPr>
        <w:footnoteRef/>
      </w:r>
      <w:r w:rsidRPr="00FB68D7">
        <w:rPr>
          <w:lang w:val="en-US"/>
        </w:rPr>
        <w:t xml:space="preserve"> Look at the appendix to see </w:t>
      </w:r>
      <w:r>
        <w:rPr>
          <w:lang w:val="en-US"/>
        </w:rPr>
        <w:t>the different trends for the control variables.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1D0"/>
    <w:rsid w:val="000364BC"/>
    <w:rsid w:val="00045954"/>
    <w:rsid w:val="00084104"/>
    <w:rsid w:val="00092454"/>
    <w:rsid w:val="000A6A25"/>
    <w:rsid w:val="000B5F80"/>
    <w:rsid w:val="000C4436"/>
    <w:rsid w:val="000D36DF"/>
    <w:rsid w:val="000F486C"/>
    <w:rsid w:val="00106513"/>
    <w:rsid w:val="00124DB3"/>
    <w:rsid w:val="00156333"/>
    <w:rsid w:val="00167CED"/>
    <w:rsid w:val="0018039A"/>
    <w:rsid w:val="0018329C"/>
    <w:rsid w:val="001A3F68"/>
    <w:rsid w:val="001D2541"/>
    <w:rsid w:val="00235296"/>
    <w:rsid w:val="00243D9C"/>
    <w:rsid w:val="00275F5E"/>
    <w:rsid w:val="00293BD7"/>
    <w:rsid w:val="002A6827"/>
    <w:rsid w:val="002B1FB0"/>
    <w:rsid w:val="002B64BF"/>
    <w:rsid w:val="002F6F50"/>
    <w:rsid w:val="003538C2"/>
    <w:rsid w:val="003A309F"/>
    <w:rsid w:val="003E4CF0"/>
    <w:rsid w:val="00407D55"/>
    <w:rsid w:val="004352F4"/>
    <w:rsid w:val="00457F71"/>
    <w:rsid w:val="00483390"/>
    <w:rsid w:val="004C7937"/>
    <w:rsid w:val="004E2A90"/>
    <w:rsid w:val="00570C0B"/>
    <w:rsid w:val="005F74CB"/>
    <w:rsid w:val="00612073"/>
    <w:rsid w:val="00617637"/>
    <w:rsid w:val="00622BC3"/>
    <w:rsid w:val="006238B9"/>
    <w:rsid w:val="00626068"/>
    <w:rsid w:val="006822B8"/>
    <w:rsid w:val="00696DA7"/>
    <w:rsid w:val="006E4E1B"/>
    <w:rsid w:val="00701698"/>
    <w:rsid w:val="007265D6"/>
    <w:rsid w:val="00737CFF"/>
    <w:rsid w:val="00757B6F"/>
    <w:rsid w:val="007861DE"/>
    <w:rsid w:val="007A7949"/>
    <w:rsid w:val="007D1A23"/>
    <w:rsid w:val="008047B5"/>
    <w:rsid w:val="00811B5E"/>
    <w:rsid w:val="00832EC6"/>
    <w:rsid w:val="008371D0"/>
    <w:rsid w:val="00850624"/>
    <w:rsid w:val="00862D5F"/>
    <w:rsid w:val="008A7C70"/>
    <w:rsid w:val="008C77DE"/>
    <w:rsid w:val="008F2BA6"/>
    <w:rsid w:val="009718BA"/>
    <w:rsid w:val="00980B64"/>
    <w:rsid w:val="00987AD8"/>
    <w:rsid w:val="009A7EDA"/>
    <w:rsid w:val="009D467D"/>
    <w:rsid w:val="00A159C8"/>
    <w:rsid w:val="00A55F0E"/>
    <w:rsid w:val="00A75CF1"/>
    <w:rsid w:val="00A966CB"/>
    <w:rsid w:val="00AA0E8F"/>
    <w:rsid w:val="00AE687D"/>
    <w:rsid w:val="00B144FA"/>
    <w:rsid w:val="00B26098"/>
    <w:rsid w:val="00B30158"/>
    <w:rsid w:val="00B62D36"/>
    <w:rsid w:val="00B80802"/>
    <w:rsid w:val="00BB36CC"/>
    <w:rsid w:val="00BD7BA4"/>
    <w:rsid w:val="00BE050E"/>
    <w:rsid w:val="00C11904"/>
    <w:rsid w:val="00C77A23"/>
    <w:rsid w:val="00C96CF9"/>
    <w:rsid w:val="00CA0FBA"/>
    <w:rsid w:val="00CE6447"/>
    <w:rsid w:val="00D120E0"/>
    <w:rsid w:val="00D24166"/>
    <w:rsid w:val="00D32A9E"/>
    <w:rsid w:val="00D6331D"/>
    <w:rsid w:val="00D701EC"/>
    <w:rsid w:val="00D858AE"/>
    <w:rsid w:val="00DA1C65"/>
    <w:rsid w:val="00DB5F37"/>
    <w:rsid w:val="00E02E63"/>
    <w:rsid w:val="00E211AF"/>
    <w:rsid w:val="00E22236"/>
    <w:rsid w:val="00E37BB5"/>
    <w:rsid w:val="00EC5462"/>
    <w:rsid w:val="00F05ED9"/>
    <w:rsid w:val="00F32E94"/>
    <w:rsid w:val="00F744E9"/>
    <w:rsid w:val="00FB3E35"/>
    <w:rsid w:val="00FB68D7"/>
    <w:rsid w:val="00FF12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48FF"/>
  <w15:chartTrackingRefBased/>
  <w15:docId w15:val="{E3941AE3-71F8-8C4D-B7ED-4B3FB5B5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75CF1"/>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8371D0"/>
    <w:pPr>
      <w:spacing w:before="100" w:beforeAutospacing="1" w:after="100" w:afterAutospacing="1"/>
    </w:pPr>
    <w:rPr>
      <w:rFonts w:ascii="Times New Roman" w:eastAsia="Times New Roman" w:hAnsi="Times New Roman" w:cs="Times New Roman"/>
      <w:lang w:eastAsia="it-IT"/>
    </w:rPr>
  </w:style>
  <w:style w:type="paragraph" w:customStyle="1" w:styleId="p1">
    <w:name w:val="p1"/>
    <w:basedOn w:val="Normale"/>
    <w:rsid w:val="006E4E1B"/>
    <w:pPr>
      <w:spacing w:before="100" w:beforeAutospacing="1" w:after="100" w:afterAutospacing="1"/>
    </w:pPr>
    <w:rPr>
      <w:rFonts w:ascii="Times New Roman" w:eastAsia="Times New Roman" w:hAnsi="Times New Roman" w:cs="Times New Roman"/>
      <w:lang w:eastAsia="it-IT"/>
    </w:rPr>
  </w:style>
  <w:style w:type="paragraph" w:customStyle="1" w:styleId="p2">
    <w:name w:val="p2"/>
    <w:basedOn w:val="Normale"/>
    <w:rsid w:val="000B5F80"/>
    <w:pPr>
      <w:spacing w:before="100" w:beforeAutospacing="1" w:after="100" w:afterAutospacing="1"/>
    </w:pPr>
    <w:rPr>
      <w:rFonts w:ascii="Times New Roman" w:eastAsia="Times New Roman" w:hAnsi="Times New Roman" w:cs="Times New Roman"/>
      <w:lang w:eastAsia="it-IT"/>
    </w:rPr>
  </w:style>
  <w:style w:type="paragraph" w:customStyle="1" w:styleId="p3">
    <w:name w:val="p3"/>
    <w:basedOn w:val="Normale"/>
    <w:rsid w:val="000B5F80"/>
    <w:pPr>
      <w:spacing w:before="100" w:beforeAutospacing="1" w:after="100" w:afterAutospacing="1"/>
    </w:pPr>
    <w:rPr>
      <w:rFonts w:ascii="Times New Roman" w:eastAsia="Times New Roman" w:hAnsi="Times New Roman" w:cs="Times New Roman"/>
      <w:lang w:eastAsia="it-IT"/>
    </w:rPr>
  </w:style>
  <w:style w:type="character" w:styleId="Collegamentoipertestuale">
    <w:name w:val="Hyperlink"/>
    <w:basedOn w:val="Carpredefinitoparagrafo"/>
    <w:uiPriority w:val="99"/>
    <w:unhideWhenUsed/>
    <w:rsid w:val="00B30158"/>
    <w:rPr>
      <w:color w:val="0563C1" w:themeColor="hyperlink"/>
      <w:u w:val="single"/>
    </w:rPr>
  </w:style>
  <w:style w:type="paragraph" w:styleId="Testonotaapidipagina">
    <w:name w:val="footnote text"/>
    <w:basedOn w:val="Normale"/>
    <w:link w:val="TestonotaapidipaginaCarattere"/>
    <w:uiPriority w:val="99"/>
    <w:semiHidden/>
    <w:unhideWhenUsed/>
    <w:rsid w:val="00FB68D7"/>
    <w:rPr>
      <w:sz w:val="20"/>
      <w:szCs w:val="20"/>
    </w:rPr>
  </w:style>
  <w:style w:type="character" w:customStyle="1" w:styleId="TestonotaapidipaginaCarattere">
    <w:name w:val="Testo nota a piè di pagina Carattere"/>
    <w:basedOn w:val="Carpredefinitoparagrafo"/>
    <w:link w:val="Testonotaapidipagina"/>
    <w:uiPriority w:val="99"/>
    <w:semiHidden/>
    <w:rsid w:val="00FB68D7"/>
    <w:rPr>
      <w:sz w:val="20"/>
      <w:szCs w:val="20"/>
    </w:rPr>
  </w:style>
  <w:style w:type="character" w:styleId="Rimandonotaapidipagina">
    <w:name w:val="footnote reference"/>
    <w:basedOn w:val="Carpredefinitoparagrafo"/>
    <w:uiPriority w:val="99"/>
    <w:semiHidden/>
    <w:unhideWhenUsed/>
    <w:rsid w:val="00FB68D7"/>
    <w:rPr>
      <w:vertAlign w:val="superscript"/>
    </w:rPr>
  </w:style>
  <w:style w:type="character" w:styleId="Menzionenonrisolta">
    <w:name w:val="Unresolved Mention"/>
    <w:basedOn w:val="Carpredefinitoparagrafo"/>
    <w:uiPriority w:val="99"/>
    <w:semiHidden/>
    <w:unhideWhenUsed/>
    <w:rsid w:val="00457F71"/>
    <w:rPr>
      <w:color w:val="605E5C"/>
      <w:shd w:val="clear" w:color="auto" w:fill="E1DFDD"/>
    </w:rPr>
  </w:style>
  <w:style w:type="character" w:styleId="Collegamentovisitato">
    <w:name w:val="FollowedHyperlink"/>
    <w:basedOn w:val="Carpredefinitoparagrafo"/>
    <w:uiPriority w:val="99"/>
    <w:semiHidden/>
    <w:unhideWhenUsed/>
    <w:rsid w:val="00124D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965">
      <w:bodyDiv w:val="1"/>
      <w:marLeft w:val="0"/>
      <w:marRight w:val="0"/>
      <w:marTop w:val="0"/>
      <w:marBottom w:val="0"/>
      <w:divBdr>
        <w:top w:val="none" w:sz="0" w:space="0" w:color="auto"/>
        <w:left w:val="none" w:sz="0" w:space="0" w:color="auto"/>
        <w:bottom w:val="none" w:sz="0" w:space="0" w:color="auto"/>
        <w:right w:val="none" w:sz="0" w:space="0" w:color="auto"/>
      </w:divBdr>
    </w:div>
    <w:div w:id="17124930">
      <w:bodyDiv w:val="1"/>
      <w:marLeft w:val="0"/>
      <w:marRight w:val="0"/>
      <w:marTop w:val="0"/>
      <w:marBottom w:val="0"/>
      <w:divBdr>
        <w:top w:val="none" w:sz="0" w:space="0" w:color="auto"/>
        <w:left w:val="none" w:sz="0" w:space="0" w:color="auto"/>
        <w:bottom w:val="none" w:sz="0" w:space="0" w:color="auto"/>
        <w:right w:val="none" w:sz="0" w:space="0" w:color="auto"/>
      </w:divBdr>
    </w:div>
    <w:div w:id="117337029">
      <w:bodyDiv w:val="1"/>
      <w:marLeft w:val="0"/>
      <w:marRight w:val="0"/>
      <w:marTop w:val="0"/>
      <w:marBottom w:val="0"/>
      <w:divBdr>
        <w:top w:val="none" w:sz="0" w:space="0" w:color="auto"/>
        <w:left w:val="none" w:sz="0" w:space="0" w:color="auto"/>
        <w:bottom w:val="none" w:sz="0" w:space="0" w:color="auto"/>
        <w:right w:val="none" w:sz="0" w:space="0" w:color="auto"/>
      </w:divBdr>
    </w:div>
    <w:div w:id="126316645">
      <w:bodyDiv w:val="1"/>
      <w:marLeft w:val="0"/>
      <w:marRight w:val="0"/>
      <w:marTop w:val="0"/>
      <w:marBottom w:val="0"/>
      <w:divBdr>
        <w:top w:val="none" w:sz="0" w:space="0" w:color="auto"/>
        <w:left w:val="none" w:sz="0" w:space="0" w:color="auto"/>
        <w:bottom w:val="none" w:sz="0" w:space="0" w:color="auto"/>
        <w:right w:val="none" w:sz="0" w:space="0" w:color="auto"/>
      </w:divBdr>
    </w:div>
    <w:div w:id="153225345">
      <w:bodyDiv w:val="1"/>
      <w:marLeft w:val="0"/>
      <w:marRight w:val="0"/>
      <w:marTop w:val="0"/>
      <w:marBottom w:val="0"/>
      <w:divBdr>
        <w:top w:val="none" w:sz="0" w:space="0" w:color="auto"/>
        <w:left w:val="none" w:sz="0" w:space="0" w:color="auto"/>
        <w:bottom w:val="none" w:sz="0" w:space="0" w:color="auto"/>
        <w:right w:val="none" w:sz="0" w:space="0" w:color="auto"/>
      </w:divBdr>
    </w:div>
    <w:div w:id="154733995">
      <w:bodyDiv w:val="1"/>
      <w:marLeft w:val="0"/>
      <w:marRight w:val="0"/>
      <w:marTop w:val="0"/>
      <w:marBottom w:val="0"/>
      <w:divBdr>
        <w:top w:val="none" w:sz="0" w:space="0" w:color="auto"/>
        <w:left w:val="none" w:sz="0" w:space="0" w:color="auto"/>
        <w:bottom w:val="none" w:sz="0" w:space="0" w:color="auto"/>
        <w:right w:val="none" w:sz="0" w:space="0" w:color="auto"/>
      </w:divBdr>
    </w:div>
    <w:div w:id="161245228">
      <w:bodyDiv w:val="1"/>
      <w:marLeft w:val="0"/>
      <w:marRight w:val="0"/>
      <w:marTop w:val="0"/>
      <w:marBottom w:val="0"/>
      <w:divBdr>
        <w:top w:val="none" w:sz="0" w:space="0" w:color="auto"/>
        <w:left w:val="none" w:sz="0" w:space="0" w:color="auto"/>
        <w:bottom w:val="none" w:sz="0" w:space="0" w:color="auto"/>
        <w:right w:val="none" w:sz="0" w:space="0" w:color="auto"/>
      </w:divBdr>
    </w:div>
    <w:div w:id="164169178">
      <w:bodyDiv w:val="1"/>
      <w:marLeft w:val="0"/>
      <w:marRight w:val="0"/>
      <w:marTop w:val="0"/>
      <w:marBottom w:val="0"/>
      <w:divBdr>
        <w:top w:val="none" w:sz="0" w:space="0" w:color="auto"/>
        <w:left w:val="none" w:sz="0" w:space="0" w:color="auto"/>
        <w:bottom w:val="none" w:sz="0" w:space="0" w:color="auto"/>
        <w:right w:val="none" w:sz="0" w:space="0" w:color="auto"/>
      </w:divBdr>
    </w:div>
    <w:div w:id="173763412">
      <w:bodyDiv w:val="1"/>
      <w:marLeft w:val="0"/>
      <w:marRight w:val="0"/>
      <w:marTop w:val="0"/>
      <w:marBottom w:val="0"/>
      <w:divBdr>
        <w:top w:val="none" w:sz="0" w:space="0" w:color="auto"/>
        <w:left w:val="none" w:sz="0" w:space="0" w:color="auto"/>
        <w:bottom w:val="none" w:sz="0" w:space="0" w:color="auto"/>
        <w:right w:val="none" w:sz="0" w:space="0" w:color="auto"/>
      </w:divBdr>
    </w:div>
    <w:div w:id="179127669">
      <w:bodyDiv w:val="1"/>
      <w:marLeft w:val="0"/>
      <w:marRight w:val="0"/>
      <w:marTop w:val="0"/>
      <w:marBottom w:val="0"/>
      <w:divBdr>
        <w:top w:val="none" w:sz="0" w:space="0" w:color="auto"/>
        <w:left w:val="none" w:sz="0" w:space="0" w:color="auto"/>
        <w:bottom w:val="none" w:sz="0" w:space="0" w:color="auto"/>
        <w:right w:val="none" w:sz="0" w:space="0" w:color="auto"/>
      </w:divBdr>
    </w:div>
    <w:div w:id="217057683">
      <w:bodyDiv w:val="1"/>
      <w:marLeft w:val="0"/>
      <w:marRight w:val="0"/>
      <w:marTop w:val="0"/>
      <w:marBottom w:val="0"/>
      <w:divBdr>
        <w:top w:val="none" w:sz="0" w:space="0" w:color="auto"/>
        <w:left w:val="none" w:sz="0" w:space="0" w:color="auto"/>
        <w:bottom w:val="none" w:sz="0" w:space="0" w:color="auto"/>
        <w:right w:val="none" w:sz="0" w:space="0" w:color="auto"/>
      </w:divBdr>
    </w:div>
    <w:div w:id="241531095">
      <w:bodyDiv w:val="1"/>
      <w:marLeft w:val="0"/>
      <w:marRight w:val="0"/>
      <w:marTop w:val="0"/>
      <w:marBottom w:val="0"/>
      <w:divBdr>
        <w:top w:val="none" w:sz="0" w:space="0" w:color="auto"/>
        <w:left w:val="none" w:sz="0" w:space="0" w:color="auto"/>
        <w:bottom w:val="none" w:sz="0" w:space="0" w:color="auto"/>
        <w:right w:val="none" w:sz="0" w:space="0" w:color="auto"/>
      </w:divBdr>
    </w:div>
    <w:div w:id="287510725">
      <w:bodyDiv w:val="1"/>
      <w:marLeft w:val="0"/>
      <w:marRight w:val="0"/>
      <w:marTop w:val="0"/>
      <w:marBottom w:val="0"/>
      <w:divBdr>
        <w:top w:val="none" w:sz="0" w:space="0" w:color="auto"/>
        <w:left w:val="none" w:sz="0" w:space="0" w:color="auto"/>
        <w:bottom w:val="none" w:sz="0" w:space="0" w:color="auto"/>
        <w:right w:val="none" w:sz="0" w:space="0" w:color="auto"/>
      </w:divBdr>
    </w:div>
    <w:div w:id="290013506">
      <w:bodyDiv w:val="1"/>
      <w:marLeft w:val="0"/>
      <w:marRight w:val="0"/>
      <w:marTop w:val="0"/>
      <w:marBottom w:val="0"/>
      <w:divBdr>
        <w:top w:val="none" w:sz="0" w:space="0" w:color="auto"/>
        <w:left w:val="none" w:sz="0" w:space="0" w:color="auto"/>
        <w:bottom w:val="none" w:sz="0" w:space="0" w:color="auto"/>
        <w:right w:val="none" w:sz="0" w:space="0" w:color="auto"/>
      </w:divBdr>
    </w:div>
    <w:div w:id="351345490">
      <w:bodyDiv w:val="1"/>
      <w:marLeft w:val="0"/>
      <w:marRight w:val="0"/>
      <w:marTop w:val="0"/>
      <w:marBottom w:val="0"/>
      <w:divBdr>
        <w:top w:val="none" w:sz="0" w:space="0" w:color="auto"/>
        <w:left w:val="none" w:sz="0" w:space="0" w:color="auto"/>
        <w:bottom w:val="none" w:sz="0" w:space="0" w:color="auto"/>
        <w:right w:val="none" w:sz="0" w:space="0" w:color="auto"/>
      </w:divBdr>
    </w:div>
    <w:div w:id="440612525">
      <w:bodyDiv w:val="1"/>
      <w:marLeft w:val="0"/>
      <w:marRight w:val="0"/>
      <w:marTop w:val="0"/>
      <w:marBottom w:val="0"/>
      <w:divBdr>
        <w:top w:val="none" w:sz="0" w:space="0" w:color="auto"/>
        <w:left w:val="none" w:sz="0" w:space="0" w:color="auto"/>
        <w:bottom w:val="none" w:sz="0" w:space="0" w:color="auto"/>
        <w:right w:val="none" w:sz="0" w:space="0" w:color="auto"/>
      </w:divBdr>
    </w:div>
    <w:div w:id="441536296">
      <w:bodyDiv w:val="1"/>
      <w:marLeft w:val="0"/>
      <w:marRight w:val="0"/>
      <w:marTop w:val="0"/>
      <w:marBottom w:val="0"/>
      <w:divBdr>
        <w:top w:val="none" w:sz="0" w:space="0" w:color="auto"/>
        <w:left w:val="none" w:sz="0" w:space="0" w:color="auto"/>
        <w:bottom w:val="none" w:sz="0" w:space="0" w:color="auto"/>
        <w:right w:val="none" w:sz="0" w:space="0" w:color="auto"/>
      </w:divBdr>
    </w:div>
    <w:div w:id="464472610">
      <w:bodyDiv w:val="1"/>
      <w:marLeft w:val="0"/>
      <w:marRight w:val="0"/>
      <w:marTop w:val="0"/>
      <w:marBottom w:val="0"/>
      <w:divBdr>
        <w:top w:val="none" w:sz="0" w:space="0" w:color="auto"/>
        <w:left w:val="none" w:sz="0" w:space="0" w:color="auto"/>
        <w:bottom w:val="none" w:sz="0" w:space="0" w:color="auto"/>
        <w:right w:val="none" w:sz="0" w:space="0" w:color="auto"/>
      </w:divBdr>
    </w:div>
    <w:div w:id="469978374">
      <w:bodyDiv w:val="1"/>
      <w:marLeft w:val="0"/>
      <w:marRight w:val="0"/>
      <w:marTop w:val="0"/>
      <w:marBottom w:val="0"/>
      <w:divBdr>
        <w:top w:val="none" w:sz="0" w:space="0" w:color="auto"/>
        <w:left w:val="none" w:sz="0" w:space="0" w:color="auto"/>
        <w:bottom w:val="none" w:sz="0" w:space="0" w:color="auto"/>
        <w:right w:val="none" w:sz="0" w:space="0" w:color="auto"/>
      </w:divBdr>
    </w:div>
    <w:div w:id="485360819">
      <w:bodyDiv w:val="1"/>
      <w:marLeft w:val="0"/>
      <w:marRight w:val="0"/>
      <w:marTop w:val="0"/>
      <w:marBottom w:val="0"/>
      <w:divBdr>
        <w:top w:val="none" w:sz="0" w:space="0" w:color="auto"/>
        <w:left w:val="none" w:sz="0" w:space="0" w:color="auto"/>
        <w:bottom w:val="none" w:sz="0" w:space="0" w:color="auto"/>
        <w:right w:val="none" w:sz="0" w:space="0" w:color="auto"/>
      </w:divBdr>
    </w:div>
    <w:div w:id="520244759">
      <w:bodyDiv w:val="1"/>
      <w:marLeft w:val="0"/>
      <w:marRight w:val="0"/>
      <w:marTop w:val="0"/>
      <w:marBottom w:val="0"/>
      <w:divBdr>
        <w:top w:val="none" w:sz="0" w:space="0" w:color="auto"/>
        <w:left w:val="none" w:sz="0" w:space="0" w:color="auto"/>
        <w:bottom w:val="none" w:sz="0" w:space="0" w:color="auto"/>
        <w:right w:val="none" w:sz="0" w:space="0" w:color="auto"/>
      </w:divBdr>
    </w:div>
    <w:div w:id="542447768">
      <w:bodyDiv w:val="1"/>
      <w:marLeft w:val="0"/>
      <w:marRight w:val="0"/>
      <w:marTop w:val="0"/>
      <w:marBottom w:val="0"/>
      <w:divBdr>
        <w:top w:val="none" w:sz="0" w:space="0" w:color="auto"/>
        <w:left w:val="none" w:sz="0" w:space="0" w:color="auto"/>
        <w:bottom w:val="none" w:sz="0" w:space="0" w:color="auto"/>
        <w:right w:val="none" w:sz="0" w:space="0" w:color="auto"/>
      </w:divBdr>
    </w:div>
    <w:div w:id="574630567">
      <w:bodyDiv w:val="1"/>
      <w:marLeft w:val="0"/>
      <w:marRight w:val="0"/>
      <w:marTop w:val="0"/>
      <w:marBottom w:val="0"/>
      <w:divBdr>
        <w:top w:val="none" w:sz="0" w:space="0" w:color="auto"/>
        <w:left w:val="none" w:sz="0" w:space="0" w:color="auto"/>
        <w:bottom w:val="none" w:sz="0" w:space="0" w:color="auto"/>
        <w:right w:val="none" w:sz="0" w:space="0" w:color="auto"/>
      </w:divBdr>
    </w:div>
    <w:div w:id="588545306">
      <w:bodyDiv w:val="1"/>
      <w:marLeft w:val="0"/>
      <w:marRight w:val="0"/>
      <w:marTop w:val="0"/>
      <w:marBottom w:val="0"/>
      <w:divBdr>
        <w:top w:val="none" w:sz="0" w:space="0" w:color="auto"/>
        <w:left w:val="none" w:sz="0" w:space="0" w:color="auto"/>
        <w:bottom w:val="none" w:sz="0" w:space="0" w:color="auto"/>
        <w:right w:val="none" w:sz="0" w:space="0" w:color="auto"/>
      </w:divBdr>
    </w:div>
    <w:div w:id="622611035">
      <w:bodyDiv w:val="1"/>
      <w:marLeft w:val="0"/>
      <w:marRight w:val="0"/>
      <w:marTop w:val="0"/>
      <w:marBottom w:val="0"/>
      <w:divBdr>
        <w:top w:val="none" w:sz="0" w:space="0" w:color="auto"/>
        <w:left w:val="none" w:sz="0" w:space="0" w:color="auto"/>
        <w:bottom w:val="none" w:sz="0" w:space="0" w:color="auto"/>
        <w:right w:val="none" w:sz="0" w:space="0" w:color="auto"/>
      </w:divBdr>
    </w:div>
    <w:div w:id="650641652">
      <w:bodyDiv w:val="1"/>
      <w:marLeft w:val="0"/>
      <w:marRight w:val="0"/>
      <w:marTop w:val="0"/>
      <w:marBottom w:val="0"/>
      <w:divBdr>
        <w:top w:val="none" w:sz="0" w:space="0" w:color="auto"/>
        <w:left w:val="none" w:sz="0" w:space="0" w:color="auto"/>
        <w:bottom w:val="none" w:sz="0" w:space="0" w:color="auto"/>
        <w:right w:val="none" w:sz="0" w:space="0" w:color="auto"/>
      </w:divBdr>
    </w:div>
    <w:div w:id="714622356">
      <w:bodyDiv w:val="1"/>
      <w:marLeft w:val="0"/>
      <w:marRight w:val="0"/>
      <w:marTop w:val="0"/>
      <w:marBottom w:val="0"/>
      <w:divBdr>
        <w:top w:val="none" w:sz="0" w:space="0" w:color="auto"/>
        <w:left w:val="none" w:sz="0" w:space="0" w:color="auto"/>
        <w:bottom w:val="none" w:sz="0" w:space="0" w:color="auto"/>
        <w:right w:val="none" w:sz="0" w:space="0" w:color="auto"/>
      </w:divBdr>
    </w:div>
    <w:div w:id="730033228">
      <w:bodyDiv w:val="1"/>
      <w:marLeft w:val="0"/>
      <w:marRight w:val="0"/>
      <w:marTop w:val="0"/>
      <w:marBottom w:val="0"/>
      <w:divBdr>
        <w:top w:val="none" w:sz="0" w:space="0" w:color="auto"/>
        <w:left w:val="none" w:sz="0" w:space="0" w:color="auto"/>
        <w:bottom w:val="none" w:sz="0" w:space="0" w:color="auto"/>
        <w:right w:val="none" w:sz="0" w:space="0" w:color="auto"/>
      </w:divBdr>
    </w:div>
    <w:div w:id="740250732">
      <w:bodyDiv w:val="1"/>
      <w:marLeft w:val="0"/>
      <w:marRight w:val="0"/>
      <w:marTop w:val="0"/>
      <w:marBottom w:val="0"/>
      <w:divBdr>
        <w:top w:val="none" w:sz="0" w:space="0" w:color="auto"/>
        <w:left w:val="none" w:sz="0" w:space="0" w:color="auto"/>
        <w:bottom w:val="none" w:sz="0" w:space="0" w:color="auto"/>
        <w:right w:val="none" w:sz="0" w:space="0" w:color="auto"/>
      </w:divBdr>
    </w:div>
    <w:div w:id="745885497">
      <w:bodyDiv w:val="1"/>
      <w:marLeft w:val="0"/>
      <w:marRight w:val="0"/>
      <w:marTop w:val="0"/>
      <w:marBottom w:val="0"/>
      <w:divBdr>
        <w:top w:val="none" w:sz="0" w:space="0" w:color="auto"/>
        <w:left w:val="none" w:sz="0" w:space="0" w:color="auto"/>
        <w:bottom w:val="none" w:sz="0" w:space="0" w:color="auto"/>
        <w:right w:val="none" w:sz="0" w:space="0" w:color="auto"/>
      </w:divBdr>
    </w:div>
    <w:div w:id="773672441">
      <w:bodyDiv w:val="1"/>
      <w:marLeft w:val="0"/>
      <w:marRight w:val="0"/>
      <w:marTop w:val="0"/>
      <w:marBottom w:val="0"/>
      <w:divBdr>
        <w:top w:val="none" w:sz="0" w:space="0" w:color="auto"/>
        <w:left w:val="none" w:sz="0" w:space="0" w:color="auto"/>
        <w:bottom w:val="none" w:sz="0" w:space="0" w:color="auto"/>
        <w:right w:val="none" w:sz="0" w:space="0" w:color="auto"/>
      </w:divBdr>
    </w:div>
    <w:div w:id="774668125">
      <w:bodyDiv w:val="1"/>
      <w:marLeft w:val="0"/>
      <w:marRight w:val="0"/>
      <w:marTop w:val="0"/>
      <w:marBottom w:val="0"/>
      <w:divBdr>
        <w:top w:val="none" w:sz="0" w:space="0" w:color="auto"/>
        <w:left w:val="none" w:sz="0" w:space="0" w:color="auto"/>
        <w:bottom w:val="none" w:sz="0" w:space="0" w:color="auto"/>
        <w:right w:val="none" w:sz="0" w:space="0" w:color="auto"/>
      </w:divBdr>
    </w:div>
    <w:div w:id="785084296">
      <w:bodyDiv w:val="1"/>
      <w:marLeft w:val="0"/>
      <w:marRight w:val="0"/>
      <w:marTop w:val="0"/>
      <w:marBottom w:val="0"/>
      <w:divBdr>
        <w:top w:val="none" w:sz="0" w:space="0" w:color="auto"/>
        <w:left w:val="none" w:sz="0" w:space="0" w:color="auto"/>
        <w:bottom w:val="none" w:sz="0" w:space="0" w:color="auto"/>
        <w:right w:val="none" w:sz="0" w:space="0" w:color="auto"/>
      </w:divBdr>
    </w:div>
    <w:div w:id="785849843">
      <w:bodyDiv w:val="1"/>
      <w:marLeft w:val="0"/>
      <w:marRight w:val="0"/>
      <w:marTop w:val="0"/>
      <w:marBottom w:val="0"/>
      <w:divBdr>
        <w:top w:val="none" w:sz="0" w:space="0" w:color="auto"/>
        <w:left w:val="none" w:sz="0" w:space="0" w:color="auto"/>
        <w:bottom w:val="none" w:sz="0" w:space="0" w:color="auto"/>
        <w:right w:val="none" w:sz="0" w:space="0" w:color="auto"/>
      </w:divBdr>
    </w:div>
    <w:div w:id="787359534">
      <w:bodyDiv w:val="1"/>
      <w:marLeft w:val="0"/>
      <w:marRight w:val="0"/>
      <w:marTop w:val="0"/>
      <w:marBottom w:val="0"/>
      <w:divBdr>
        <w:top w:val="none" w:sz="0" w:space="0" w:color="auto"/>
        <w:left w:val="none" w:sz="0" w:space="0" w:color="auto"/>
        <w:bottom w:val="none" w:sz="0" w:space="0" w:color="auto"/>
        <w:right w:val="none" w:sz="0" w:space="0" w:color="auto"/>
      </w:divBdr>
    </w:div>
    <w:div w:id="843325433">
      <w:bodyDiv w:val="1"/>
      <w:marLeft w:val="0"/>
      <w:marRight w:val="0"/>
      <w:marTop w:val="0"/>
      <w:marBottom w:val="0"/>
      <w:divBdr>
        <w:top w:val="none" w:sz="0" w:space="0" w:color="auto"/>
        <w:left w:val="none" w:sz="0" w:space="0" w:color="auto"/>
        <w:bottom w:val="none" w:sz="0" w:space="0" w:color="auto"/>
        <w:right w:val="none" w:sz="0" w:space="0" w:color="auto"/>
      </w:divBdr>
    </w:div>
    <w:div w:id="843663548">
      <w:bodyDiv w:val="1"/>
      <w:marLeft w:val="0"/>
      <w:marRight w:val="0"/>
      <w:marTop w:val="0"/>
      <w:marBottom w:val="0"/>
      <w:divBdr>
        <w:top w:val="none" w:sz="0" w:space="0" w:color="auto"/>
        <w:left w:val="none" w:sz="0" w:space="0" w:color="auto"/>
        <w:bottom w:val="none" w:sz="0" w:space="0" w:color="auto"/>
        <w:right w:val="none" w:sz="0" w:space="0" w:color="auto"/>
      </w:divBdr>
    </w:div>
    <w:div w:id="900600817">
      <w:bodyDiv w:val="1"/>
      <w:marLeft w:val="0"/>
      <w:marRight w:val="0"/>
      <w:marTop w:val="0"/>
      <w:marBottom w:val="0"/>
      <w:divBdr>
        <w:top w:val="none" w:sz="0" w:space="0" w:color="auto"/>
        <w:left w:val="none" w:sz="0" w:space="0" w:color="auto"/>
        <w:bottom w:val="none" w:sz="0" w:space="0" w:color="auto"/>
        <w:right w:val="none" w:sz="0" w:space="0" w:color="auto"/>
      </w:divBdr>
    </w:div>
    <w:div w:id="902839038">
      <w:bodyDiv w:val="1"/>
      <w:marLeft w:val="0"/>
      <w:marRight w:val="0"/>
      <w:marTop w:val="0"/>
      <w:marBottom w:val="0"/>
      <w:divBdr>
        <w:top w:val="none" w:sz="0" w:space="0" w:color="auto"/>
        <w:left w:val="none" w:sz="0" w:space="0" w:color="auto"/>
        <w:bottom w:val="none" w:sz="0" w:space="0" w:color="auto"/>
        <w:right w:val="none" w:sz="0" w:space="0" w:color="auto"/>
      </w:divBdr>
    </w:div>
    <w:div w:id="923496509">
      <w:bodyDiv w:val="1"/>
      <w:marLeft w:val="0"/>
      <w:marRight w:val="0"/>
      <w:marTop w:val="0"/>
      <w:marBottom w:val="0"/>
      <w:divBdr>
        <w:top w:val="none" w:sz="0" w:space="0" w:color="auto"/>
        <w:left w:val="none" w:sz="0" w:space="0" w:color="auto"/>
        <w:bottom w:val="none" w:sz="0" w:space="0" w:color="auto"/>
        <w:right w:val="none" w:sz="0" w:space="0" w:color="auto"/>
      </w:divBdr>
    </w:div>
    <w:div w:id="927495950">
      <w:bodyDiv w:val="1"/>
      <w:marLeft w:val="0"/>
      <w:marRight w:val="0"/>
      <w:marTop w:val="0"/>
      <w:marBottom w:val="0"/>
      <w:divBdr>
        <w:top w:val="none" w:sz="0" w:space="0" w:color="auto"/>
        <w:left w:val="none" w:sz="0" w:space="0" w:color="auto"/>
        <w:bottom w:val="none" w:sz="0" w:space="0" w:color="auto"/>
        <w:right w:val="none" w:sz="0" w:space="0" w:color="auto"/>
      </w:divBdr>
    </w:div>
    <w:div w:id="947152926">
      <w:bodyDiv w:val="1"/>
      <w:marLeft w:val="0"/>
      <w:marRight w:val="0"/>
      <w:marTop w:val="0"/>
      <w:marBottom w:val="0"/>
      <w:divBdr>
        <w:top w:val="none" w:sz="0" w:space="0" w:color="auto"/>
        <w:left w:val="none" w:sz="0" w:space="0" w:color="auto"/>
        <w:bottom w:val="none" w:sz="0" w:space="0" w:color="auto"/>
        <w:right w:val="none" w:sz="0" w:space="0" w:color="auto"/>
      </w:divBdr>
    </w:div>
    <w:div w:id="963317762">
      <w:bodyDiv w:val="1"/>
      <w:marLeft w:val="0"/>
      <w:marRight w:val="0"/>
      <w:marTop w:val="0"/>
      <w:marBottom w:val="0"/>
      <w:divBdr>
        <w:top w:val="none" w:sz="0" w:space="0" w:color="auto"/>
        <w:left w:val="none" w:sz="0" w:space="0" w:color="auto"/>
        <w:bottom w:val="none" w:sz="0" w:space="0" w:color="auto"/>
        <w:right w:val="none" w:sz="0" w:space="0" w:color="auto"/>
      </w:divBdr>
    </w:div>
    <w:div w:id="96778186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105734695">
      <w:bodyDiv w:val="1"/>
      <w:marLeft w:val="0"/>
      <w:marRight w:val="0"/>
      <w:marTop w:val="0"/>
      <w:marBottom w:val="0"/>
      <w:divBdr>
        <w:top w:val="none" w:sz="0" w:space="0" w:color="auto"/>
        <w:left w:val="none" w:sz="0" w:space="0" w:color="auto"/>
        <w:bottom w:val="none" w:sz="0" w:space="0" w:color="auto"/>
        <w:right w:val="none" w:sz="0" w:space="0" w:color="auto"/>
      </w:divBdr>
    </w:div>
    <w:div w:id="1118990806">
      <w:bodyDiv w:val="1"/>
      <w:marLeft w:val="0"/>
      <w:marRight w:val="0"/>
      <w:marTop w:val="0"/>
      <w:marBottom w:val="0"/>
      <w:divBdr>
        <w:top w:val="none" w:sz="0" w:space="0" w:color="auto"/>
        <w:left w:val="none" w:sz="0" w:space="0" w:color="auto"/>
        <w:bottom w:val="none" w:sz="0" w:space="0" w:color="auto"/>
        <w:right w:val="none" w:sz="0" w:space="0" w:color="auto"/>
      </w:divBdr>
    </w:div>
    <w:div w:id="1140685376">
      <w:bodyDiv w:val="1"/>
      <w:marLeft w:val="0"/>
      <w:marRight w:val="0"/>
      <w:marTop w:val="0"/>
      <w:marBottom w:val="0"/>
      <w:divBdr>
        <w:top w:val="none" w:sz="0" w:space="0" w:color="auto"/>
        <w:left w:val="none" w:sz="0" w:space="0" w:color="auto"/>
        <w:bottom w:val="none" w:sz="0" w:space="0" w:color="auto"/>
        <w:right w:val="none" w:sz="0" w:space="0" w:color="auto"/>
      </w:divBdr>
    </w:div>
    <w:div w:id="1160998317">
      <w:bodyDiv w:val="1"/>
      <w:marLeft w:val="0"/>
      <w:marRight w:val="0"/>
      <w:marTop w:val="0"/>
      <w:marBottom w:val="0"/>
      <w:divBdr>
        <w:top w:val="none" w:sz="0" w:space="0" w:color="auto"/>
        <w:left w:val="none" w:sz="0" w:space="0" w:color="auto"/>
        <w:bottom w:val="none" w:sz="0" w:space="0" w:color="auto"/>
        <w:right w:val="none" w:sz="0" w:space="0" w:color="auto"/>
      </w:divBdr>
    </w:div>
    <w:div w:id="1193885397">
      <w:bodyDiv w:val="1"/>
      <w:marLeft w:val="0"/>
      <w:marRight w:val="0"/>
      <w:marTop w:val="0"/>
      <w:marBottom w:val="0"/>
      <w:divBdr>
        <w:top w:val="none" w:sz="0" w:space="0" w:color="auto"/>
        <w:left w:val="none" w:sz="0" w:space="0" w:color="auto"/>
        <w:bottom w:val="none" w:sz="0" w:space="0" w:color="auto"/>
        <w:right w:val="none" w:sz="0" w:space="0" w:color="auto"/>
      </w:divBdr>
    </w:div>
    <w:div w:id="1203440640">
      <w:bodyDiv w:val="1"/>
      <w:marLeft w:val="0"/>
      <w:marRight w:val="0"/>
      <w:marTop w:val="0"/>
      <w:marBottom w:val="0"/>
      <w:divBdr>
        <w:top w:val="none" w:sz="0" w:space="0" w:color="auto"/>
        <w:left w:val="none" w:sz="0" w:space="0" w:color="auto"/>
        <w:bottom w:val="none" w:sz="0" w:space="0" w:color="auto"/>
        <w:right w:val="none" w:sz="0" w:space="0" w:color="auto"/>
      </w:divBdr>
    </w:div>
    <w:div w:id="1211042095">
      <w:bodyDiv w:val="1"/>
      <w:marLeft w:val="0"/>
      <w:marRight w:val="0"/>
      <w:marTop w:val="0"/>
      <w:marBottom w:val="0"/>
      <w:divBdr>
        <w:top w:val="none" w:sz="0" w:space="0" w:color="auto"/>
        <w:left w:val="none" w:sz="0" w:space="0" w:color="auto"/>
        <w:bottom w:val="none" w:sz="0" w:space="0" w:color="auto"/>
        <w:right w:val="none" w:sz="0" w:space="0" w:color="auto"/>
      </w:divBdr>
    </w:div>
    <w:div w:id="1252424564">
      <w:bodyDiv w:val="1"/>
      <w:marLeft w:val="0"/>
      <w:marRight w:val="0"/>
      <w:marTop w:val="0"/>
      <w:marBottom w:val="0"/>
      <w:divBdr>
        <w:top w:val="none" w:sz="0" w:space="0" w:color="auto"/>
        <w:left w:val="none" w:sz="0" w:space="0" w:color="auto"/>
        <w:bottom w:val="none" w:sz="0" w:space="0" w:color="auto"/>
        <w:right w:val="none" w:sz="0" w:space="0" w:color="auto"/>
      </w:divBdr>
    </w:div>
    <w:div w:id="1264190278">
      <w:bodyDiv w:val="1"/>
      <w:marLeft w:val="0"/>
      <w:marRight w:val="0"/>
      <w:marTop w:val="0"/>
      <w:marBottom w:val="0"/>
      <w:divBdr>
        <w:top w:val="none" w:sz="0" w:space="0" w:color="auto"/>
        <w:left w:val="none" w:sz="0" w:space="0" w:color="auto"/>
        <w:bottom w:val="none" w:sz="0" w:space="0" w:color="auto"/>
        <w:right w:val="none" w:sz="0" w:space="0" w:color="auto"/>
      </w:divBdr>
    </w:div>
    <w:div w:id="1267037268">
      <w:bodyDiv w:val="1"/>
      <w:marLeft w:val="0"/>
      <w:marRight w:val="0"/>
      <w:marTop w:val="0"/>
      <w:marBottom w:val="0"/>
      <w:divBdr>
        <w:top w:val="none" w:sz="0" w:space="0" w:color="auto"/>
        <w:left w:val="none" w:sz="0" w:space="0" w:color="auto"/>
        <w:bottom w:val="none" w:sz="0" w:space="0" w:color="auto"/>
        <w:right w:val="none" w:sz="0" w:space="0" w:color="auto"/>
      </w:divBdr>
    </w:div>
    <w:div w:id="1394351377">
      <w:bodyDiv w:val="1"/>
      <w:marLeft w:val="0"/>
      <w:marRight w:val="0"/>
      <w:marTop w:val="0"/>
      <w:marBottom w:val="0"/>
      <w:divBdr>
        <w:top w:val="none" w:sz="0" w:space="0" w:color="auto"/>
        <w:left w:val="none" w:sz="0" w:space="0" w:color="auto"/>
        <w:bottom w:val="none" w:sz="0" w:space="0" w:color="auto"/>
        <w:right w:val="none" w:sz="0" w:space="0" w:color="auto"/>
      </w:divBdr>
    </w:div>
    <w:div w:id="1491797759">
      <w:bodyDiv w:val="1"/>
      <w:marLeft w:val="0"/>
      <w:marRight w:val="0"/>
      <w:marTop w:val="0"/>
      <w:marBottom w:val="0"/>
      <w:divBdr>
        <w:top w:val="none" w:sz="0" w:space="0" w:color="auto"/>
        <w:left w:val="none" w:sz="0" w:space="0" w:color="auto"/>
        <w:bottom w:val="none" w:sz="0" w:space="0" w:color="auto"/>
        <w:right w:val="none" w:sz="0" w:space="0" w:color="auto"/>
      </w:divBdr>
    </w:div>
    <w:div w:id="1496529101">
      <w:bodyDiv w:val="1"/>
      <w:marLeft w:val="0"/>
      <w:marRight w:val="0"/>
      <w:marTop w:val="0"/>
      <w:marBottom w:val="0"/>
      <w:divBdr>
        <w:top w:val="none" w:sz="0" w:space="0" w:color="auto"/>
        <w:left w:val="none" w:sz="0" w:space="0" w:color="auto"/>
        <w:bottom w:val="none" w:sz="0" w:space="0" w:color="auto"/>
        <w:right w:val="none" w:sz="0" w:space="0" w:color="auto"/>
      </w:divBdr>
    </w:div>
    <w:div w:id="1534030225">
      <w:bodyDiv w:val="1"/>
      <w:marLeft w:val="0"/>
      <w:marRight w:val="0"/>
      <w:marTop w:val="0"/>
      <w:marBottom w:val="0"/>
      <w:divBdr>
        <w:top w:val="none" w:sz="0" w:space="0" w:color="auto"/>
        <w:left w:val="none" w:sz="0" w:space="0" w:color="auto"/>
        <w:bottom w:val="none" w:sz="0" w:space="0" w:color="auto"/>
        <w:right w:val="none" w:sz="0" w:space="0" w:color="auto"/>
      </w:divBdr>
    </w:div>
    <w:div w:id="1539852633">
      <w:bodyDiv w:val="1"/>
      <w:marLeft w:val="0"/>
      <w:marRight w:val="0"/>
      <w:marTop w:val="0"/>
      <w:marBottom w:val="0"/>
      <w:divBdr>
        <w:top w:val="none" w:sz="0" w:space="0" w:color="auto"/>
        <w:left w:val="none" w:sz="0" w:space="0" w:color="auto"/>
        <w:bottom w:val="none" w:sz="0" w:space="0" w:color="auto"/>
        <w:right w:val="none" w:sz="0" w:space="0" w:color="auto"/>
      </w:divBdr>
    </w:div>
    <w:div w:id="1563757079">
      <w:bodyDiv w:val="1"/>
      <w:marLeft w:val="0"/>
      <w:marRight w:val="0"/>
      <w:marTop w:val="0"/>
      <w:marBottom w:val="0"/>
      <w:divBdr>
        <w:top w:val="none" w:sz="0" w:space="0" w:color="auto"/>
        <w:left w:val="none" w:sz="0" w:space="0" w:color="auto"/>
        <w:bottom w:val="none" w:sz="0" w:space="0" w:color="auto"/>
        <w:right w:val="none" w:sz="0" w:space="0" w:color="auto"/>
      </w:divBdr>
    </w:div>
    <w:div w:id="1612516177">
      <w:bodyDiv w:val="1"/>
      <w:marLeft w:val="0"/>
      <w:marRight w:val="0"/>
      <w:marTop w:val="0"/>
      <w:marBottom w:val="0"/>
      <w:divBdr>
        <w:top w:val="none" w:sz="0" w:space="0" w:color="auto"/>
        <w:left w:val="none" w:sz="0" w:space="0" w:color="auto"/>
        <w:bottom w:val="none" w:sz="0" w:space="0" w:color="auto"/>
        <w:right w:val="none" w:sz="0" w:space="0" w:color="auto"/>
      </w:divBdr>
    </w:div>
    <w:div w:id="1666981178">
      <w:bodyDiv w:val="1"/>
      <w:marLeft w:val="0"/>
      <w:marRight w:val="0"/>
      <w:marTop w:val="0"/>
      <w:marBottom w:val="0"/>
      <w:divBdr>
        <w:top w:val="none" w:sz="0" w:space="0" w:color="auto"/>
        <w:left w:val="none" w:sz="0" w:space="0" w:color="auto"/>
        <w:bottom w:val="none" w:sz="0" w:space="0" w:color="auto"/>
        <w:right w:val="none" w:sz="0" w:space="0" w:color="auto"/>
      </w:divBdr>
    </w:div>
    <w:div w:id="1695497952">
      <w:bodyDiv w:val="1"/>
      <w:marLeft w:val="0"/>
      <w:marRight w:val="0"/>
      <w:marTop w:val="0"/>
      <w:marBottom w:val="0"/>
      <w:divBdr>
        <w:top w:val="none" w:sz="0" w:space="0" w:color="auto"/>
        <w:left w:val="none" w:sz="0" w:space="0" w:color="auto"/>
        <w:bottom w:val="none" w:sz="0" w:space="0" w:color="auto"/>
        <w:right w:val="none" w:sz="0" w:space="0" w:color="auto"/>
      </w:divBdr>
    </w:div>
    <w:div w:id="1710641689">
      <w:bodyDiv w:val="1"/>
      <w:marLeft w:val="0"/>
      <w:marRight w:val="0"/>
      <w:marTop w:val="0"/>
      <w:marBottom w:val="0"/>
      <w:divBdr>
        <w:top w:val="none" w:sz="0" w:space="0" w:color="auto"/>
        <w:left w:val="none" w:sz="0" w:space="0" w:color="auto"/>
        <w:bottom w:val="none" w:sz="0" w:space="0" w:color="auto"/>
        <w:right w:val="none" w:sz="0" w:space="0" w:color="auto"/>
      </w:divBdr>
    </w:div>
    <w:div w:id="1714308179">
      <w:bodyDiv w:val="1"/>
      <w:marLeft w:val="0"/>
      <w:marRight w:val="0"/>
      <w:marTop w:val="0"/>
      <w:marBottom w:val="0"/>
      <w:divBdr>
        <w:top w:val="none" w:sz="0" w:space="0" w:color="auto"/>
        <w:left w:val="none" w:sz="0" w:space="0" w:color="auto"/>
        <w:bottom w:val="none" w:sz="0" w:space="0" w:color="auto"/>
        <w:right w:val="none" w:sz="0" w:space="0" w:color="auto"/>
      </w:divBdr>
    </w:div>
    <w:div w:id="1801998275">
      <w:bodyDiv w:val="1"/>
      <w:marLeft w:val="0"/>
      <w:marRight w:val="0"/>
      <w:marTop w:val="0"/>
      <w:marBottom w:val="0"/>
      <w:divBdr>
        <w:top w:val="none" w:sz="0" w:space="0" w:color="auto"/>
        <w:left w:val="none" w:sz="0" w:space="0" w:color="auto"/>
        <w:bottom w:val="none" w:sz="0" w:space="0" w:color="auto"/>
        <w:right w:val="none" w:sz="0" w:space="0" w:color="auto"/>
      </w:divBdr>
    </w:div>
    <w:div w:id="1831285240">
      <w:bodyDiv w:val="1"/>
      <w:marLeft w:val="0"/>
      <w:marRight w:val="0"/>
      <w:marTop w:val="0"/>
      <w:marBottom w:val="0"/>
      <w:divBdr>
        <w:top w:val="none" w:sz="0" w:space="0" w:color="auto"/>
        <w:left w:val="none" w:sz="0" w:space="0" w:color="auto"/>
        <w:bottom w:val="none" w:sz="0" w:space="0" w:color="auto"/>
        <w:right w:val="none" w:sz="0" w:space="0" w:color="auto"/>
      </w:divBdr>
    </w:div>
    <w:div w:id="1833329411">
      <w:bodyDiv w:val="1"/>
      <w:marLeft w:val="0"/>
      <w:marRight w:val="0"/>
      <w:marTop w:val="0"/>
      <w:marBottom w:val="0"/>
      <w:divBdr>
        <w:top w:val="none" w:sz="0" w:space="0" w:color="auto"/>
        <w:left w:val="none" w:sz="0" w:space="0" w:color="auto"/>
        <w:bottom w:val="none" w:sz="0" w:space="0" w:color="auto"/>
        <w:right w:val="none" w:sz="0" w:space="0" w:color="auto"/>
      </w:divBdr>
    </w:div>
    <w:div w:id="1848012304">
      <w:bodyDiv w:val="1"/>
      <w:marLeft w:val="0"/>
      <w:marRight w:val="0"/>
      <w:marTop w:val="0"/>
      <w:marBottom w:val="0"/>
      <w:divBdr>
        <w:top w:val="none" w:sz="0" w:space="0" w:color="auto"/>
        <w:left w:val="none" w:sz="0" w:space="0" w:color="auto"/>
        <w:bottom w:val="none" w:sz="0" w:space="0" w:color="auto"/>
        <w:right w:val="none" w:sz="0" w:space="0" w:color="auto"/>
      </w:divBdr>
    </w:div>
    <w:div w:id="1885291789">
      <w:bodyDiv w:val="1"/>
      <w:marLeft w:val="0"/>
      <w:marRight w:val="0"/>
      <w:marTop w:val="0"/>
      <w:marBottom w:val="0"/>
      <w:divBdr>
        <w:top w:val="none" w:sz="0" w:space="0" w:color="auto"/>
        <w:left w:val="none" w:sz="0" w:space="0" w:color="auto"/>
        <w:bottom w:val="none" w:sz="0" w:space="0" w:color="auto"/>
        <w:right w:val="none" w:sz="0" w:space="0" w:color="auto"/>
      </w:divBdr>
    </w:div>
    <w:div w:id="1902790247">
      <w:bodyDiv w:val="1"/>
      <w:marLeft w:val="0"/>
      <w:marRight w:val="0"/>
      <w:marTop w:val="0"/>
      <w:marBottom w:val="0"/>
      <w:divBdr>
        <w:top w:val="none" w:sz="0" w:space="0" w:color="auto"/>
        <w:left w:val="none" w:sz="0" w:space="0" w:color="auto"/>
        <w:bottom w:val="none" w:sz="0" w:space="0" w:color="auto"/>
        <w:right w:val="none" w:sz="0" w:space="0" w:color="auto"/>
      </w:divBdr>
    </w:div>
    <w:div w:id="1968732527">
      <w:bodyDiv w:val="1"/>
      <w:marLeft w:val="0"/>
      <w:marRight w:val="0"/>
      <w:marTop w:val="0"/>
      <w:marBottom w:val="0"/>
      <w:divBdr>
        <w:top w:val="none" w:sz="0" w:space="0" w:color="auto"/>
        <w:left w:val="none" w:sz="0" w:space="0" w:color="auto"/>
        <w:bottom w:val="none" w:sz="0" w:space="0" w:color="auto"/>
        <w:right w:val="none" w:sz="0" w:space="0" w:color="auto"/>
      </w:divBdr>
    </w:div>
    <w:div w:id="1975135937">
      <w:bodyDiv w:val="1"/>
      <w:marLeft w:val="0"/>
      <w:marRight w:val="0"/>
      <w:marTop w:val="0"/>
      <w:marBottom w:val="0"/>
      <w:divBdr>
        <w:top w:val="none" w:sz="0" w:space="0" w:color="auto"/>
        <w:left w:val="none" w:sz="0" w:space="0" w:color="auto"/>
        <w:bottom w:val="none" w:sz="0" w:space="0" w:color="auto"/>
        <w:right w:val="none" w:sz="0" w:space="0" w:color="auto"/>
      </w:divBdr>
    </w:div>
    <w:div w:id="1984237128">
      <w:bodyDiv w:val="1"/>
      <w:marLeft w:val="0"/>
      <w:marRight w:val="0"/>
      <w:marTop w:val="0"/>
      <w:marBottom w:val="0"/>
      <w:divBdr>
        <w:top w:val="none" w:sz="0" w:space="0" w:color="auto"/>
        <w:left w:val="none" w:sz="0" w:space="0" w:color="auto"/>
        <w:bottom w:val="none" w:sz="0" w:space="0" w:color="auto"/>
        <w:right w:val="none" w:sz="0" w:space="0" w:color="auto"/>
      </w:divBdr>
    </w:div>
    <w:div w:id="1990789547">
      <w:bodyDiv w:val="1"/>
      <w:marLeft w:val="0"/>
      <w:marRight w:val="0"/>
      <w:marTop w:val="0"/>
      <w:marBottom w:val="0"/>
      <w:divBdr>
        <w:top w:val="none" w:sz="0" w:space="0" w:color="auto"/>
        <w:left w:val="none" w:sz="0" w:space="0" w:color="auto"/>
        <w:bottom w:val="none" w:sz="0" w:space="0" w:color="auto"/>
        <w:right w:val="none" w:sz="0" w:space="0" w:color="auto"/>
      </w:divBdr>
    </w:div>
    <w:div w:id="2049332203">
      <w:bodyDiv w:val="1"/>
      <w:marLeft w:val="0"/>
      <w:marRight w:val="0"/>
      <w:marTop w:val="0"/>
      <w:marBottom w:val="0"/>
      <w:divBdr>
        <w:top w:val="none" w:sz="0" w:space="0" w:color="auto"/>
        <w:left w:val="none" w:sz="0" w:space="0" w:color="auto"/>
        <w:bottom w:val="none" w:sz="0" w:space="0" w:color="auto"/>
        <w:right w:val="none" w:sz="0" w:space="0" w:color="auto"/>
      </w:divBdr>
    </w:div>
    <w:div w:id="210425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46/annurev-economics-080218-03021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hyperlink" Target="https://economy-finance.ec.europa.eu/system/files/2023-06/ip236_en.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FBC7D-C39C-B24D-B72E-40E3AC240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5995</Words>
  <Characters>34175</Characters>
  <Application>Microsoft Office Word</Application>
  <DocSecurity>0</DocSecurity>
  <Lines>284</Lines>
  <Paragraphs>80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Joli</dc:creator>
  <cp:keywords/>
  <dc:description/>
  <cp:lastModifiedBy>Christian Joli</cp:lastModifiedBy>
  <cp:revision>3</cp:revision>
  <cp:lastPrinted>2025-04-01T14:06:00Z</cp:lastPrinted>
  <dcterms:created xsi:type="dcterms:W3CDTF">2025-04-01T14:06:00Z</dcterms:created>
  <dcterms:modified xsi:type="dcterms:W3CDTF">2025-04-01T14:06:00Z</dcterms:modified>
</cp:coreProperties>
</file>