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keepNext w:val="true"/>
        <w:keepLines/>
        <w:spacing w:before="480" w:after="240"/>
        <w:jc w:val="center"/>
        <w:rPr/>
      </w:pPr>
      <w:r>
        <w:rPr/>
        <w:t>Banco de Repesca — Nivel Avanzado</w:t>
      </w:r>
    </w:p>
    <w:p>
      <w:pPr>
        <w:pStyle w:val="Subtitle"/>
        <w:rPr/>
      </w:pPr>
      <w:r>
        <w:rPr/>
        <w:t>60 preguntas nuevas para el mes 8 · Temas y matices que no aparecen en los tests de los dossieres</w:t>
      </w:r>
    </w:p>
    <w:p>
      <w:pPr>
        <w:pStyle w:val="Date"/>
        <w:rPr/>
      </w:pPr>
      <w:r>
        <w:rPr/>
        <w:t>Julio 2026</w:t>
      </w:r>
    </w:p>
    <w:p>
      <w:pPr>
        <w:pStyle w:val="FirstParagraph"/>
        <w:rPr/>
      </w:pPr>
      <w:r>
        <w:rPr>
          <w:b/>
        </w:rPr>
        <w:t>Uso:</w:t>
      </w:r>
      <w:r>
        <w:rPr/>
        <w:t xml:space="preserve"> material fresco para la segunda vuelta (mes 8), cuando ya tengas «quemados» los tests de los dossieres y el simulacro. Sube un punto la dificultad: matices, parejas trampa y temas laterales que los tribunales usan para separar notas altas. Condiciones: 60 preguntas · </w:t>
      </w:r>
      <w:r>
        <w:rPr>
          <w:b/>
        </w:rPr>
        <w:t>72 minutos</w:t>
      </w:r>
      <w:r>
        <w:rPr/>
        <w:t xml:space="preserve"> · penalización 1/3. Objetivo a estas alturas: ≥ 70 % neto.</w:t>
      </w:r>
    </w:p>
    <w:p>
      <w:pPr>
        <w:pStyle w:val="Heading1"/>
        <w:rPr/>
      </w:pPr>
      <w:bookmarkStart w:id="0" w:name="batería-de-repesca-60-preguntas"/>
      <w:r>
        <w:rPr/>
        <w:t>Batería de repesca — 60 preguntas</w:t>
      </w:r>
      <w:bookmarkEnd w:id="0"/>
    </w:p>
    <w:p>
      <w:pPr>
        <w:pStyle w:val="FirstParagraph"/>
        <w:rPr/>
      </w:pPr>
      <w:r>
        <w:rPr/>
        <w:t>Distribución: 20 Bloque I · 10 Bloque II · 15 Bloque III · 15 Bloque IV.</w:t>
      </w:r>
    </w:p>
    <w:p>
      <w:pPr>
        <w:pStyle w:val="BodyText"/>
        <w:rPr/>
      </w:pPr>
      <w:r>
        <w:rPr>
          <w:b/>
        </w:rPr>
        <w:t>Bloque I</w:t>
      </w:r>
    </w:p>
    <w:p>
      <w:pPr>
        <w:pStyle w:val="BodyText"/>
        <w:rPr/>
      </w:pPr>
      <w:r>
        <w:rPr>
          <w:b/>
        </w:rPr>
        <w:t>1.</w:t>
      </w:r>
      <w:r>
        <w:rPr/>
        <w:t xml:space="preserve"> Según el art. 8 CE, la misión de las Fuerzas Armadas es:</w:t>
      </w:r>
    </w:p>
    <w:p>
      <w:pPr>
        <w:pStyle w:val="BodyText"/>
        <w:rPr/>
      </w:pPr>
      <w:r>
        <w:rPr/>
        <w:t>   </w:t>
      </w:r>
      <w:r>
        <w:rPr/>
        <w:t>a) Mantener el orden público interior</w:t>
      </w:r>
    </w:p>
    <w:p>
      <w:pPr>
        <w:pStyle w:val="BodyText"/>
        <w:rPr/>
      </w:pPr>
      <w:r>
        <w:rPr/>
        <w:t>   </w:t>
      </w:r>
      <w:r>
        <w:rPr/>
        <w:t>b) Garantizar la soberanía e independencia de España, defender su integridad territorial y el ordenamiento constitucional</w:t>
      </w:r>
    </w:p>
    <w:p>
      <w:pPr>
        <w:pStyle w:val="BodyText"/>
        <w:rPr/>
      </w:pPr>
      <w:r>
        <w:rPr/>
        <w:t>   </w:t>
      </w:r>
      <w:r>
        <w:rPr/>
        <w:t>c) Auxiliar a las policías autonómicas</w:t>
      </w:r>
    </w:p>
    <w:p>
      <w:pPr>
        <w:pStyle w:val="BodyText"/>
        <w:rPr/>
      </w:pPr>
      <w:r>
        <w:rPr/>
        <w:t>   </w:t>
      </w:r>
      <w:r>
        <w:rPr/>
        <w:t>d) Custodiar las fronteras exclusivamente</w:t>
      </w:r>
    </w:p>
    <w:p>
      <w:pPr>
        <w:pStyle w:val="BodyText"/>
        <w:rPr/>
      </w:pPr>
      <w:r>
        <w:rPr>
          <w:b/>
        </w:rPr>
        <w:t>2.</w:t>
      </w:r>
      <w:r>
        <w:rPr/>
        <w:t xml:space="preserve"> Las materias de competencia exclusiva del Estado se enumeran en:</w:t>
      </w:r>
    </w:p>
    <w:p>
      <w:pPr>
        <w:pStyle w:val="BodyText"/>
        <w:rPr/>
      </w:pPr>
      <w:r>
        <w:rPr/>
        <w:t>   </w:t>
      </w:r>
      <w:r>
        <w:rPr/>
        <w:t>a) El art. 148 CE</w:t>
      </w:r>
    </w:p>
    <w:p>
      <w:pPr>
        <w:pStyle w:val="BodyText"/>
        <w:rPr/>
      </w:pPr>
      <w:r>
        <w:rPr/>
        <w:t>   </w:t>
      </w:r>
      <w:r>
        <w:rPr/>
        <w:t>b) El art. 149.1 CE</w:t>
      </w:r>
    </w:p>
    <w:p>
      <w:pPr>
        <w:pStyle w:val="BodyText"/>
        <w:rPr/>
      </w:pPr>
      <w:r>
        <w:rPr/>
        <w:t>   </w:t>
      </w:r>
      <w:r>
        <w:rPr/>
        <w:t>c) El art. 150 CE</w:t>
      </w:r>
    </w:p>
    <w:p>
      <w:pPr>
        <w:pStyle w:val="BodyText"/>
        <w:rPr/>
      </w:pPr>
      <w:r>
        <w:rPr/>
        <w:t>   </w:t>
      </w:r>
      <w:r>
        <w:rPr/>
        <w:t>d) Los Estatutos de Autonomía</w:t>
      </w:r>
    </w:p>
    <w:p>
      <w:pPr>
        <w:pStyle w:val="BodyText"/>
        <w:rPr/>
      </w:pPr>
      <w:r>
        <w:rPr>
          <w:b/>
        </w:rPr>
        <w:t>3.</w:t>
      </w:r>
      <w:r>
        <w:rPr/>
        <w:t xml:space="preserve"> La justicia emana del pueblo y se administra en nombre del Rey por:</w:t>
      </w:r>
    </w:p>
    <w:p>
      <w:pPr>
        <w:pStyle w:val="BodyText"/>
        <w:rPr/>
      </w:pPr>
      <w:r>
        <w:rPr/>
        <w:t>   </w:t>
      </w:r>
      <w:r>
        <w:rPr/>
        <w:t>a) El CGPJ</w:t>
      </w:r>
    </w:p>
    <w:p>
      <w:pPr>
        <w:pStyle w:val="BodyText"/>
        <w:rPr/>
      </w:pPr>
      <w:r>
        <w:rPr/>
        <w:t>   </w:t>
      </w:r>
      <w:r>
        <w:rPr/>
        <w:t>b) Jueces y magistrados integrantes del poder judicial, independientes, inamovibles, responsables y sometidos únicamente al imperio de la ley</w:t>
      </w:r>
    </w:p>
    <w:p>
      <w:pPr>
        <w:pStyle w:val="BodyText"/>
        <w:rPr/>
      </w:pPr>
      <w:r>
        <w:rPr/>
        <w:t>   </w:t>
      </w:r>
      <w:r>
        <w:rPr/>
        <w:t>c) El Ministerio de Justicia</w:t>
      </w:r>
    </w:p>
    <w:p>
      <w:pPr>
        <w:pStyle w:val="BodyText"/>
        <w:rPr/>
      </w:pPr>
      <w:r>
        <w:rPr/>
        <w:t>   </w:t>
      </w:r>
      <w:r>
        <w:rPr/>
        <w:t>d) Los tribunales de honor</w:t>
      </w:r>
    </w:p>
    <w:p>
      <w:pPr>
        <w:pStyle w:val="BodyText"/>
        <w:rPr/>
      </w:pPr>
      <w:r>
        <w:rPr>
          <w:b/>
        </w:rPr>
        <w:t>4.</w:t>
      </w:r>
      <w:r>
        <w:rPr/>
        <w:t xml:space="preserve"> El recurso de reposición contra un acto que agota la vía administrativa es:</w:t>
      </w:r>
    </w:p>
    <w:p>
      <w:pPr>
        <w:pStyle w:val="BodyText"/>
        <w:rPr/>
      </w:pPr>
      <w:r>
        <w:rPr/>
        <w:t>   </w:t>
      </w:r>
      <w:r>
        <w:rPr/>
        <w:t>a) Obligatorio antes del contencioso</w:t>
      </w:r>
    </w:p>
    <w:p>
      <w:pPr>
        <w:pStyle w:val="BodyText"/>
        <w:rPr/>
      </w:pPr>
      <w:r>
        <w:rPr/>
        <w:t>   </w:t>
      </w:r>
      <w:r>
        <w:rPr/>
        <w:t>b) Potestativo, ante el mismo órgano que dictó el acto, en el plazo de 1 mes (acto expreso)</w:t>
      </w:r>
    </w:p>
    <w:p>
      <w:pPr>
        <w:pStyle w:val="BodyText"/>
        <w:rPr/>
      </w:pPr>
      <w:r>
        <w:rPr/>
        <w:t>   </w:t>
      </w:r>
      <w:r>
        <w:rPr/>
        <w:t>c) Se interpone ante el superior jerárquico</w:t>
      </w:r>
    </w:p>
    <w:p>
      <w:pPr>
        <w:pStyle w:val="BodyText"/>
        <w:rPr/>
      </w:pPr>
      <w:r>
        <w:rPr/>
        <w:t>   </w:t>
      </w:r>
      <w:r>
        <w:rPr/>
        <w:t>d) No existe en la Ley 39/2015</w:t>
      </w:r>
    </w:p>
    <w:p>
      <w:pPr>
        <w:pStyle w:val="BodyText"/>
        <w:rPr/>
      </w:pPr>
      <w:r>
        <w:rPr>
          <w:b/>
        </w:rPr>
        <w:t>5.</w:t>
      </w:r>
      <w:r>
        <w:rPr/>
        <w:t xml:space="preserve"> El plazo máximo general para resolver y notificar un procedimiento, si la norma no fija otro, es de:</w:t>
      </w:r>
    </w:p>
    <w:p>
      <w:pPr>
        <w:pStyle w:val="BodyText"/>
        <w:rPr/>
      </w:pPr>
      <w:r>
        <w:rPr/>
        <w:t>   </w:t>
      </w:r>
      <w:r>
        <w:rPr/>
        <w:t>a) 6 meses improrrogables</w:t>
      </w:r>
    </w:p>
    <w:p>
      <w:pPr>
        <w:pStyle w:val="BodyText"/>
        <w:rPr/>
      </w:pPr>
      <w:r>
        <w:rPr/>
        <w:t>   </w:t>
      </w:r>
      <w:r>
        <w:rPr/>
        <w:t>b) 3 meses</w:t>
      </w:r>
    </w:p>
    <w:p>
      <w:pPr>
        <w:pStyle w:val="BodyText"/>
        <w:rPr/>
      </w:pPr>
      <w:r>
        <w:rPr/>
        <w:t>   </w:t>
      </w:r>
      <w:r>
        <w:rPr/>
        <w:t>c) 1 mes</w:t>
      </w:r>
    </w:p>
    <w:p>
      <w:pPr>
        <w:pStyle w:val="BodyText"/>
        <w:rPr/>
      </w:pPr>
      <w:r>
        <w:rPr/>
        <w:t>   </w:t>
      </w:r>
      <w:r>
        <w:rPr/>
        <w:t>d) No hay plazo</w:t>
      </w:r>
    </w:p>
    <w:p>
      <w:pPr>
        <w:pStyle w:val="BodyText"/>
        <w:rPr/>
      </w:pPr>
      <w:r>
        <w:rPr>
          <w:b/>
        </w:rPr>
        <w:t>6.</w:t>
      </w:r>
      <w:r>
        <w:rPr/>
        <w:t xml:space="preserve"> En un procedimiento iniciado a solicitud del interesado, el silencio administrativo es, como regla general:</w:t>
      </w:r>
    </w:p>
    <w:p>
      <w:pPr>
        <w:pStyle w:val="BodyText"/>
        <w:rPr/>
      </w:pPr>
      <w:r>
        <w:rPr/>
        <w:t>   </w:t>
      </w:r>
      <w:r>
        <w:rPr/>
        <w:t>a) Negativo</w:t>
      </w:r>
    </w:p>
    <w:p>
      <w:pPr>
        <w:pStyle w:val="BodyText"/>
        <w:rPr/>
      </w:pPr>
      <w:r>
        <w:rPr/>
        <w:t>   </w:t>
      </w:r>
      <w:r>
        <w:rPr/>
        <w:t>b) Positivo (estimatorio), con las excepciones legales</w:t>
      </w:r>
    </w:p>
    <w:p>
      <w:pPr>
        <w:pStyle w:val="BodyText"/>
        <w:rPr/>
      </w:pPr>
      <w:r>
        <w:rPr/>
        <w:t>   </w:t>
      </w:r>
      <w:r>
        <w:rPr/>
        <w:t>c) Inexistente</w:t>
      </w:r>
    </w:p>
    <w:p>
      <w:pPr>
        <w:pStyle w:val="BodyText"/>
        <w:rPr/>
      </w:pPr>
      <w:r>
        <w:rPr/>
        <w:t>   </w:t>
      </w:r>
      <w:r>
        <w:rPr/>
        <w:t>d) Positivo solo si se reclama</w:t>
      </w:r>
    </w:p>
    <w:p>
      <w:pPr>
        <w:pStyle w:val="BodyText"/>
        <w:rPr/>
      </w:pPr>
      <w:r>
        <w:rPr>
          <w:b/>
        </w:rPr>
        <w:t>7.</w:t>
      </w:r>
      <w:r>
        <w:rPr/>
        <w:t xml:space="preserve"> Los órganos superiores de un ministerio son:</w:t>
      </w:r>
    </w:p>
    <w:p>
      <w:pPr>
        <w:pStyle w:val="BodyText"/>
        <w:rPr/>
      </w:pPr>
      <w:r>
        <w:rPr/>
        <w:t>   </w:t>
      </w:r>
      <w:r>
        <w:rPr/>
        <w:t>a) Ministros y Secretarios de Estado</w:t>
      </w:r>
    </w:p>
    <w:p>
      <w:pPr>
        <w:pStyle w:val="BodyText"/>
        <w:rPr/>
      </w:pPr>
      <w:r>
        <w:rPr/>
        <w:t>   </w:t>
      </w:r>
      <w:r>
        <w:rPr/>
        <w:t>b) Subsecretarios y Secretarios Generales</w:t>
      </w:r>
    </w:p>
    <w:p>
      <w:pPr>
        <w:pStyle w:val="BodyText"/>
        <w:rPr/>
      </w:pPr>
      <w:r>
        <w:rPr/>
        <w:t>   </w:t>
      </w:r>
      <w:r>
        <w:rPr/>
        <w:t>c) Directores Generales</w:t>
      </w:r>
    </w:p>
    <w:p>
      <w:pPr>
        <w:pStyle w:val="BodyText"/>
        <w:rPr/>
      </w:pPr>
      <w:r>
        <w:rPr/>
        <w:t>   </w:t>
      </w:r>
      <w:r>
        <w:rPr/>
        <w:t>d) Todos los anteriores</w:t>
      </w:r>
    </w:p>
    <w:p>
      <w:pPr>
        <w:pStyle w:val="BodyText"/>
        <w:rPr/>
      </w:pPr>
      <w:r>
        <w:rPr>
          <w:b/>
        </w:rPr>
        <w:t>8.</w:t>
      </w:r>
      <w:r>
        <w:rPr/>
        <w:t xml:space="preserve"> Los Delegados del Gobierno en las CCAA dependen de:</w:t>
      </w:r>
    </w:p>
    <w:p>
      <w:pPr>
        <w:pStyle w:val="BodyText"/>
        <w:rPr/>
      </w:pPr>
      <w:r>
        <w:rPr/>
        <w:t>   </w:t>
      </w:r>
      <w:r>
        <w:rPr/>
        <w:t>a) Del Presidente de la Comunidad Autónoma</w:t>
      </w:r>
    </w:p>
    <w:p>
      <w:pPr>
        <w:pStyle w:val="BodyText"/>
        <w:rPr/>
      </w:pPr>
      <w:r>
        <w:rPr/>
        <w:t>   </w:t>
      </w:r>
      <w:r>
        <w:rPr/>
        <w:t>b) De la Presidencia del Gobierno, dirigiendo la Administración del Estado en el territorio</w:t>
      </w:r>
    </w:p>
    <w:p>
      <w:pPr>
        <w:pStyle w:val="BodyText"/>
        <w:rPr/>
      </w:pPr>
      <w:r>
        <w:rPr/>
        <w:t>   </w:t>
      </w:r>
      <w:r>
        <w:rPr/>
        <w:t>c) De las Cortes</w:t>
      </w:r>
    </w:p>
    <w:p>
      <w:pPr>
        <w:pStyle w:val="BodyText"/>
        <w:rPr/>
      </w:pPr>
      <w:r>
        <w:rPr/>
        <w:t>   </w:t>
      </w:r>
      <w:r>
        <w:rPr/>
        <w:t>d) Del Ministerio de Exteriores</w:t>
      </w:r>
    </w:p>
    <w:p>
      <w:pPr>
        <w:pStyle w:val="BodyText"/>
        <w:rPr/>
      </w:pPr>
      <w:r>
        <w:rPr>
          <w:b/>
        </w:rPr>
        <w:t>9.</w:t>
      </w:r>
      <w:r>
        <w:rPr/>
        <w:t xml:space="preserve"> La excedencia por cuidado de un hijo garantiza reserva del puesto de trabajo durante:</w:t>
      </w:r>
    </w:p>
    <w:p>
      <w:pPr>
        <w:pStyle w:val="BodyText"/>
        <w:rPr/>
      </w:pPr>
      <w:r>
        <w:rPr/>
        <w:t>   </w:t>
      </w:r>
      <w:r>
        <w:rPr/>
        <w:t>a) 6 meses</w:t>
      </w:r>
    </w:p>
    <w:p>
      <w:pPr>
        <w:pStyle w:val="BodyText"/>
        <w:rPr/>
      </w:pPr>
      <w:r>
        <w:rPr/>
        <w:t>   </w:t>
      </w:r>
      <w:r>
        <w:rPr/>
        <w:t>b) Los dos primeros años (luego, reserva de puesto en la misma localidad y retribución)</w:t>
      </w:r>
    </w:p>
    <w:p>
      <w:pPr>
        <w:pStyle w:val="BodyText"/>
        <w:rPr/>
      </w:pPr>
      <w:r>
        <w:rPr/>
        <w:t>   </w:t>
      </w:r>
      <w:r>
        <w:rPr/>
        <w:t>c) Todo el periodo</w:t>
      </w:r>
    </w:p>
    <w:p>
      <w:pPr>
        <w:pStyle w:val="BodyText"/>
        <w:rPr/>
      </w:pPr>
      <w:r>
        <w:rPr/>
        <w:t>   </w:t>
      </w:r>
      <w:r>
        <w:rPr/>
        <w:t>d) No hay reserva</w:t>
      </w:r>
    </w:p>
    <w:p>
      <w:pPr>
        <w:pStyle w:val="BodyText"/>
        <w:rPr/>
      </w:pPr>
      <w:r>
        <w:rPr>
          <w:b/>
        </w:rPr>
        <w:t>10.</w:t>
      </w:r>
      <w:r>
        <w:rPr/>
        <w:t xml:space="preserve"> La jubilación forzosa del personal funcionario se declara, con carácter general, al cumplir:</w:t>
      </w:r>
    </w:p>
    <w:p>
      <w:pPr>
        <w:pStyle w:val="BodyText"/>
        <w:rPr/>
      </w:pPr>
      <w:r>
        <w:rPr/>
        <w:t>   </w:t>
      </w:r>
      <w:r>
        <w:rPr/>
        <w:t>a) 60 años</w:t>
      </w:r>
    </w:p>
    <w:p>
      <w:pPr>
        <w:pStyle w:val="BodyText"/>
        <w:rPr/>
      </w:pPr>
      <w:r>
        <w:rPr/>
        <w:t>   </w:t>
      </w:r>
      <w:r>
        <w:rPr/>
        <w:t>b) 65 años, con posibilidad de prolongación voluntaria hasta como máximo los 70</w:t>
      </w:r>
    </w:p>
    <w:p>
      <w:pPr>
        <w:pStyle w:val="BodyText"/>
        <w:rPr/>
      </w:pPr>
      <w:r>
        <w:rPr/>
        <w:t>   </w:t>
      </w:r>
      <w:r>
        <w:rPr/>
        <w:t>c) 70 años sin excepción</w:t>
      </w:r>
    </w:p>
    <w:p>
      <w:pPr>
        <w:pStyle w:val="BodyText"/>
        <w:rPr/>
      </w:pPr>
      <w:r>
        <w:rPr/>
        <w:t>   </w:t>
      </w:r>
      <w:r>
        <w:rPr/>
        <w:t>d) 67 años improrrogables</w:t>
      </w:r>
    </w:p>
    <w:p>
      <w:pPr>
        <w:pStyle w:val="BodyText"/>
        <w:rPr/>
      </w:pPr>
      <w:r>
        <w:rPr>
          <w:b/>
        </w:rPr>
        <w:t>11.</w:t>
      </w:r>
      <w:r>
        <w:rPr/>
        <w:t xml:space="preserve"> El registro de actividades de tratamiento (art. 30 RGPD):</w:t>
      </w:r>
    </w:p>
    <w:p>
      <w:pPr>
        <w:pStyle w:val="BodyText"/>
        <w:rPr/>
      </w:pPr>
      <w:r>
        <w:rPr/>
        <w:t>   </w:t>
      </w:r>
      <w:r>
        <w:rPr/>
        <w:t>a) Es público en el BOE</w:t>
      </w:r>
    </w:p>
    <w:p>
      <w:pPr>
        <w:pStyle w:val="BodyText"/>
        <w:rPr/>
      </w:pPr>
      <w:r>
        <w:rPr/>
        <w:t>   </w:t>
      </w:r>
      <w:r>
        <w:rPr/>
        <w:t>b) Documenta los tratamientos del responsable/encargado; en las AAPP debe hacerse público por medios electrónicos (art. 31 LOPDGDD)</w:t>
      </w:r>
    </w:p>
    <w:p>
      <w:pPr>
        <w:pStyle w:val="BodyText"/>
        <w:rPr/>
      </w:pPr>
      <w:r>
        <w:rPr/>
        <w:t>   </w:t>
      </w:r>
      <w:r>
        <w:rPr/>
        <w:t>c) Solo lo llevan las empresas de más de 250 empleados en todo caso</w:t>
      </w:r>
    </w:p>
    <w:p>
      <w:pPr>
        <w:pStyle w:val="BodyText"/>
        <w:rPr/>
      </w:pPr>
      <w:r>
        <w:rPr/>
        <w:t>   </w:t>
      </w:r>
      <w:r>
        <w:rPr/>
        <w:t>d) Sustituye a la EIPD</w:t>
      </w:r>
    </w:p>
    <w:p>
      <w:pPr>
        <w:pStyle w:val="BodyText"/>
        <w:rPr/>
      </w:pPr>
      <w:r>
        <w:rPr>
          <w:b/>
        </w:rPr>
        <w:t>12.</w:t>
      </w:r>
      <w:r>
        <w:rPr/>
        <w:t xml:space="preserve"> El encargado del tratamiento es:</w:t>
      </w:r>
    </w:p>
    <w:p>
      <w:pPr>
        <w:pStyle w:val="BodyText"/>
        <w:rPr/>
      </w:pPr>
      <w:r>
        <w:rPr/>
        <w:t>   </w:t>
      </w:r>
      <w:r>
        <w:rPr/>
        <w:t>a) El empleado que graba los datos</w:t>
      </w:r>
    </w:p>
    <w:p>
      <w:pPr>
        <w:pStyle w:val="BodyText"/>
        <w:rPr/>
      </w:pPr>
      <w:r>
        <w:rPr/>
        <w:t>   </w:t>
      </w:r>
      <w:r>
        <w:rPr/>
        <w:t>b) Quien trata datos personales por cuenta del responsable, en virtud de un contrato con contenidos mínimos (art. 28 RGPD)</w:t>
      </w:r>
    </w:p>
    <w:p>
      <w:pPr>
        <w:pStyle w:val="BodyText"/>
        <w:rPr/>
      </w:pPr>
      <w:r>
        <w:rPr/>
        <w:t>   </w:t>
      </w:r>
      <w:r>
        <w:rPr/>
        <w:t>c) El DPD</w:t>
      </w:r>
    </w:p>
    <w:p>
      <w:pPr>
        <w:pStyle w:val="BodyText"/>
        <w:rPr/>
      </w:pPr>
      <w:r>
        <w:rPr/>
        <w:t>   </w:t>
      </w:r>
      <w:r>
        <w:rPr/>
        <w:t>d) La AEPD</w:t>
      </w:r>
    </w:p>
    <w:p>
      <w:pPr>
        <w:pStyle w:val="BodyText"/>
        <w:rPr/>
      </w:pPr>
      <w:r>
        <w:rPr>
          <w:b/>
        </w:rPr>
        <w:t>13.</w:t>
      </w:r>
      <w:r>
        <w:rPr/>
        <w:t xml:space="preserve"> El derecho a la portabilidad de los datos permite:</w:t>
      </w:r>
    </w:p>
    <w:p>
      <w:pPr>
        <w:pStyle w:val="BodyText"/>
        <w:rPr/>
      </w:pPr>
      <w:r>
        <w:rPr/>
        <w:t>   </w:t>
      </w:r>
      <w:r>
        <w:rPr/>
        <w:t>a) Publicar los datos en redes sociales</w:t>
      </w:r>
    </w:p>
    <w:p>
      <w:pPr>
        <w:pStyle w:val="BodyText"/>
        <w:rPr/>
      </w:pPr>
      <w:r>
        <w:rPr/>
        <w:t>   </w:t>
      </w:r>
      <w:r>
        <w:rPr/>
        <w:t>b) Recibir los datos en formato estructurado, de uso común y lectura mecánica, y transmitirlos a otro responsable</w:t>
      </w:r>
    </w:p>
    <w:p>
      <w:pPr>
        <w:pStyle w:val="BodyText"/>
        <w:rPr/>
      </w:pPr>
      <w:r>
        <w:rPr/>
        <w:t>   </w:t>
      </w:r>
      <w:r>
        <w:rPr/>
        <w:t>c) Borrar los datos de Internet</w:t>
      </w:r>
    </w:p>
    <w:p>
      <w:pPr>
        <w:pStyle w:val="BodyText"/>
        <w:rPr/>
      </w:pPr>
      <w:r>
        <w:rPr/>
        <w:t>   </w:t>
      </w:r>
      <w:r>
        <w:rPr/>
        <w:t>d) Acceder a datos de terceros</w:t>
      </w:r>
    </w:p>
    <w:p>
      <w:pPr>
        <w:pStyle w:val="BodyText"/>
        <w:rPr/>
      </w:pPr>
      <w:r>
        <w:rPr>
          <w:b/>
        </w:rPr>
        <w:t>14.</w:t>
      </w:r>
      <w:r>
        <w:rPr/>
        <w:t xml:space="preserve"> En eIDAS, un «servicio de confianza cualificado» requiere:</w:t>
      </w:r>
    </w:p>
    <w:p>
      <w:pPr>
        <w:pStyle w:val="BodyText"/>
        <w:rPr/>
      </w:pPr>
      <w:r>
        <w:rPr/>
        <w:t>   </w:t>
      </w:r>
      <w:r>
        <w:rPr/>
        <w:t>a) Nada especial</w:t>
      </w:r>
    </w:p>
    <w:p>
      <w:pPr>
        <w:pStyle w:val="BodyText"/>
        <w:rPr/>
      </w:pPr>
      <w:r>
        <w:rPr/>
        <w:t>   </w:t>
      </w:r>
      <w:r>
        <w:rPr/>
        <w:t>b) Ser prestado por un prestador cualificado supervisado y cumplir los requisitos del Reglamento (listas de confianza)</w:t>
      </w:r>
    </w:p>
    <w:p>
      <w:pPr>
        <w:pStyle w:val="BodyText"/>
        <w:rPr/>
      </w:pPr>
      <w:r>
        <w:rPr/>
        <w:t>   </w:t>
      </w:r>
      <w:r>
        <w:rPr/>
        <w:t>c) Autorización del Congreso</w:t>
      </w:r>
    </w:p>
    <w:p>
      <w:pPr>
        <w:pStyle w:val="BodyText"/>
        <w:rPr/>
      </w:pPr>
      <w:r>
        <w:rPr/>
        <w:t>   </w:t>
      </w:r>
      <w:r>
        <w:rPr/>
        <w:t>d) Solo software libre</w:t>
      </w:r>
    </w:p>
    <w:p>
      <w:pPr>
        <w:pStyle w:val="BodyText"/>
        <w:rPr/>
      </w:pPr>
      <w:r>
        <w:rPr>
          <w:b/>
        </w:rPr>
        <w:t>15.</w:t>
      </w:r>
      <w:r>
        <w:rPr/>
        <w:t xml:space="preserve"> La Carpeta Ciudadana permite al ciudadano:</w:t>
      </w:r>
    </w:p>
    <w:p>
      <w:pPr>
        <w:pStyle w:val="BodyText"/>
        <w:rPr/>
      </w:pPr>
      <w:r>
        <w:rPr/>
        <w:t>   </w:t>
      </w:r>
      <w:r>
        <w:rPr/>
        <w:t>a) Modificar leyes</w:t>
      </w:r>
    </w:p>
    <w:p>
      <w:pPr>
        <w:pStyle w:val="BodyText"/>
        <w:rPr/>
      </w:pPr>
      <w:r>
        <w:rPr/>
        <w:t>   </w:t>
      </w:r>
      <w:r>
        <w:rPr/>
        <w:t>b) Consultar sus expedientes abiertos, notificaciones pendientes y datos en poder de las AAPP desde un punto único</w:t>
      </w:r>
    </w:p>
    <w:p>
      <w:pPr>
        <w:pStyle w:val="BodyText"/>
        <w:rPr/>
      </w:pPr>
      <w:r>
        <w:rPr/>
        <w:t>   </w:t>
      </w:r>
      <w:r>
        <w:rPr/>
        <w:t>c) Firmar contratos privados</w:t>
      </w:r>
    </w:p>
    <w:p>
      <w:pPr>
        <w:pStyle w:val="BodyText"/>
        <w:rPr/>
      </w:pPr>
      <w:r>
        <w:rPr/>
        <w:t>   </w:t>
      </w:r>
      <w:r>
        <w:rPr/>
        <w:t>d) Acceder al correo de los funcionarios</w:t>
      </w:r>
    </w:p>
    <w:p>
      <w:pPr>
        <w:pStyle w:val="BodyText"/>
        <w:rPr/>
      </w:pPr>
      <w:r>
        <w:rPr>
          <w:b/>
        </w:rPr>
        <w:t>16.</w:t>
      </w:r>
      <w:r>
        <w:rPr/>
        <w:t xml:space="preserve"> El principio de «solo una vez» (once only) en administración electrónica significa:</w:t>
      </w:r>
    </w:p>
    <w:p>
      <w:pPr>
        <w:pStyle w:val="BodyText"/>
        <w:rPr/>
      </w:pPr>
      <w:r>
        <w:rPr/>
        <w:t>   </w:t>
      </w:r>
      <w:r>
        <w:rPr/>
        <w:t>a) Solo se puede presentar una solicitud al año</w:t>
      </w:r>
    </w:p>
    <w:p>
      <w:pPr>
        <w:pStyle w:val="BodyText"/>
        <w:rPr/>
      </w:pPr>
      <w:r>
        <w:rPr/>
        <w:t>   </w:t>
      </w:r>
      <w:r>
        <w:rPr/>
        <w:t>b) El ciudadano no debe aportar los mismos datos/documentos que ya obran en poder de las AAPP (se materializa vía PID)</w:t>
      </w:r>
    </w:p>
    <w:p>
      <w:pPr>
        <w:pStyle w:val="BodyText"/>
        <w:rPr/>
      </w:pPr>
      <w:r>
        <w:rPr/>
        <w:t>   </w:t>
      </w:r>
      <w:r>
        <w:rPr/>
        <w:t>c) Las notificaciones se envían una sola vez</w:t>
      </w:r>
    </w:p>
    <w:p>
      <w:pPr>
        <w:pStyle w:val="BodyText"/>
        <w:rPr/>
      </w:pPr>
      <w:r>
        <w:rPr/>
        <w:t>   </w:t>
      </w:r>
      <w:r>
        <w:rPr/>
        <w:t>d) Un único registro por Administración</w:t>
      </w:r>
    </w:p>
    <w:p>
      <w:pPr>
        <w:pStyle w:val="BodyText"/>
        <w:rPr/>
      </w:pPr>
      <w:r>
        <w:rPr>
          <w:b/>
        </w:rPr>
        <w:t>17.</w:t>
      </w:r>
      <w:r>
        <w:rPr/>
        <w:t xml:space="preserve"> Las sesiones extraordinarias de las Cámaras se convocan:</w:t>
      </w:r>
    </w:p>
    <w:p>
      <w:pPr>
        <w:pStyle w:val="BodyText"/>
        <w:rPr/>
      </w:pPr>
      <w:r>
        <w:rPr/>
        <w:t>   </w:t>
      </w:r>
      <w:r>
        <w:rPr/>
        <w:t>a) Por el Rey libremente</w:t>
      </w:r>
    </w:p>
    <w:p>
      <w:pPr>
        <w:pStyle w:val="BodyText"/>
        <w:rPr/>
      </w:pPr>
      <w:r>
        <w:rPr/>
        <w:t>   </w:t>
      </w:r>
      <w:r>
        <w:rPr/>
        <w:t>b) A petición del Gobierno, de la Diputación Permanente o de la mayoría absoluta de los miembros de la Cámara, con orden del día determinado</w:t>
      </w:r>
    </w:p>
    <w:p>
      <w:pPr>
        <w:pStyle w:val="BodyText"/>
        <w:rPr/>
      </w:pPr>
      <w:r>
        <w:rPr/>
        <w:t>   </w:t>
      </w:r>
      <w:r>
        <w:rPr/>
        <w:t>c) Solo en septiembre</w:t>
      </w:r>
    </w:p>
    <w:p>
      <w:pPr>
        <w:pStyle w:val="BodyText"/>
        <w:rPr/>
      </w:pPr>
      <w:r>
        <w:rPr/>
        <w:t>   </w:t>
      </w:r>
      <w:r>
        <w:rPr/>
        <w:t>d) Por 1/3 de los diputados</w:t>
      </w:r>
    </w:p>
    <w:p>
      <w:pPr>
        <w:pStyle w:val="BodyText"/>
        <w:rPr/>
      </w:pPr>
      <w:r>
        <w:rPr>
          <w:b/>
        </w:rPr>
        <w:t>18.</w:t>
      </w:r>
      <w:r>
        <w:rPr/>
        <w:t xml:space="preserve"> Los proyectos de ley de Presupuestos Generales del Estado:</w:t>
      </w:r>
    </w:p>
    <w:p>
      <w:pPr>
        <w:pStyle w:val="BodyText"/>
        <w:rPr/>
      </w:pPr>
      <w:r>
        <w:rPr/>
        <w:t>   </w:t>
      </w:r>
      <w:r>
        <w:rPr/>
        <w:t>a) Los presenta cualquier grupo</w:t>
      </w:r>
    </w:p>
    <w:p>
      <w:pPr>
        <w:pStyle w:val="BodyText"/>
        <w:rPr/>
      </w:pPr>
      <w:r>
        <w:rPr/>
        <w:t>   </w:t>
      </w:r>
      <w:r>
        <w:rPr/>
        <w:t>b) Corresponde al Gobierno su elaboración y presentación al Congreso al menos 3 meses antes de expirar los del año anterior</w:t>
      </w:r>
    </w:p>
    <w:p>
      <w:pPr>
        <w:pStyle w:val="BodyText"/>
        <w:rPr/>
      </w:pPr>
      <w:r>
        <w:rPr/>
        <w:t>   </w:t>
      </w:r>
      <w:r>
        <w:rPr/>
        <w:t>c) Se aprueban por ley orgánica</w:t>
      </w:r>
    </w:p>
    <w:p>
      <w:pPr>
        <w:pStyle w:val="BodyText"/>
        <w:rPr/>
      </w:pPr>
      <w:r>
        <w:rPr/>
        <w:t>   </w:t>
      </w:r>
      <w:r>
        <w:rPr/>
        <w:t>d) No admiten enmiendas</w:t>
      </w:r>
    </w:p>
    <w:p>
      <w:pPr>
        <w:pStyle w:val="BodyText"/>
        <w:rPr/>
      </w:pPr>
      <w:r>
        <w:rPr>
          <w:b/>
        </w:rPr>
        <w:t>19.</w:t>
      </w:r>
      <w:r>
        <w:rPr/>
        <w:t xml:space="preserve"> El control de constitucionalidad de un reglamento (norma infralegal) corresponde a:</w:t>
      </w:r>
    </w:p>
    <w:p>
      <w:pPr>
        <w:pStyle w:val="BodyText"/>
        <w:rPr/>
      </w:pPr>
      <w:r>
        <w:rPr/>
        <w:t>   </w:t>
      </w:r>
      <w:r>
        <w:rPr/>
        <w:t>a) Al Tribunal Constitucional en exclusiva</w:t>
      </w:r>
    </w:p>
    <w:p>
      <w:pPr>
        <w:pStyle w:val="BodyText"/>
        <w:rPr/>
      </w:pPr>
      <w:r>
        <w:rPr/>
        <w:t>   </w:t>
      </w:r>
      <w:r>
        <w:rPr/>
        <w:t>b) A la jurisdicción contencioso-administrativa (los tribunales ordinarios)</w:t>
      </w:r>
    </w:p>
    <w:p>
      <w:pPr>
        <w:pStyle w:val="BodyText"/>
        <w:rPr/>
      </w:pPr>
      <w:r>
        <w:rPr/>
        <w:t>   </w:t>
      </w:r>
      <w:r>
        <w:rPr/>
        <w:t>c) Al Consejo de Estado</w:t>
      </w:r>
    </w:p>
    <w:p>
      <w:pPr>
        <w:pStyle w:val="BodyText"/>
        <w:rPr/>
      </w:pPr>
      <w:r>
        <w:rPr/>
        <w:t>   </w:t>
      </w:r>
      <w:r>
        <w:rPr/>
        <w:t>d) A las Cortes</w:t>
      </w:r>
    </w:p>
    <w:p>
      <w:pPr>
        <w:pStyle w:val="BodyText"/>
        <w:rPr/>
      </w:pPr>
      <w:r>
        <w:rPr>
          <w:b/>
        </w:rPr>
        <w:t>20.</w:t>
      </w:r>
      <w:r>
        <w:rPr/>
        <w:t xml:space="preserve"> La Conferencia Sectorial es:</w:t>
      </w:r>
    </w:p>
    <w:p>
      <w:pPr>
        <w:pStyle w:val="BodyText"/>
        <w:rPr/>
      </w:pPr>
      <w:r>
        <w:rPr/>
        <w:t>   </w:t>
      </w:r>
      <w:r>
        <w:rPr/>
        <w:t>a) Una comisión del Congreso</w:t>
      </w:r>
    </w:p>
    <w:p>
      <w:pPr>
        <w:pStyle w:val="BodyText"/>
        <w:rPr/>
      </w:pPr>
      <w:r>
        <w:rPr/>
        <w:t>   </w:t>
      </w:r>
      <w:r>
        <w:rPr/>
        <w:t>b) Un órgano de cooperación multilateral entre el Estado y las CCAA en un sector concreto de actividad (Ley 40/2015)</w:t>
      </w:r>
    </w:p>
    <w:p>
      <w:pPr>
        <w:pStyle w:val="BodyText"/>
        <w:rPr/>
      </w:pPr>
      <w:r>
        <w:rPr/>
        <w:t>   </w:t>
      </w:r>
      <w:r>
        <w:rPr/>
        <w:t>c) Un órgano consultivo de la UE</w:t>
      </w:r>
    </w:p>
    <w:p>
      <w:pPr>
        <w:pStyle w:val="BodyText"/>
        <w:rPr/>
      </w:pPr>
      <w:r>
        <w:rPr/>
        <w:t>   </w:t>
      </w:r>
      <w:r>
        <w:rPr/>
        <w:t>d) Una mesa sindical</w:t>
      </w:r>
    </w:p>
    <w:p>
      <w:pPr>
        <w:pStyle w:val="BodyText"/>
        <w:rPr/>
      </w:pPr>
      <w:r>
        <w:rPr>
          <w:b/>
        </w:rPr>
        <w:t>Bloque II</w:t>
      </w:r>
    </w:p>
    <w:p>
      <w:pPr>
        <w:pStyle w:val="BodyText"/>
        <w:rPr/>
      </w:pPr>
      <w:r>
        <w:rPr>
          <w:b/>
        </w:rPr>
        <w:t>21.</w:t>
      </w:r>
      <w:r>
        <w:rPr/>
        <w:t xml:space="preserve"> El bit de paridad par que corresponde a la palabra 1011001 es:</w:t>
      </w:r>
    </w:p>
    <w:p>
      <w:pPr>
        <w:pStyle w:val="BodyText"/>
        <w:rPr/>
      </w:pPr>
      <w:r>
        <w:rPr/>
        <w:t>   </w:t>
      </w:r>
      <w:r>
        <w:rPr/>
        <w:t>a) 0</w:t>
      </w:r>
    </w:p>
    <w:p>
      <w:pPr>
        <w:pStyle w:val="BodyText"/>
        <w:rPr/>
      </w:pPr>
      <w:r>
        <w:rPr/>
        <w:t>   </w:t>
      </w:r>
      <w:r>
        <w:rPr/>
        <w:t>b) 1</w:t>
      </w:r>
    </w:p>
    <w:p>
      <w:pPr>
        <w:pStyle w:val="BodyText"/>
        <w:rPr/>
      </w:pPr>
      <w:r>
        <w:rPr/>
        <w:t>   </w:t>
      </w:r>
      <w:r>
        <w:rPr/>
        <w:t>c) No se puede calcular</w:t>
      </w:r>
    </w:p>
    <w:p>
      <w:pPr>
        <w:pStyle w:val="BodyText"/>
        <w:rPr/>
      </w:pPr>
      <w:r>
        <w:rPr/>
        <w:t>   </w:t>
      </w:r>
      <w:r>
        <w:rPr/>
        <w:t>d) Depende del orden de transmisión</w:t>
      </w:r>
    </w:p>
    <w:p>
      <w:pPr>
        <w:pStyle w:val="BodyText"/>
        <w:rPr/>
      </w:pPr>
      <w:r>
        <w:rPr>
          <w:b/>
        </w:rPr>
        <w:t>22.</w:t>
      </w:r>
      <w:r>
        <w:rPr/>
        <w:t xml:space="preserve"> En un sistema little-endian, el valor 0x12345678 se almacena en memoria (dirección creciente) como:</w:t>
      </w:r>
    </w:p>
    <w:p>
      <w:pPr>
        <w:pStyle w:val="BodyText"/>
        <w:rPr/>
      </w:pPr>
      <w:r>
        <w:rPr/>
        <w:t>   </w:t>
      </w:r>
      <w:r>
        <w:rPr/>
        <w:t>a) 12 34 56 78</w:t>
      </w:r>
    </w:p>
    <w:p>
      <w:pPr>
        <w:pStyle w:val="BodyText"/>
        <w:rPr/>
      </w:pPr>
      <w:r>
        <w:rPr/>
        <w:t>   </w:t>
      </w:r>
      <w:r>
        <w:rPr/>
        <w:t>b) 78 56 34 12</w:t>
      </w:r>
    </w:p>
    <w:p>
      <w:pPr>
        <w:pStyle w:val="BodyText"/>
        <w:rPr/>
      </w:pPr>
      <w:r>
        <w:rPr/>
        <w:t>   </w:t>
      </w:r>
      <w:r>
        <w:rPr/>
        <w:t>c) 34 12 78 56</w:t>
      </w:r>
    </w:p>
    <w:p>
      <w:pPr>
        <w:pStyle w:val="BodyText"/>
        <w:rPr/>
      </w:pPr>
      <w:r>
        <w:rPr/>
        <w:t>   </w:t>
      </w:r>
      <w:r>
        <w:rPr/>
        <w:t>d) 87 65 43 21</w:t>
      </w:r>
    </w:p>
    <w:p>
      <w:pPr>
        <w:pStyle w:val="BodyText"/>
        <w:rPr/>
      </w:pPr>
      <w:r>
        <w:rPr>
          <w:b/>
        </w:rPr>
        <w:t>23.</w:t>
      </w:r>
      <w:r>
        <w:rPr/>
        <w:t xml:space="preserve"> La E/S por interrupciones, frente al polling (encuesta), se caracteriza por:</w:t>
      </w:r>
    </w:p>
    <w:p>
      <w:pPr>
        <w:pStyle w:val="BodyText"/>
        <w:rPr/>
      </w:pPr>
      <w:r>
        <w:rPr/>
        <w:t>   </w:t>
      </w:r>
      <w:r>
        <w:rPr/>
        <w:t>a) Consultar cíclicamente el estado del dispositivo</w:t>
      </w:r>
    </w:p>
    <w:p>
      <w:pPr>
        <w:pStyle w:val="BodyText"/>
        <w:rPr/>
      </w:pPr>
      <w:r>
        <w:rPr/>
        <w:t>   </w:t>
      </w:r>
      <w:r>
        <w:rPr/>
        <w:t>b) El dispositivo avisa a la CPU cuando necesita atención, liberándola de esperas activas</w:t>
      </w:r>
    </w:p>
    <w:p>
      <w:pPr>
        <w:pStyle w:val="BodyText"/>
        <w:rPr/>
      </w:pPr>
      <w:r>
        <w:rPr/>
        <w:t>   </w:t>
      </w:r>
      <w:r>
        <w:rPr/>
        <w:t>c) Ser más lenta siempre</w:t>
      </w:r>
    </w:p>
    <w:p>
      <w:pPr>
        <w:pStyle w:val="BodyText"/>
        <w:rPr/>
      </w:pPr>
      <w:r>
        <w:rPr/>
        <w:t>   </w:t>
      </w:r>
      <w:r>
        <w:rPr/>
        <w:t>d) No usar el bus</w:t>
      </w:r>
    </w:p>
    <w:p>
      <w:pPr>
        <w:pStyle w:val="BodyText"/>
        <w:rPr/>
      </w:pPr>
      <w:r>
        <w:rPr>
          <w:b/>
        </w:rPr>
        <w:t>24.</w:t>
      </w:r>
      <w:r>
        <w:rPr/>
        <w:t xml:space="preserve"> En un sistema de ficheros Unix, el inodo almacena:</w:t>
      </w:r>
    </w:p>
    <w:p>
      <w:pPr>
        <w:pStyle w:val="BodyText"/>
        <w:rPr/>
      </w:pPr>
      <w:r>
        <w:rPr/>
        <w:t>   </w:t>
      </w:r>
      <w:r>
        <w:rPr/>
        <w:t>a) El nombre del fichero</w:t>
      </w:r>
    </w:p>
    <w:p>
      <w:pPr>
        <w:pStyle w:val="BodyText"/>
        <w:rPr/>
      </w:pPr>
      <w:r>
        <w:rPr/>
        <w:t>   </w:t>
      </w:r>
      <w:r>
        <w:rPr/>
        <w:t>b) Los metadatos (permisos, propietario, fechas, punteros a bloques), pero NO el nombre</w:t>
      </w:r>
    </w:p>
    <w:p>
      <w:pPr>
        <w:pStyle w:val="BodyText"/>
        <w:rPr/>
      </w:pPr>
      <w:r>
        <w:rPr/>
        <w:t>   </w:t>
      </w:r>
      <w:r>
        <w:rPr/>
        <w:t>c) El contenido</w:t>
      </w:r>
    </w:p>
    <w:p>
      <w:pPr>
        <w:pStyle w:val="BodyText"/>
        <w:rPr/>
      </w:pPr>
      <w:r>
        <w:rPr/>
        <w:t>   </w:t>
      </w:r>
      <w:r>
        <w:rPr/>
        <w:t>d) La papelera</w:t>
      </w:r>
    </w:p>
    <w:p>
      <w:pPr>
        <w:pStyle w:val="BodyText"/>
        <w:rPr/>
      </w:pPr>
      <w:r>
        <w:rPr>
          <w:b/>
        </w:rPr>
        <w:t>25.</w:t>
      </w:r>
      <w:r>
        <w:rPr/>
        <w:t xml:space="preserve"> El spooling se utiliza típicamente en:</w:t>
      </w:r>
    </w:p>
    <w:p>
      <w:pPr>
        <w:pStyle w:val="BodyText"/>
        <w:rPr/>
      </w:pPr>
      <w:r>
        <w:rPr/>
        <w:t>   </w:t>
      </w:r>
      <w:r>
        <w:rPr/>
        <w:t>a) La gestión de memoria virtual</w:t>
      </w:r>
    </w:p>
    <w:p>
      <w:pPr>
        <w:pStyle w:val="BodyText"/>
        <w:rPr/>
      </w:pPr>
      <w:r>
        <w:rPr/>
        <w:t>   </w:t>
      </w:r>
      <w:r>
        <w:rPr/>
        <w:t>b) Las colas de impresión: los trabajos se almacenan en disco y se envían al dispositivo lento de forma diferida</w:t>
      </w:r>
    </w:p>
    <w:p>
      <w:pPr>
        <w:pStyle w:val="BodyText"/>
        <w:rPr/>
      </w:pPr>
      <w:r>
        <w:rPr/>
        <w:t>   </w:t>
      </w:r>
      <w:r>
        <w:rPr/>
        <w:t>c) El arranque del sistema</w:t>
      </w:r>
    </w:p>
    <w:p>
      <w:pPr>
        <w:pStyle w:val="BodyText"/>
        <w:rPr/>
      </w:pPr>
      <w:r>
        <w:rPr/>
        <w:t>   </w:t>
      </w:r>
      <w:r>
        <w:rPr/>
        <w:t>d) La caché de CPU</w:t>
      </w:r>
    </w:p>
    <w:p>
      <w:pPr>
        <w:pStyle w:val="BodyText"/>
        <w:rPr/>
      </w:pPr>
      <w:r>
        <w:rPr>
          <w:b/>
        </w:rPr>
        <w:t>26.</w:t>
      </w:r>
      <w:r>
        <w:rPr/>
        <w:t xml:space="preserve"> Un semáforo inicializado a 1 usado con wait/signal implementa:</w:t>
      </w:r>
    </w:p>
    <w:p>
      <w:pPr>
        <w:pStyle w:val="BodyText"/>
        <w:rPr/>
      </w:pPr>
      <w:r>
        <w:rPr/>
        <w:t>   </w:t>
      </w:r>
      <w:r>
        <w:rPr/>
        <w:t>a) Una cola de mensajes</w:t>
      </w:r>
    </w:p>
    <w:p>
      <w:pPr>
        <w:pStyle w:val="BodyText"/>
        <w:rPr/>
      </w:pPr>
      <w:r>
        <w:rPr/>
        <w:t>   </w:t>
      </w:r>
      <w:r>
        <w:rPr/>
        <w:t>b) Exclusión mutua sobre una sección crítica (mutex)</w:t>
      </w:r>
    </w:p>
    <w:p>
      <w:pPr>
        <w:pStyle w:val="BodyText"/>
        <w:rPr/>
      </w:pPr>
      <w:r>
        <w:rPr/>
        <w:t>   </w:t>
      </w:r>
      <w:r>
        <w:rPr/>
        <w:t>c) Un interbloqueo</w:t>
      </w:r>
    </w:p>
    <w:p>
      <w:pPr>
        <w:pStyle w:val="BodyText"/>
        <w:rPr/>
      </w:pPr>
      <w:r>
        <w:rPr/>
        <w:t>   </w:t>
      </w:r>
      <w:r>
        <w:rPr/>
        <w:t>d) Memoria virtual</w:t>
      </w:r>
    </w:p>
    <w:p>
      <w:pPr>
        <w:pStyle w:val="BodyText"/>
        <w:rPr/>
      </w:pPr>
      <w:r>
        <w:rPr>
          <w:b/>
        </w:rPr>
        <w:t>27.</w:t>
      </w:r>
      <w:r>
        <w:rPr/>
        <w:t xml:space="preserve"> La memoria DDR de los equipos actuales es de tipo:</w:t>
      </w:r>
    </w:p>
    <w:p>
      <w:pPr>
        <w:pStyle w:val="BodyText"/>
        <w:rPr/>
      </w:pPr>
      <w:r>
        <w:rPr/>
        <w:t>   </w:t>
      </w:r>
      <w:r>
        <w:rPr/>
        <w:t>a) SRAM estática</w:t>
      </w:r>
    </w:p>
    <w:p>
      <w:pPr>
        <w:pStyle w:val="BodyText"/>
        <w:rPr/>
      </w:pPr>
      <w:r>
        <w:rPr/>
        <w:t>   </w:t>
      </w:r>
      <w:r>
        <w:rPr/>
        <w:t>b) SDRAM síncrona de doble tasa de transferencia (DDR4/DDR5)</w:t>
      </w:r>
    </w:p>
    <w:p>
      <w:pPr>
        <w:pStyle w:val="BodyText"/>
        <w:rPr/>
      </w:pPr>
      <w:r>
        <w:rPr/>
        <w:t>   </w:t>
      </w:r>
      <w:r>
        <w:rPr/>
        <w:t>c) EEPROM</w:t>
      </w:r>
    </w:p>
    <w:p>
      <w:pPr>
        <w:pStyle w:val="BodyText"/>
        <w:rPr/>
      </w:pPr>
      <w:r>
        <w:rPr/>
        <w:t>   </w:t>
      </w:r>
      <w:r>
        <w:rPr/>
        <w:t>d) Flash NOR</w:t>
      </w:r>
    </w:p>
    <w:p>
      <w:pPr>
        <w:pStyle w:val="BodyText"/>
        <w:rPr/>
      </w:pPr>
      <w:r>
        <w:rPr>
          <w:b/>
        </w:rPr>
        <w:t>28.</w:t>
      </w:r>
      <w:r>
        <w:rPr/>
        <w:t xml:space="preserve"> USB Power Delivery sobre conector USB-C permite entregar hasta:</w:t>
      </w:r>
    </w:p>
    <w:p>
      <w:pPr>
        <w:pStyle w:val="BodyText"/>
        <w:rPr/>
      </w:pPr>
      <w:r>
        <w:rPr/>
        <w:t>   </w:t>
      </w:r>
      <w:r>
        <w:rPr/>
        <w:t>a) 15 W</w:t>
      </w:r>
    </w:p>
    <w:p>
      <w:pPr>
        <w:pStyle w:val="BodyText"/>
        <w:rPr/>
      </w:pPr>
      <w:r>
        <w:rPr/>
        <w:t>   </w:t>
      </w:r>
      <w:r>
        <w:rPr/>
        <w:t>b) 100 W (240 W en la revisión extendida EPR)</w:t>
      </w:r>
    </w:p>
    <w:p>
      <w:pPr>
        <w:pStyle w:val="BodyText"/>
        <w:rPr/>
      </w:pPr>
      <w:r>
        <w:rPr/>
        <w:t>   </w:t>
      </w:r>
      <w:r>
        <w:rPr/>
        <w:t>c) 500 W</w:t>
      </w:r>
    </w:p>
    <w:p>
      <w:pPr>
        <w:pStyle w:val="BodyText"/>
        <w:rPr/>
      </w:pPr>
      <w:r>
        <w:rPr/>
        <w:t>   </w:t>
      </w:r>
      <w:r>
        <w:rPr/>
        <w:t>d) 5 W</w:t>
      </w:r>
    </w:p>
    <w:p>
      <w:pPr>
        <w:pStyle w:val="BodyText"/>
        <w:rPr/>
      </w:pPr>
      <w:r>
        <w:rPr>
          <w:b/>
        </w:rPr>
        <w:t>29.</w:t>
      </w:r>
      <w:r>
        <w:rPr/>
        <w:t xml:space="preserve"> Un cursor en un SGBD es:</w:t>
      </w:r>
    </w:p>
    <w:p>
      <w:pPr>
        <w:pStyle w:val="BodyText"/>
        <w:rPr/>
      </w:pPr>
      <w:r>
        <w:rPr/>
        <w:t>   </w:t>
      </w:r>
      <w:r>
        <w:rPr/>
        <w:t>a) El puntero del ratón</w:t>
      </w:r>
    </w:p>
    <w:p>
      <w:pPr>
        <w:pStyle w:val="BodyText"/>
        <w:rPr/>
      </w:pPr>
      <w:r>
        <w:rPr/>
        <w:t>   </w:t>
      </w:r>
      <w:r>
        <w:rPr/>
        <w:t>b) Un mecanismo para recorrer fila a fila el resultado de una consulta dentro de código procedimental</w:t>
      </w:r>
    </w:p>
    <w:p>
      <w:pPr>
        <w:pStyle w:val="BodyText"/>
        <w:rPr/>
      </w:pPr>
      <w:r>
        <w:rPr/>
        <w:t>   </w:t>
      </w:r>
      <w:r>
        <w:rPr/>
        <w:t>c) Un índice agrupado</w:t>
      </w:r>
    </w:p>
    <w:p>
      <w:pPr>
        <w:pStyle w:val="BodyText"/>
        <w:rPr/>
      </w:pPr>
      <w:r>
        <w:rPr/>
        <w:t>   </w:t>
      </w:r>
      <w:r>
        <w:rPr/>
        <w:t>d) Una vista materializada</w:t>
      </w:r>
    </w:p>
    <w:p>
      <w:pPr>
        <w:pStyle w:val="BodyText"/>
        <w:rPr/>
      </w:pPr>
      <w:r>
        <w:rPr>
          <w:b/>
        </w:rPr>
        <w:t>30.</w:t>
      </w:r>
      <w:r>
        <w:rPr/>
        <w:t xml:space="preserve"> El nivel de aislamiento que evita las lecturas fantasma es:</w:t>
      </w:r>
    </w:p>
    <w:p>
      <w:pPr>
        <w:pStyle w:val="BodyText"/>
        <w:rPr/>
      </w:pPr>
      <w:r>
        <w:rPr/>
        <w:t>   </w:t>
      </w:r>
      <w:r>
        <w:rPr/>
        <w:t>a) READ UNCOMMITTED</w:t>
      </w:r>
    </w:p>
    <w:p>
      <w:pPr>
        <w:pStyle w:val="BodyText"/>
        <w:rPr/>
      </w:pPr>
      <w:r>
        <w:rPr/>
        <w:t>   </w:t>
      </w:r>
      <w:r>
        <w:rPr/>
        <w:t>b) SERIALIZABLE</w:t>
      </w:r>
    </w:p>
    <w:p>
      <w:pPr>
        <w:pStyle w:val="BodyText"/>
        <w:rPr/>
      </w:pPr>
      <w:r>
        <w:rPr/>
        <w:t>   </w:t>
      </w:r>
      <w:r>
        <w:rPr/>
        <w:t>c) READ COMMITTED</w:t>
      </w:r>
    </w:p>
    <w:p>
      <w:pPr>
        <w:pStyle w:val="BodyText"/>
        <w:rPr/>
      </w:pPr>
      <w:r>
        <w:rPr/>
        <w:t>   </w:t>
      </w:r>
      <w:r>
        <w:rPr/>
        <w:t>d) Ninguno puede evitarlas</w:t>
      </w:r>
    </w:p>
    <w:p>
      <w:pPr>
        <w:pStyle w:val="BodyText"/>
        <w:rPr/>
      </w:pPr>
      <w:r>
        <w:rPr>
          <w:b/>
        </w:rPr>
        <w:t>Bloque III</w:t>
      </w:r>
    </w:p>
    <w:p>
      <w:pPr>
        <w:pStyle w:val="BodyText"/>
        <w:rPr/>
      </w:pPr>
      <w:r>
        <w:rPr>
          <w:b/>
        </w:rPr>
        <w:t>31.</w:t>
      </w:r>
      <w:r>
        <w:rPr/>
        <w:t xml:space="preserve"> Para validar la estructura de un documento XML se utiliza:</w:t>
      </w:r>
    </w:p>
    <w:p>
      <w:pPr>
        <w:pStyle w:val="BodyText"/>
        <w:rPr/>
      </w:pPr>
      <w:r>
        <w:rPr/>
        <w:t>   </w:t>
      </w:r>
      <w:r>
        <w:rPr/>
        <w:t>a) CSS</w:t>
      </w:r>
    </w:p>
    <w:p>
      <w:pPr>
        <w:pStyle w:val="BodyText"/>
        <w:rPr/>
      </w:pPr>
      <w:r>
        <w:rPr/>
        <w:t>   </w:t>
      </w:r>
      <w:r>
        <w:rPr/>
        <w:t>b) Un esquema XSD (o una DTD)</w:t>
      </w:r>
    </w:p>
    <w:p>
      <w:pPr>
        <w:pStyle w:val="BodyText"/>
        <w:rPr/>
      </w:pPr>
      <w:r>
        <w:rPr/>
        <w:t>   </w:t>
      </w:r>
      <w:r>
        <w:rPr/>
        <w:t>c) JSON Schema</w:t>
      </w:r>
    </w:p>
    <w:p>
      <w:pPr>
        <w:pStyle w:val="BodyText"/>
        <w:rPr/>
      </w:pPr>
      <w:r>
        <w:rPr/>
        <w:t>   </w:t>
      </w:r>
      <w:r>
        <w:rPr/>
        <w:t>d) JavaScript</w:t>
      </w:r>
    </w:p>
    <w:p>
      <w:pPr>
        <w:pStyle w:val="BodyText"/>
        <w:rPr/>
      </w:pPr>
      <w:r>
        <w:rPr>
          <w:b/>
        </w:rPr>
        <w:t>32.</w:t>
      </w:r>
      <w:r>
        <w:rPr/>
        <w:t xml:space="preserve"> La expresión XPath /pedidos/pedido[2] selecciona:</w:t>
      </w:r>
    </w:p>
    <w:p>
      <w:pPr>
        <w:pStyle w:val="BodyText"/>
        <w:rPr/>
      </w:pPr>
      <w:r>
        <w:rPr/>
        <w:t>   </w:t>
      </w:r>
      <w:r>
        <w:rPr/>
        <w:t>a) Los dos primeros pedidos</w:t>
      </w:r>
    </w:p>
    <w:p>
      <w:pPr>
        <w:pStyle w:val="BodyText"/>
        <w:rPr/>
      </w:pPr>
      <w:r>
        <w:rPr/>
        <w:t>   </w:t>
      </w:r>
      <w:r>
        <w:rPr/>
        <w:t>b) El segundo elemento pedido hijo de pedidos (XPath indexa desde 1)</w:t>
      </w:r>
    </w:p>
    <w:p>
      <w:pPr>
        <w:pStyle w:val="BodyText"/>
        <w:rPr/>
      </w:pPr>
      <w:r>
        <w:rPr/>
        <w:t>   </w:t>
      </w:r>
      <w:r>
        <w:rPr/>
        <w:t>c) El pedido con id=2</w:t>
      </w:r>
    </w:p>
    <w:p>
      <w:pPr>
        <w:pStyle w:val="BodyText"/>
        <w:rPr/>
      </w:pPr>
      <w:r>
        <w:rPr/>
        <w:t>   </w:t>
      </w:r>
      <w:r>
        <w:rPr/>
        <w:t>d) Nada, es inválida</w:t>
      </w:r>
    </w:p>
    <w:p>
      <w:pPr>
        <w:pStyle w:val="BodyText"/>
        <w:rPr/>
      </w:pPr>
      <w:r>
        <w:rPr>
          <w:b/>
        </w:rPr>
        <w:t>33.</w:t>
      </w:r>
      <w:r>
        <w:rPr/>
        <w:t xml:space="preserve"> En SOAP, el fichero WSDL describe:</w:t>
      </w:r>
    </w:p>
    <w:p>
      <w:pPr>
        <w:pStyle w:val="BodyText"/>
        <w:rPr/>
      </w:pPr>
      <w:r>
        <w:rPr/>
        <w:t>   </w:t>
      </w:r>
      <w:r>
        <w:rPr/>
        <w:t>a) El estilo visual del servicio</w:t>
      </w:r>
    </w:p>
    <w:p>
      <w:pPr>
        <w:pStyle w:val="BodyText"/>
        <w:rPr/>
      </w:pPr>
      <w:r>
        <w:rPr/>
        <w:t>   </w:t>
      </w:r>
      <w:r>
        <w:rPr/>
        <w:t>b) Las operaciones, mensajes, tipos y puntos de acceso del servicio web (el contrato)</w:t>
      </w:r>
    </w:p>
    <w:p>
      <w:pPr>
        <w:pStyle w:val="BodyText"/>
        <w:rPr/>
      </w:pPr>
      <w:r>
        <w:rPr/>
        <w:t>   </w:t>
      </w:r>
      <w:r>
        <w:rPr/>
        <w:t>c) La base de datos</w:t>
      </w:r>
    </w:p>
    <w:p>
      <w:pPr>
        <w:pStyle w:val="BodyText"/>
        <w:rPr/>
      </w:pPr>
      <w:r>
        <w:rPr/>
        <w:t>   </w:t>
      </w:r>
      <w:r>
        <w:rPr/>
        <w:t>d) El certificado TLS</w:t>
      </w:r>
    </w:p>
    <w:p>
      <w:pPr>
        <w:pStyle w:val="BodyText"/>
        <w:rPr/>
      </w:pPr>
      <w:r>
        <w:rPr>
          <w:b/>
        </w:rPr>
        <w:t>34.</w:t>
      </w:r>
      <w:r>
        <w:rPr/>
        <w:t xml:space="preserve"> Las cookies de sesión se diferencian de las persistentes en que:</w:t>
      </w:r>
    </w:p>
    <w:p>
      <w:pPr>
        <w:pStyle w:val="BodyText"/>
        <w:rPr/>
      </w:pPr>
      <w:r>
        <w:rPr/>
        <w:t>   </w:t>
      </w:r>
      <w:r>
        <w:rPr/>
        <w:t>a) Cifran su contenido</w:t>
      </w:r>
    </w:p>
    <w:p>
      <w:pPr>
        <w:pStyle w:val="BodyText"/>
        <w:rPr/>
      </w:pPr>
      <w:r>
        <w:rPr/>
        <w:t>   </w:t>
      </w:r>
      <w:r>
        <w:rPr/>
        <w:t>b) Se eliminan al cerrar el navegador (no llevan fecha de expiración)</w:t>
      </w:r>
    </w:p>
    <w:p>
      <w:pPr>
        <w:pStyle w:val="BodyText"/>
        <w:rPr/>
      </w:pPr>
      <w:r>
        <w:rPr/>
        <w:t>   </w:t>
      </w:r>
      <w:r>
        <w:rPr/>
        <w:t>c) Solo funcionan con HTTPS</w:t>
      </w:r>
    </w:p>
    <w:p>
      <w:pPr>
        <w:pStyle w:val="BodyText"/>
        <w:rPr/>
      </w:pPr>
      <w:r>
        <w:rPr/>
        <w:t>   </w:t>
      </w:r>
      <w:r>
        <w:rPr/>
        <w:t>d) Las crea el servidor DNS</w:t>
      </w:r>
    </w:p>
    <w:p>
      <w:pPr>
        <w:pStyle w:val="BodyText"/>
        <w:rPr/>
      </w:pPr>
      <w:r>
        <w:rPr>
          <w:b/>
        </w:rPr>
        <w:t>35.</w:t>
      </w:r>
      <w:r>
        <w:rPr/>
        <w:t xml:space="preserve"> Un token JWT se compone de:</w:t>
      </w:r>
    </w:p>
    <w:p>
      <w:pPr>
        <w:pStyle w:val="BodyText"/>
        <w:rPr/>
      </w:pPr>
      <w:r>
        <w:rPr/>
        <w:t>   </w:t>
      </w:r>
      <w:r>
        <w:rPr/>
        <w:t>a) Usuario y contraseña cifrados</w:t>
      </w:r>
    </w:p>
    <w:p>
      <w:pPr>
        <w:pStyle w:val="BodyText"/>
        <w:rPr/>
      </w:pPr>
      <w:r>
        <w:rPr/>
        <w:t>   </w:t>
      </w:r>
      <w:r>
        <w:rPr/>
        <w:t>b) Cabecera, payload (claims) y firma, codificados en Base64URL y separados por puntos</w:t>
      </w:r>
    </w:p>
    <w:p>
      <w:pPr>
        <w:pStyle w:val="BodyText"/>
        <w:rPr/>
      </w:pPr>
      <w:r>
        <w:rPr/>
        <w:t>   </w:t>
      </w:r>
      <w:r>
        <w:rPr/>
        <w:t>c) Un UUID aleatorio</w:t>
      </w:r>
    </w:p>
    <w:p>
      <w:pPr>
        <w:pStyle w:val="BodyText"/>
        <w:rPr/>
      </w:pPr>
      <w:r>
        <w:rPr/>
        <w:t>   </w:t>
      </w:r>
      <w:r>
        <w:rPr/>
        <w:t>d) Un hash SHA-256 simple</w:t>
      </w:r>
    </w:p>
    <w:p>
      <w:pPr>
        <w:pStyle w:val="BodyText"/>
        <w:rPr/>
      </w:pPr>
      <w:r>
        <w:rPr>
          <w:b/>
        </w:rPr>
        <w:t>36.</w:t>
      </w:r>
      <w:r>
        <w:rPr/>
        <w:t xml:space="preserve"> En Java, la primera línea de un constructor de subclase que invoca al constructor del padre es:</w:t>
      </w:r>
    </w:p>
    <w:p>
      <w:pPr>
        <w:pStyle w:val="BodyText"/>
        <w:rPr/>
      </w:pPr>
      <w:r>
        <w:rPr/>
        <w:t>   </w:t>
      </w:r>
      <w:r>
        <w:rPr/>
        <w:t>a) parent()</w:t>
      </w:r>
    </w:p>
    <w:p>
      <w:pPr>
        <w:pStyle w:val="BodyText"/>
        <w:rPr/>
      </w:pPr>
      <w:r>
        <w:rPr/>
        <w:t>   </w:t>
      </w:r>
      <w:r>
        <w:rPr/>
        <w:t>b) super(args)</w:t>
      </w:r>
    </w:p>
    <w:p>
      <w:pPr>
        <w:pStyle w:val="BodyText"/>
        <w:rPr/>
      </w:pPr>
      <w:r>
        <w:rPr/>
        <w:t>   </w:t>
      </w:r>
      <w:r>
        <w:rPr/>
        <w:t>c) this.parent()</w:t>
      </w:r>
    </w:p>
    <w:p>
      <w:pPr>
        <w:pStyle w:val="BodyText"/>
        <w:rPr/>
      </w:pPr>
      <w:r>
        <w:rPr/>
        <w:t>   </w:t>
      </w:r>
      <w:r>
        <w:rPr/>
        <w:t>d) base(args)</w:t>
      </w:r>
    </w:p>
    <w:p>
      <w:pPr>
        <w:pStyle w:val="BodyText"/>
        <w:rPr/>
      </w:pPr>
      <w:r>
        <w:rPr>
          <w:b/>
        </w:rPr>
        <w:t>37.</w:t>
      </w:r>
      <w:r>
        <w:rPr/>
        <w:t xml:space="preserve"> npm es el gestor de paquetes de:</w:t>
      </w:r>
    </w:p>
    <w:p>
      <w:pPr>
        <w:pStyle w:val="BodyText"/>
        <w:rPr/>
      </w:pPr>
      <w:r>
        <w:rPr/>
        <w:t>   </w:t>
      </w:r>
      <w:r>
        <w:rPr/>
        <w:t>a) Python</w:t>
      </w:r>
    </w:p>
    <w:p>
      <w:pPr>
        <w:pStyle w:val="BodyText"/>
        <w:rPr/>
      </w:pPr>
      <w:r>
        <w:rPr/>
        <w:t>   </w:t>
      </w:r>
      <w:r>
        <w:rPr/>
        <w:t>b) Node.js/JavaScript (fichero package.json)</w:t>
      </w:r>
    </w:p>
    <w:p>
      <w:pPr>
        <w:pStyle w:val="BodyText"/>
        <w:rPr/>
      </w:pPr>
      <w:r>
        <w:rPr/>
        <w:t>   </w:t>
      </w:r>
      <w:r>
        <w:rPr/>
        <w:t>c) Java</w:t>
      </w:r>
    </w:p>
    <w:p>
      <w:pPr>
        <w:pStyle w:val="BodyText"/>
        <w:rPr/>
      </w:pPr>
      <w:r>
        <w:rPr/>
        <w:t>   </w:t>
      </w:r>
      <w:r>
        <w:rPr/>
        <w:t>d) .NET</w:t>
      </w:r>
    </w:p>
    <w:p>
      <w:pPr>
        <w:pStyle w:val="BodyText"/>
        <w:rPr/>
      </w:pPr>
      <w:r>
        <w:rPr>
          <w:b/>
        </w:rPr>
        <w:t>38.</w:t>
      </w:r>
      <w:r>
        <w:rPr/>
        <w:t xml:space="preserve"> En Kanban, el límite WIP sirve para:</w:t>
      </w:r>
    </w:p>
    <w:p>
      <w:pPr>
        <w:pStyle w:val="BodyText"/>
        <w:rPr/>
      </w:pPr>
      <w:r>
        <w:rPr/>
        <w:t>   </w:t>
      </w:r>
      <w:r>
        <w:rPr/>
        <w:t>a) Fijar la duración del sprint</w:t>
      </w:r>
    </w:p>
    <w:p>
      <w:pPr>
        <w:pStyle w:val="BodyText"/>
        <w:rPr/>
      </w:pPr>
      <w:r>
        <w:rPr/>
        <w:t>   </w:t>
      </w:r>
      <w:r>
        <w:rPr/>
        <w:t>b) Limitar el trabajo en curso simultáneo en cada columna para detectar cuellos de botella y mejorar el flujo</w:t>
      </w:r>
    </w:p>
    <w:p>
      <w:pPr>
        <w:pStyle w:val="BodyText"/>
        <w:rPr/>
      </w:pPr>
      <w:r>
        <w:rPr/>
        <w:t>   </w:t>
      </w:r>
      <w:r>
        <w:rPr/>
        <w:t>c) Contar los fallos</w:t>
      </w:r>
    </w:p>
    <w:p>
      <w:pPr>
        <w:pStyle w:val="BodyText"/>
        <w:rPr/>
      </w:pPr>
      <w:r>
        <w:rPr/>
        <w:t>   </w:t>
      </w:r>
      <w:r>
        <w:rPr/>
        <w:t>d) Asignar roles</w:t>
      </w:r>
    </w:p>
    <w:p>
      <w:pPr>
        <w:pStyle w:val="BodyText"/>
        <w:rPr/>
      </w:pPr>
      <w:r>
        <w:rPr>
          <w:b/>
        </w:rPr>
        <w:t>39.</w:t>
      </w:r>
      <w:r>
        <w:rPr/>
        <w:t xml:space="preserve"> Métrica v3 es:</w:t>
      </w:r>
    </w:p>
    <w:p>
      <w:pPr>
        <w:pStyle w:val="BodyText"/>
        <w:rPr/>
      </w:pPr>
      <w:r>
        <w:rPr/>
        <w:t>   </w:t>
      </w:r>
      <w:r>
        <w:rPr/>
        <w:t>a) Una unidad de medida</w:t>
      </w:r>
    </w:p>
    <w:p>
      <w:pPr>
        <w:pStyle w:val="BodyText"/>
        <w:rPr/>
      </w:pPr>
      <w:r>
        <w:rPr/>
        <w:t>   </w:t>
      </w:r>
      <w:r>
        <w:rPr/>
        <w:t>b) La metodología de planificación y desarrollo de sistemas de información promovida por la Administración española</w:t>
      </w:r>
    </w:p>
    <w:p>
      <w:pPr>
        <w:pStyle w:val="BodyText"/>
        <w:rPr/>
      </w:pPr>
      <w:r>
        <w:rPr/>
        <w:t>   </w:t>
      </w:r>
      <w:r>
        <w:rPr/>
        <w:t>c) Un framework JavaScript</w:t>
      </w:r>
    </w:p>
    <w:p>
      <w:pPr>
        <w:pStyle w:val="BodyText"/>
        <w:rPr/>
      </w:pPr>
      <w:r>
        <w:rPr/>
        <w:t>   </w:t>
      </w:r>
      <w:r>
        <w:rPr/>
        <w:t>d) Una norma ISO de calidad</w:t>
      </w:r>
    </w:p>
    <w:p>
      <w:pPr>
        <w:pStyle w:val="BodyText"/>
        <w:rPr/>
      </w:pPr>
      <w:r>
        <w:rPr>
          <w:b/>
        </w:rPr>
        <w:t>40.</w:t>
      </w:r>
      <w:r>
        <w:rPr/>
        <w:t xml:space="preserve"> Las pruebas de caja blanca se basan en:</w:t>
      </w:r>
    </w:p>
    <w:p>
      <w:pPr>
        <w:pStyle w:val="BodyText"/>
        <w:rPr/>
      </w:pPr>
      <w:r>
        <w:rPr/>
        <w:t>   </w:t>
      </w:r>
      <w:r>
        <w:rPr/>
        <w:t>a) Solo las entradas y salidas</w:t>
      </w:r>
    </w:p>
    <w:p>
      <w:pPr>
        <w:pStyle w:val="BodyText"/>
        <w:rPr/>
      </w:pPr>
      <w:r>
        <w:rPr/>
        <w:t>   </w:t>
      </w:r>
      <w:r>
        <w:rPr/>
        <w:t>b) El conocimiento de la estructura interna del código (cobertura de sentencias, ramas, caminos)</w:t>
      </w:r>
    </w:p>
    <w:p>
      <w:pPr>
        <w:pStyle w:val="BodyText"/>
        <w:rPr/>
      </w:pPr>
      <w:r>
        <w:rPr/>
        <w:t>   </w:t>
      </w:r>
      <w:r>
        <w:rPr/>
        <w:t>c) La opinión del usuario</w:t>
      </w:r>
    </w:p>
    <w:p>
      <w:pPr>
        <w:pStyle w:val="BodyText"/>
        <w:rPr/>
      </w:pPr>
      <w:r>
        <w:rPr/>
        <w:t>   </w:t>
      </w:r>
      <w:r>
        <w:rPr/>
        <w:t>d) El rendimiento bajo carga</w:t>
      </w:r>
    </w:p>
    <w:p>
      <w:pPr>
        <w:pStyle w:val="BodyText"/>
        <w:rPr/>
      </w:pPr>
      <w:r>
        <w:rPr>
          <w:b/>
        </w:rPr>
        <w:t>41.</w:t>
      </w:r>
      <w:r>
        <w:rPr/>
        <w:t xml:space="preserve"> Javadoc genera:</w:t>
      </w:r>
    </w:p>
    <w:p>
      <w:pPr>
        <w:pStyle w:val="BodyText"/>
        <w:rPr/>
      </w:pPr>
      <w:r>
        <w:rPr/>
        <w:t>   </w:t>
      </w:r>
      <w:r>
        <w:rPr/>
        <w:t>a) Bytecode optimizado</w:t>
      </w:r>
    </w:p>
    <w:p>
      <w:pPr>
        <w:pStyle w:val="BodyText"/>
        <w:rPr/>
      </w:pPr>
      <w:r>
        <w:rPr/>
        <w:t>   </w:t>
      </w:r>
      <w:r>
        <w:rPr/>
        <w:t>b) Documentación HTML de la API a partir de comentarios /** */ del código fuente</w:t>
      </w:r>
    </w:p>
    <w:p>
      <w:pPr>
        <w:pStyle w:val="BodyText"/>
        <w:rPr/>
      </w:pPr>
      <w:r>
        <w:rPr/>
        <w:t>   </w:t>
      </w:r>
      <w:r>
        <w:rPr/>
        <w:t>c) Diagramas UML</w:t>
      </w:r>
    </w:p>
    <w:p>
      <w:pPr>
        <w:pStyle w:val="BodyText"/>
        <w:rPr/>
      </w:pPr>
      <w:r>
        <w:rPr/>
        <w:t>   </w:t>
      </w:r>
      <w:r>
        <w:rPr/>
        <w:t>d) Informes de cobertura</w:t>
      </w:r>
    </w:p>
    <w:p>
      <w:pPr>
        <w:pStyle w:val="BodyText"/>
        <w:rPr/>
      </w:pPr>
      <w:r>
        <w:rPr>
          <w:b/>
        </w:rPr>
        <w:t>42.</w:t>
      </w:r>
      <w:r>
        <w:rPr/>
        <w:t xml:space="preserve"> La inyección de dependencias (Spring) consiste en:</w:t>
      </w:r>
    </w:p>
    <w:p>
      <w:pPr>
        <w:pStyle w:val="BodyText"/>
        <w:rPr/>
      </w:pPr>
      <w:r>
        <w:rPr/>
        <w:t>   </w:t>
      </w:r>
      <w:r>
        <w:rPr/>
        <w:t>a) Un ataque de seguridad</w:t>
      </w:r>
    </w:p>
    <w:p>
      <w:pPr>
        <w:pStyle w:val="BodyText"/>
        <w:rPr/>
      </w:pPr>
      <w:r>
        <w:rPr/>
        <w:t>   </w:t>
      </w:r>
      <w:r>
        <w:rPr/>
        <w:t>b) Que el contenedor proporciona a cada objeto sus dependencias (inversión de control), en vez de crearlas él mismo con new</w:t>
      </w:r>
    </w:p>
    <w:p>
      <w:pPr>
        <w:pStyle w:val="BodyText"/>
        <w:rPr/>
      </w:pPr>
      <w:r>
        <w:rPr/>
        <w:t>   </w:t>
      </w:r>
      <w:r>
        <w:rPr/>
        <w:t>c) Insertar SQL en el código</w:t>
      </w:r>
    </w:p>
    <w:p>
      <w:pPr>
        <w:pStyle w:val="BodyText"/>
        <w:rPr/>
      </w:pPr>
      <w:r>
        <w:rPr/>
        <w:t>   </w:t>
      </w:r>
      <w:r>
        <w:rPr/>
        <w:t>d) Duplicar bibliotecas</w:t>
      </w:r>
    </w:p>
    <w:p>
      <w:pPr>
        <w:pStyle w:val="BodyText"/>
        <w:rPr/>
      </w:pPr>
      <w:r>
        <w:rPr>
          <w:b/>
        </w:rPr>
        <w:t>43.</w:t>
      </w:r>
      <w:r>
        <w:rPr/>
        <w:t xml:space="preserve"> El atributo lang en la etiqueta</w:t>
      </w:r>
    </w:p>
    <w:p>
      <w:pPr>
        <w:pStyle w:val="BodyText"/>
        <w:rPr/>
      </w:pPr>
      <w:r>
        <w:rPr/>
        <w:t>es relevante para accesibilidad porque:</w:t>
      </w:r>
    </w:p>
    <w:p>
      <w:pPr>
        <w:pStyle w:val="BodyText"/>
        <w:rPr/>
      </w:pPr>
      <w:r>
        <w:rPr/>
        <w:t>   </w:t>
      </w:r>
      <w:r>
        <w:rPr/>
        <w:t>a) Cambia la codificación</w:t>
      </w:r>
    </w:p>
    <w:p>
      <w:pPr>
        <w:pStyle w:val="BodyText"/>
        <w:rPr/>
      </w:pPr>
      <w:r>
        <w:rPr/>
        <w:t>   </w:t>
      </w:r>
      <w:r>
        <w:rPr/>
        <w:t>b) Permite a los lectores de pantalla usar la pronunciación correcta del idioma (criterio WCAG 3.1.1, nivel A)</w:t>
      </w:r>
    </w:p>
    <w:p>
      <w:pPr>
        <w:pStyle w:val="BodyText"/>
        <w:rPr/>
      </w:pPr>
      <w:r>
        <w:rPr/>
        <w:t>   </w:t>
      </w:r>
      <w:r>
        <w:rPr/>
        <w:t>c) Traduce la página</w:t>
      </w:r>
    </w:p>
    <w:p>
      <w:pPr>
        <w:pStyle w:val="BodyText"/>
        <w:rPr/>
      </w:pPr>
      <w:r>
        <w:rPr/>
        <w:t>   </w:t>
      </w:r>
      <w:r>
        <w:rPr/>
        <w:t>d) Es decorativo</w:t>
      </w:r>
    </w:p>
    <w:p>
      <w:pPr>
        <w:pStyle w:val="BodyText"/>
        <w:rPr/>
      </w:pPr>
      <w:r>
        <w:rPr>
          <w:b/>
        </w:rPr>
        <w:t>44.</w:t>
      </w:r>
      <w:r>
        <w:rPr/>
        <w:t xml:space="preserve"> CSRF es un ataque en el que:</w:t>
      </w:r>
    </w:p>
    <w:p>
      <w:pPr>
        <w:pStyle w:val="BodyText"/>
        <w:rPr/>
      </w:pPr>
      <w:r>
        <w:rPr/>
        <w:t>   </w:t>
      </w:r>
      <w:r>
        <w:rPr/>
        <w:t>a) Se inyecta SQL</w:t>
      </w:r>
    </w:p>
    <w:p>
      <w:pPr>
        <w:pStyle w:val="BodyText"/>
        <w:rPr/>
      </w:pPr>
      <w:r>
        <w:rPr/>
        <w:t>   </w:t>
      </w:r>
      <w:r>
        <w:rPr/>
        <w:t>b) Se fuerza al navegador de un usuario autenticado a enviar peticiones no deseadas a una aplicación en la que tiene sesión</w:t>
      </w:r>
    </w:p>
    <w:p>
      <w:pPr>
        <w:pStyle w:val="BodyText"/>
        <w:rPr/>
      </w:pPr>
      <w:r>
        <w:rPr/>
        <w:t>   </w:t>
      </w:r>
      <w:r>
        <w:rPr/>
        <w:t>c) Se descifra TLS</w:t>
      </w:r>
    </w:p>
    <w:p>
      <w:pPr>
        <w:pStyle w:val="BodyText"/>
        <w:rPr/>
      </w:pPr>
      <w:r>
        <w:rPr/>
        <w:t>   </w:t>
      </w:r>
      <w:r>
        <w:rPr/>
        <w:t>d) Se roba el DNS</w:t>
      </w:r>
    </w:p>
    <w:p>
      <w:pPr>
        <w:pStyle w:val="BodyText"/>
        <w:rPr/>
      </w:pPr>
      <w:r>
        <w:rPr>
          <w:b/>
        </w:rPr>
        <w:t>45.</w:t>
      </w:r>
      <w:r>
        <w:rPr/>
        <w:t xml:space="preserve"> En una arquitectura de microservicios, la comunicación asíncrona entre servicios se implementa típicamente con:</w:t>
      </w:r>
    </w:p>
    <w:p>
      <w:pPr>
        <w:pStyle w:val="BodyText"/>
        <w:rPr/>
      </w:pPr>
      <w:r>
        <w:rPr/>
        <w:t>   </w:t>
      </w:r>
      <w:r>
        <w:rPr/>
        <w:t>a) Ficheros compartidos</w:t>
      </w:r>
    </w:p>
    <w:p>
      <w:pPr>
        <w:pStyle w:val="BodyText"/>
        <w:rPr/>
      </w:pPr>
      <w:r>
        <w:rPr/>
        <w:t>   </w:t>
      </w:r>
      <w:r>
        <w:rPr/>
        <w:t>b) Colas y brokers de mensajería (RabbitMQ, Kafka)</w:t>
      </w:r>
    </w:p>
    <w:p>
      <w:pPr>
        <w:pStyle w:val="BodyText"/>
        <w:rPr/>
      </w:pPr>
      <w:r>
        <w:rPr/>
        <w:t>   </w:t>
      </w:r>
      <w:r>
        <w:rPr/>
        <w:t>c) Memoria compartida</w:t>
      </w:r>
    </w:p>
    <w:p>
      <w:pPr>
        <w:pStyle w:val="BodyText"/>
        <w:rPr/>
      </w:pPr>
      <w:r>
        <w:rPr/>
        <w:t>   </w:t>
      </w:r>
      <w:r>
        <w:rPr/>
        <w:t>d) FTP</w:t>
      </w:r>
    </w:p>
    <w:p>
      <w:pPr>
        <w:pStyle w:val="BodyText"/>
        <w:rPr/>
      </w:pPr>
      <w:r>
        <w:rPr>
          <w:b/>
        </w:rPr>
        <w:t>Bloque IV</w:t>
      </w:r>
    </w:p>
    <w:p>
      <w:pPr>
        <w:pStyle w:val="BodyText"/>
        <w:rPr/>
      </w:pPr>
      <w:r>
        <w:rPr>
          <w:b/>
        </w:rPr>
        <w:t>46.</w:t>
      </w:r>
      <w:r>
        <w:rPr/>
        <w:t xml:space="preserve"> El TTL de un registro DNS indica:</w:t>
      </w:r>
    </w:p>
    <w:p>
      <w:pPr>
        <w:pStyle w:val="BodyText"/>
        <w:rPr/>
      </w:pPr>
      <w:r>
        <w:rPr/>
        <w:t>   </w:t>
      </w:r>
      <w:r>
        <w:rPr/>
        <w:t>a) La distancia en saltos</w:t>
      </w:r>
    </w:p>
    <w:p>
      <w:pPr>
        <w:pStyle w:val="BodyText"/>
        <w:rPr/>
      </w:pPr>
      <w:r>
        <w:rPr/>
        <w:t>   </w:t>
      </w:r>
      <w:r>
        <w:rPr/>
        <w:t>b) El tiempo que las cachés pueden conservar la respuesta antes de volver a preguntar</w:t>
      </w:r>
    </w:p>
    <w:p>
      <w:pPr>
        <w:pStyle w:val="BodyText"/>
        <w:rPr/>
      </w:pPr>
      <w:r>
        <w:rPr/>
        <w:t>   </w:t>
      </w:r>
      <w:r>
        <w:rPr/>
        <w:t>c) La versión de la zona</w:t>
      </w:r>
    </w:p>
    <w:p>
      <w:pPr>
        <w:pStyle w:val="BodyText"/>
        <w:rPr/>
      </w:pPr>
      <w:r>
        <w:rPr/>
        <w:t>   </w:t>
      </w:r>
      <w:r>
        <w:rPr/>
        <w:t>d) El número de servidores</w:t>
      </w:r>
    </w:p>
    <w:p>
      <w:pPr>
        <w:pStyle w:val="BodyText"/>
        <w:rPr/>
      </w:pPr>
      <w:r>
        <w:rPr>
          <w:b/>
        </w:rPr>
        <w:t>47.</w:t>
      </w:r>
      <w:r>
        <w:rPr/>
        <w:t xml:space="preserve"> Si un dominio tiene registros MX con prioridades 10 y 20:</w:t>
      </w:r>
    </w:p>
    <w:p>
      <w:pPr>
        <w:pStyle w:val="BodyText"/>
        <w:rPr/>
      </w:pPr>
      <w:r>
        <w:rPr/>
        <w:t>   </w:t>
      </w:r>
      <w:r>
        <w:rPr/>
        <w:t>a) Se usa siempre el 20</w:t>
      </w:r>
    </w:p>
    <w:p>
      <w:pPr>
        <w:pStyle w:val="BodyText"/>
        <w:rPr/>
      </w:pPr>
      <w:r>
        <w:rPr/>
        <w:t>   </w:t>
      </w:r>
      <w:r>
        <w:rPr/>
        <w:t>b) El correo se entrega al de prioridad 10 (número MENOR = mayor prioridad); el 20 es respaldo</w:t>
      </w:r>
    </w:p>
    <w:p>
      <w:pPr>
        <w:pStyle w:val="BodyText"/>
        <w:rPr/>
      </w:pPr>
      <w:r>
        <w:rPr/>
        <w:t>   </w:t>
      </w:r>
      <w:r>
        <w:rPr/>
        <w:t>c) Se reparten al 50 %</w:t>
      </w:r>
    </w:p>
    <w:p>
      <w:pPr>
        <w:pStyle w:val="BodyText"/>
        <w:rPr/>
      </w:pPr>
      <w:r>
        <w:rPr/>
        <w:t>   </w:t>
      </w:r>
      <w:r>
        <w:rPr/>
        <w:t>d) El 10 es el de respaldo</w:t>
      </w:r>
    </w:p>
    <w:p>
      <w:pPr>
        <w:pStyle w:val="BodyText"/>
        <w:rPr/>
      </w:pPr>
      <w:r>
        <w:rPr>
          <w:b/>
        </w:rPr>
        <w:t>48.</w:t>
      </w:r>
      <w:r>
        <w:rPr/>
        <w:t xml:space="preserve"> Un agente de retransmisión DHCP (relay) es necesario cuando:</w:t>
      </w:r>
    </w:p>
    <w:p>
      <w:pPr>
        <w:pStyle w:val="BodyText"/>
        <w:rPr/>
      </w:pPr>
      <w:r>
        <w:rPr/>
        <w:t>   </w:t>
      </w:r>
      <w:r>
        <w:rPr/>
        <w:t>a) Hay más de 100 equipos</w:t>
      </w:r>
    </w:p>
    <w:p>
      <w:pPr>
        <w:pStyle w:val="BodyText"/>
        <w:rPr/>
      </w:pPr>
      <w:r>
        <w:rPr/>
        <w:t>   </w:t>
      </w:r>
      <w:r>
        <w:rPr/>
        <w:t>b) El servidor DHCP está en otra subred: el relay reenvía las difusiones DORA como unicast al servidor</w:t>
      </w:r>
    </w:p>
    <w:p>
      <w:pPr>
        <w:pStyle w:val="BodyText"/>
        <w:rPr/>
      </w:pPr>
      <w:r>
        <w:rPr/>
        <w:t>   </w:t>
      </w:r>
      <w:r>
        <w:rPr/>
        <w:t>c) Se usa IPv6</w:t>
      </w:r>
    </w:p>
    <w:p>
      <w:pPr>
        <w:pStyle w:val="BodyText"/>
        <w:rPr/>
      </w:pPr>
      <w:r>
        <w:rPr/>
        <w:t>   </w:t>
      </w:r>
      <w:r>
        <w:rPr/>
        <w:t>d) El lease es corto</w:t>
      </w:r>
    </w:p>
    <w:p>
      <w:pPr>
        <w:pStyle w:val="BodyText"/>
        <w:rPr/>
      </w:pPr>
      <w:r>
        <w:rPr>
          <w:b/>
        </w:rPr>
        <w:t>49.</w:t>
      </w:r>
      <w:r>
        <w:rPr/>
        <w:t xml:space="preserve"> PAT (NAT con sobrecarga) permite que muchas IP privadas compartan una pública porque:</w:t>
      </w:r>
    </w:p>
    <w:p>
      <w:pPr>
        <w:pStyle w:val="BodyText"/>
        <w:rPr/>
      </w:pPr>
      <w:r>
        <w:rPr/>
        <w:t>   </w:t>
      </w:r>
      <w:r>
        <w:rPr/>
        <w:t>a) Divide la IP pública</w:t>
      </w:r>
    </w:p>
    <w:p>
      <w:pPr>
        <w:pStyle w:val="BodyText"/>
        <w:rPr/>
      </w:pPr>
      <w:r>
        <w:rPr/>
        <w:t>   </w:t>
      </w:r>
      <w:r>
        <w:rPr/>
        <w:t>b) Distingue cada conexión por el puerto de origen traducido</w:t>
      </w:r>
    </w:p>
    <w:p>
      <w:pPr>
        <w:pStyle w:val="BodyText"/>
        <w:rPr/>
      </w:pPr>
      <w:r>
        <w:rPr/>
        <w:t>   </w:t>
      </w:r>
      <w:r>
        <w:rPr/>
        <w:t>c) Usa IPv6</w:t>
      </w:r>
    </w:p>
    <w:p>
      <w:pPr>
        <w:pStyle w:val="BodyText"/>
        <w:rPr/>
      </w:pPr>
      <w:r>
        <w:rPr/>
        <w:t>   </w:t>
      </w:r>
      <w:r>
        <w:rPr/>
        <w:t>d) Duplica el ancho de banda</w:t>
      </w:r>
    </w:p>
    <w:p>
      <w:pPr>
        <w:pStyle w:val="BodyText"/>
        <w:rPr/>
      </w:pPr>
      <w:r>
        <w:rPr>
          <w:b/>
        </w:rPr>
        <w:t>50.</w:t>
      </w:r>
      <w:r>
        <w:rPr/>
        <w:t xml:space="preserve"> En IPv6, la función del ARP de IPv4 la cumple:</w:t>
      </w:r>
    </w:p>
    <w:p>
      <w:pPr>
        <w:pStyle w:val="BodyText"/>
        <w:rPr/>
      </w:pPr>
      <w:r>
        <w:rPr/>
        <w:t>   </w:t>
      </w:r>
      <w:r>
        <w:rPr/>
        <w:t>a) ARPv6</w:t>
      </w:r>
    </w:p>
    <w:p>
      <w:pPr>
        <w:pStyle w:val="BodyText"/>
        <w:rPr/>
      </w:pPr>
      <w:r>
        <w:rPr/>
        <w:t>   </w:t>
      </w:r>
      <w:r>
        <w:rPr/>
        <w:t>b) El protocolo de descubrimiento de vecinos (NDP), sobre ICMPv6</w:t>
      </w:r>
    </w:p>
    <w:p>
      <w:pPr>
        <w:pStyle w:val="BodyText"/>
        <w:rPr/>
      </w:pPr>
      <w:r>
        <w:rPr/>
        <w:t>   </w:t>
      </w:r>
      <w:r>
        <w:rPr/>
        <w:t>c) DHCPv6 exclusivamente</w:t>
      </w:r>
    </w:p>
    <w:p>
      <w:pPr>
        <w:pStyle w:val="BodyText"/>
        <w:rPr/>
      </w:pPr>
      <w:r>
        <w:rPr/>
        <w:t>   </w:t>
      </w:r>
      <w:r>
        <w:rPr/>
        <w:t>d) El broadcast</w:t>
      </w:r>
    </w:p>
    <w:p>
      <w:pPr>
        <w:pStyle w:val="BodyText"/>
        <w:rPr/>
      </w:pPr>
      <w:r>
        <w:rPr>
          <w:b/>
        </w:rPr>
        <w:t>51.</w:t>
      </w:r>
      <w:r>
        <w:rPr/>
        <w:t xml:space="preserve"> El protocolo Spanning Tree (802.1D) evita:</w:t>
      </w:r>
    </w:p>
    <w:p>
      <w:pPr>
        <w:pStyle w:val="BodyText"/>
        <w:rPr/>
      </w:pPr>
      <w:r>
        <w:rPr/>
        <w:t>   </w:t>
      </w:r>
      <w:r>
        <w:rPr/>
        <w:t>a) Los ataques de fuerza bruta</w:t>
      </w:r>
    </w:p>
    <w:p>
      <w:pPr>
        <w:pStyle w:val="BodyText"/>
        <w:rPr/>
      </w:pPr>
      <w:r>
        <w:rPr/>
        <w:t>   </w:t>
      </w:r>
      <w:r>
        <w:rPr/>
        <w:t>b) Los bucles de conmutación en topologías con enlaces redundantes, bloqueando puertos</w:t>
      </w:r>
    </w:p>
    <w:p>
      <w:pPr>
        <w:pStyle w:val="BodyText"/>
        <w:rPr/>
      </w:pPr>
      <w:r>
        <w:rPr/>
        <w:t>   </w:t>
      </w:r>
      <w:r>
        <w:rPr/>
        <w:t>c) El spam</w:t>
      </w:r>
    </w:p>
    <w:p>
      <w:pPr>
        <w:pStyle w:val="BodyText"/>
        <w:rPr/>
      </w:pPr>
      <w:r>
        <w:rPr/>
        <w:t>   </w:t>
      </w:r>
      <w:r>
        <w:rPr/>
        <w:t>d) Las colisiones WiFi</w:t>
      </w:r>
    </w:p>
    <w:p>
      <w:pPr>
        <w:pStyle w:val="BodyText"/>
        <w:rPr/>
      </w:pPr>
      <w:r>
        <w:rPr>
          <w:b/>
        </w:rPr>
        <w:t>52.</w:t>
      </w:r>
      <w:r>
        <w:rPr/>
        <w:t xml:space="preserve"> Un SIEM es:</w:t>
      </w:r>
    </w:p>
    <w:p>
      <w:pPr>
        <w:pStyle w:val="BodyText"/>
        <w:rPr/>
      </w:pPr>
      <w:r>
        <w:rPr/>
        <w:t>   </w:t>
      </w:r>
      <w:r>
        <w:rPr/>
        <w:t>a) Un tipo de firewall</w:t>
      </w:r>
    </w:p>
    <w:p>
      <w:pPr>
        <w:pStyle w:val="BodyText"/>
        <w:rPr/>
      </w:pPr>
      <w:r>
        <w:rPr/>
        <w:t>   </w:t>
      </w:r>
      <w:r>
        <w:rPr/>
        <w:t>b) Una plataforma que centraliza y correlaciona eventos y logs de seguridad de múltiples fuentes para detectar incidentes</w:t>
      </w:r>
    </w:p>
    <w:p>
      <w:pPr>
        <w:pStyle w:val="BodyText"/>
        <w:rPr/>
      </w:pPr>
      <w:r>
        <w:rPr/>
        <w:t>   </w:t>
      </w:r>
      <w:r>
        <w:rPr/>
        <w:t>c) Un antivirus de puesto</w:t>
      </w:r>
    </w:p>
    <w:p>
      <w:pPr>
        <w:pStyle w:val="BodyText"/>
        <w:rPr/>
      </w:pPr>
      <w:r>
        <w:rPr/>
        <w:t>   </w:t>
      </w:r>
      <w:r>
        <w:rPr/>
        <w:t>d) Una VPN</w:t>
      </w:r>
    </w:p>
    <w:p>
      <w:pPr>
        <w:pStyle w:val="BodyText"/>
        <w:rPr/>
      </w:pPr>
      <w:r>
        <w:rPr>
          <w:b/>
        </w:rPr>
        <w:t>53.</w:t>
      </w:r>
      <w:r>
        <w:rPr/>
        <w:t xml:space="preserve"> El ransomware se caracteriza por:</w:t>
      </w:r>
    </w:p>
    <w:p>
      <w:pPr>
        <w:pStyle w:val="BodyText"/>
        <w:rPr/>
      </w:pPr>
      <w:r>
        <w:rPr/>
        <w:t>   </w:t>
      </w:r>
      <w:r>
        <w:rPr/>
        <w:t>a) Robar contraseñas silenciosamente</w:t>
      </w:r>
    </w:p>
    <w:p>
      <w:pPr>
        <w:pStyle w:val="BodyText"/>
        <w:rPr/>
      </w:pPr>
      <w:r>
        <w:rPr/>
        <w:t>   </w:t>
      </w:r>
      <w:r>
        <w:rPr/>
        <w:t>b) Cifrar los datos de la víctima y exigir un rescate; la defensa clave son copias offline/inmutables y parcheo</w:t>
      </w:r>
    </w:p>
    <w:p>
      <w:pPr>
        <w:pStyle w:val="BodyText"/>
        <w:rPr/>
      </w:pPr>
      <w:r>
        <w:rPr/>
        <w:t>   </w:t>
      </w:r>
      <w:r>
        <w:rPr/>
        <w:t>c) Mostrar publicidad</w:t>
      </w:r>
    </w:p>
    <w:p>
      <w:pPr>
        <w:pStyle w:val="BodyText"/>
        <w:rPr/>
      </w:pPr>
      <w:r>
        <w:rPr/>
        <w:t>   </w:t>
      </w:r>
      <w:r>
        <w:rPr/>
        <w:t>d) Minar criptomonedas</w:t>
      </w:r>
    </w:p>
    <w:p>
      <w:pPr>
        <w:pStyle w:val="BodyText"/>
        <w:rPr/>
      </w:pPr>
      <w:r>
        <w:rPr>
          <w:b/>
        </w:rPr>
        <w:t>54.</w:t>
      </w:r>
      <w:r>
        <w:rPr/>
        <w:t xml:space="preserve"> BitLocker es:</w:t>
      </w:r>
    </w:p>
    <w:p>
      <w:pPr>
        <w:pStyle w:val="BodyText"/>
        <w:rPr/>
      </w:pPr>
      <w:r>
        <w:rPr/>
        <w:t>   </w:t>
      </w:r>
      <w:r>
        <w:rPr/>
        <w:t>a) Un gestor de contraseñas</w:t>
      </w:r>
    </w:p>
    <w:p>
      <w:pPr>
        <w:pStyle w:val="BodyText"/>
        <w:rPr/>
      </w:pPr>
      <w:r>
        <w:rPr/>
        <w:t>   </w:t>
      </w:r>
      <w:r>
        <w:rPr/>
        <w:t>b) El cifrado de volumen completo de Windows, que puede apoyarse en el chip TPM</w:t>
      </w:r>
    </w:p>
    <w:p>
      <w:pPr>
        <w:pStyle w:val="BodyText"/>
        <w:rPr/>
      </w:pPr>
      <w:r>
        <w:rPr/>
        <w:t>   </w:t>
      </w:r>
      <w:r>
        <w:rPr/>
        <w:t>c) Un firewall</w:t>
      </w:r>
    </w:p>
    <w:p>
      <w:pPr>
        <w:pStyle w:val="BodyText"/>
        <w:rPr/>
      </w:pPr>
      <w:r>
        <w:rPr/>
        <w:t>   </w:t>
      </w:r>
      <w:r>
        <w:rPr/>
        <w:t>d) Un backup en la nube</w:t>
      </w:r>
    </w:p>
    <w:p>
      <w:pPr>
        <w:pStyle w:val="BodyText"/>
        <w:rPr/>
      </w:pPr>
      <w:r>
        <w:rPr>
          <w:b/>
        </w:rPr>
        <w:t>55.</w:t>
      </w:r>
      <w:r>
        <w:rPr/>
        <w:t xml:space="preserve"> SLAAC en IPv6 permite a un host:</w:t>
      </w:r>
    </w:p>
    <w:p>
      <w:pPr>
        <w:pStyle w:val="BodyText"/>
        <w:rPr/>
      </w:pPr>
      <w:r>
        <w:rPr/>
        <w:t>   </w:t>
      </w:r>
      <w:r>
        <w:rPr/>
        <w:t>a) Pedir la IP a un servidor DHCP obligatoriamente</w:t>
      </w:r>
    </w:p>
    <w:p>
      <w:pPr>
        <w:pStyle w:val="BodyText"/>
        <w:rPr/>
      </w:pPr>
      <w:r>
        <w:rPr/>
        <w:t>   </w:t>
      </w:r>
      <w:r>
        <w:rPr/>
        <w:t>b) Autoconfigurarse una dirección a partir del prefijo anunciado por el router (RA), sin servidor</w:t>
      </w:r>
    </w:p>
    <w:p>
      <w:pPr>
        <w:pStyle w:val="BodyText"/>
        <w:rPr/>
      </w:pPr>
      <w:r>
        <w:rPr/>
        <w:t>   </w:t>
      </w:r>
      <w:r>
        <w:rPr/>
        <w:t>c) Traducir direcciones</w:t>
      </w:r>
    </w:p>
    <w:p>
      <w:pPr>
        <w:pStyle w:val="BodyText"/>
        <w:rPr/>
      </w:pPr>
      <w:r>
        <w:rPr/>
        <w:t>   </w:t>
      </w:r>
      <w:r>
        <w:rPr/>
        <w:t>d) Cifrar el tráfico</w:t>
      </w:r>
    </w:p>
    <w:p>
      <w:pPr>
        <w:pStyle w:val="BodyText"/>
        <w:rPr/>
      </w:pPr>
      <w:r>
        <w:rPr>
          <w:b/>
        </w:rPr>
        <w:t>56.</w:t>
      </w:r>
      <w:r>
        <w:rPr/>
        <w:t xml:space="preserve"> El puerto UDP 514 corresponde por defecto a:</w:t>
      </w:r>
    </w:p>
    <w:p>
      <w:pPr>
        <w:pStyle w:val="BodyText"/>
        <w:rPr/>
      </w:pPr>
      <w:r>
        <w:rPr/>
        <w:t>   </w:t>
      </w:r>
      <w:r>
        <w:rPr/>
        <w:t>a) SNMP</w:t>
      </w:r>
    </w:p>
    <w:p>
      <w:pPr>
        <w:pStyle w:val="BodyText"/>
        <w:rPr/>
      </w:pPr>
      <w:r>
        <w:rPr/>
        <w:t>   </w:t>
      </w:r>
      <w:r>
        <w:rPr/>
        <w:t>b) syslog</w:t>
      </w:r>
    </w:p>
    <w:p>
      <w:pPr>
        <w:pStyle w:val="BodyText"/>
        <w:rPr/>
      </w:pPr>
      <w:r>
        <w:rPr/>
        <w:t>   </w:t>
      </w:r>
      <w:r>
        <w:rPr/>
        <w:t>c) NTP</w:t>
      </w:r>
    </w:p>
    <w:p>
      <w:pPr>
        <w:pStyle w:val="BodyText"/>
        <w:rPr/>
      </w:pPr>
      <w:r>
        <w:rPr/>
        <w:t>   </w:t>
      </w:r>
      <w:r>
        <w:rPr/>
        <w:t>d) RADIUS</w:t>
      </w:r>
    </w:p>
    <w:p>
      <w:pPr>
        <w:pStyle w:val="BodyText"/>
        <w:rPr/>
      </w:pPr>
      <w:r>
        <w:rPr>
          <w:b/>
        </w:rPr>
        <w:t>57.</w:t>
      </w:r>
      <w:r>
        <w:rPr/>
        <w:t xml:space="preserve"> En 802.1X, los tres roles son:</w:t>
      </w:r>
    </w:p>
    <w:p>
      <w:pPr>
        <w:pStyle w:val="BodyText"/>
        <w:rPr/>
      </w:pPr>
      <w:r>
        <w:rPr/>
        <w:t>   </w:t>
      </w:r>
      <w:r>
        <w:rPr/>
        <w:t>a) Cliente, servidor y proxy</w:t>
      </w:r>
    </w:p>
    <w:p>
      <w:pPr>
        <w:pStyle w:val="BodyText"/>
        <w:rPr/>
      </w:pPr>
      <w:r>
        <w:rPr/>
        <w:t>   </w:t>
      </w:r>
      <w:r>
        <w:rPr/>
        <w:t>b) Suplicante (equipo), autenticador (switch/AP) y servidor de autenticación (RADIUS)</w:t>
      </w:r>
    </w:p>
    <w:p>
      <w:pPr>
        <w:pStyle w:val="BodyText"/>
        <w:rPr/>
      </w:pPr>
      <w:r>
        <w:rPr/>
        <w:t>   </w:t>
      </w:r>
      <w:r>
        <w:rPr/>
        <w:t>c) Emisor, receptor y router</w:t>
      </w:r>
    </w:p>
    <w:p>
      <w:pPr>
        <w:pStyle w:val="BodyText"/>
        <w:rPr/>
      </w:pPr>
      <w:r>
        <w:rPr/>
        <w:t>   </w:t>
      </w:r>
      <w:r>
        <w:rPr/>
        <w:t>d) Usuario, grupo y dominio</w:t>
      </w:r>
    </w:p>
    <w:p>
      <w:pPr>
        <w:pStyle w:val="BodyText"/>
        <w:rPr/>
      </w:pPr>
      <w:r>
        <w:rPr>
          <w:b/>
        </w:rPr>
        <w:t>58.</w:t>
      </w:r>
      <w:r>
        <w:rPr/>
        <w:t xml:space="preserve"> Un certificado autofirmado en un servidor web público provoca:</w:t>
      </w:r>
    </w:p>
    <w:p>
      <w:pPr>
        <w:pStyle w:val="BodyText"/>
        <w:rPr/>
      </w:pPr>
      <w:r>
        <w:rPr/>
        <w:t>   </w:t>
      </w:r>
      <w:r>
        <w:rPr/>
        <w:t>a) Mayor velocidad</w:t>
      </w:r>
    </w:p>
    <w:p>
      <w:pPr>
        <w:pStyle w:val="BodyText"/>
        <w:rPr/>
      </w:pPr>
      <w:r>
        <w:rPr/>
        <w:t>   </w:t>
      </w:r>
      <w:r>
        <w:rPr/>
        <w:t>b) Advertencias del navegador: ninguna CA de confianza avala la identidad del servidor (el canal se cifra, la identidad no se garantiza)</w:t>
      </w:r>
    </w:p>
    <w:p>
      <w:pPr>
        <w:pStyle w:val="BodyText"/>
        <w:rPr/>
      </w:pPr>
      <w:r>
        <w:rPr/>
        <w:t>   </w:t>
      </w:r>
      <w:r>
        <w:rPr/>
        <w:t>c) Error de DNS</w:t>
      </w:r>
    </w:p>
    <w:p>
      <w:pPr>
        <w:pStyle w:val="BodyText"/>
        <w:rPr/>
      </w:pPr>
      <w:r>
        <w:rPr/>
        <w:t>   </w:t>
      </w:r>
      <w:r>
        <w:rPr/>
        <w:t>d) Nada, es equivalente a uno de CA</w:t>
      </w:r>
    </w:p>
    <w:p>
      <w:pPr>
        <w:pStyle w:val="BodyText"/>
        <w:rPr/>
      </w:pPr>
      <w:r>
        <w:rPr>
          <w:b/>
        </w:rPr>
        <w:t>59.</w:t>
      </w:r>
      <w:r>
        <w:rPr/>
        <w:t xml:space="preserve"> La dirección 169.254.10.20 en un equipo indica normalmente:</w:t>
      </w:r>
    </w:p>
    <w:p>
      <w:pPr>
        <w:pStyle w:val="BodyText"/>
        <w:rPr/>
      </w:pPr>
      <w:r>
        <w:rPr/>
        <w:t>   </w:t>
      </w:r>
      <w:r>
        <w:rPr/>
        <w:t>a) Configuración correcta</w:t>
      </w:r>
    </w:p>
    <w:p>
      <w:pPr>
        <w:pStyle w:val="BodyText"/>
        <w:rPr/>
      </w:pPr>
      <w:r>
        <w:rPr/>
        <w:t>   </w:t>
      </w:r>
      <w:r>
        <w:rPr/>
        <w:t>b) Que no obtuvo respuesta del DHCP y se autoasignó una dirección APIPA/link-local</w:t>
      </w:r>
    </w:p>
    <w:p>
      <w:pPr>
        <w:pStyle w:val="BodyText"/>
        <w:rPr/>
      </w:pPr>
      <w:r>
        <w:rPr/>
        <w:t>   </w:t>
      </w:r>
      <w:r>
        <w:rPr/>
        <w:t>c) Una IP pública</w:t>
      </w:r>
    </w:p>
    <w:p>
      <w:pPr>
        <w:pStyle w:val="BodyText"/>
        <w:rPr/>
      </w:pPr>
      <w:r>
        <w:rPr/>
        <w:t>   </w:t>
      </w:r>
      <w:r>
        <w:rPr/>
        <w:t>d) Un servidor DNS</w:t>
      </w:r>
    </w:p>
    <w:p>
      <w:pPr>
        <w:pStyle w:val="BodyText"/>
        <w:rPr/>
      </w:pPr>
      <w:r>
        <w:rPr>
          <w:b/>
        </w:rPr>
        <w:t>60.</w:t>
      </w:r>
      <w:r>
        <w:rPr/>
        <w:t xml:space="preserve"> El comando ipconfig /all (Windows) o ip a (Linux) sirve para:</w:t>
      </w:r>
    </w:p>
    <w:p>
      <w:pPr>
        <w:pStyle w:val="BodyText"/>
        <w:rPr/>
      </w:pPr>
      <w:r>
        <w:rPr/>
        <w:t>   </w:t>
      </w:r>
      <w:r>
        <w:rPr/>
        <w:t>a) Reiniciar la red</w:t>
      </w:r>
    </w:p>
    <w:p>
      <w:pPr>
        <w:pStyle w:val="BodyText"/>
        <w:rPr/>
      </w:pPr>
      <w:r>
        <w:rPr/>
        <w:t>   </w:t>
      </w:r>
      <w:r>
        <w:rPr/>
        <w:t>b) Ver la configuración de red completa del equipo: IP, máscara, puerta de enlace, DNS, MAC</w:t>
      </w:r>
    </w:p>
    <w:p>
      <w:pPr>
        <w:pStyle w:val="BodyText"/>
        <w:rPr/>
      </w:pPr>
      <w:r>
        <w:rPr/>
        <w:t>   </w:t>
      </w:r>
      <w:r>
        <w:rPr/>
        <w:t>c) Escanear puertos</w:t>
      </w:r>
    </w:p>
    <w:p>
      <w:pPr>
        <w:pStyle w:val="BodyText"/>
        <w:rPr/>
      </w:pPr>
      <w:r>
        <w:rPr/>
        <w:t>   </w:t>
      </w:r>
      <w:r>
        <w:rPr/>
        <w:t>d) Editar el firewall</w:t>
      </w:r>
    </w:p>
    <w:p>
      <w:pPr>
        <w:pStyle w:val="Heading2"/>
        <w:rPr/>
      </w:pPr>
      <w:bookmarkStart w:id="1" w:name="soluciones-razonadas"/>
      <w:r>
        <w:rPr/>
        <w:t>Soluciones razonadas</w:t>
      </w:r>
      <w:bookmarkEnd w:id="1"/>
    </w:p>
    <w:p>
      <w:pPr>
        <w:pStyle w:val="FirstParagraph"/>
        <w:rPr/>
      </w:pPr>
      <w:r>
        <w:rPr>
          <w:b/>
        </w:rPr>
        <w:t>1. b) Garantizar la soberanía e independencia de España, defender su integridad territorial y el ordenamiento constitucional.</w:t>
      </w:r>
      <w:r>
        <w:rPr/>
        <w:t xml:space="preserve"> Redacción literal del 8.1; el orden público y la seguridad ciudadana corresponden a las Fuerzas y Cuerpos de Seguridad (art. 104).</w:t>
      </w:r>
    </w:p>
    <w:p>
      <w:pPr>
        <w:pStyle w:val="BodyText"/>
        <w:rPr/>
      </w:pPr>
      <w:r>
        <w:rPr>
          <w:b/>
        </w:rPr>
        <w:t>2. b) El art. 149.1 CE.</w:t>
      </w:r>
      <w:r>
        <w:rPr/>
        <w:t xml:space="preserve"> El 148 lista las asumibles por las CCAA y el 149.1 las estatales (defensa, relaciones internacionales, telecomunicaciones…); el 149.3 contiene las cláusulas residual y de supletoriedad.</w:t>
      </w:r>
    </w:p>
    <w:p>
      <w:pPr>
        <w:pStyle w:val="BodyText"/>
        <w:rPr/>
      </w:pPr>
      <w:r>
        <w:rPr>
          <w:b/>
        </w:rPr>
        <w:t>3. b) Jueces y magistrados integrantes del poder judicial, independientes, inamovibles, responsables y sometidos únicamente al imperio de la ley.</w:t>
      </w:r>
      <w:r>
        <w:rPr/>
        <w:t xml:space="preserve"> Art. 117.1, de cita literal; el CGPJ es el órgano de GOBIERNO de los jueces, no juzga.</w:t>
      </w:r>
    </w:p>
    <w:p>
      <w:pPr>
        <w:pStyle w:val="BodyText"/>
        <w:rPr/>
      </w:pPr>
      <w:r>
        <w:rPr>
          <w:b/>
        </w:rPr>
        <w:t>4. b) Potestativo, ante el mismo órgano que dictó el acto, en el plazo de 1 mes (acto expreso).</w:t>
      </w:r>
      <w:r>
        <w:rPr/>
        <w:t xml:space="preserve"> Reposición: potestativo, mismo órgano, 1 mes; ALZADA: contra actos que NO agotan la vía, ante el superior, 1 mes — pareja clásica de examen.</w:t>
      </w:r>
    </w:p>
    <w:p>
      <w:pPr>
        <w:pStyle w:val="BodyText"/>
        <w:rPr/>
      </w:pPr>
      <w:r>
        <w:rPr>
          <w:b/>
        </w:rPr>
        <w:t>5. b) 3 meses.</w:t>
      </w:r>
      <w:r>
        <w:rPr/>
        <w:t xml:space="preserve"> Art. 21.3 Ley 39/2015: 3 meses por defecto; la norma reguladora puede fijar otro sin exceder 6 meses salvo norma con rango de ley o Derecho de la UE.</w:t>
      </w:r>
    </w:p>
    <w:p>
      <w:pPr>
        <w:pStyle w:val="BodyText"/>
        <w:rPr/>
      </w:pPr>
      <w:r>
        <w:rPr>
          <w:b/>
        </w:rPr>
        <w:t>6. b) Positivo (estimatorio), con las excepciones legales.</w:t>
      </w:r>
      <w:r>
        <w:rPr/>
        <w:t xml:space="preserve"> Art. 24 Ley 39/2015: silencio positivo como regla en procedimientos a solicitud del interesado; negativo en las excepciones (derecho de petición, transferencia de facultades de dominio público, transparencia…).</w:t>
      </w:r>
    </w:p>
    <w:p>
      <w:pPr>
        <w:pStyle w:val="BodyText"/>
        <w:rPr/>
      </w:pPr>
      <w:r>
        <w:rPr>
          <w:b/>
        </w:rPr>
        <w:t>7. a) Ministros y Secretarios de Estado.</w:t>
      </w:r>
      <w:r>
        <w:rPr/>
        <w:t xml:space="preserve"> Ley 40/2015 art. 55: superiores = ministros y secretarios de Estado; DIRECTIVOS = subsecretarios, secretarios generales, secretarios generales técnicos, directores y subdirectores generales.</w:t>
      </w:r>
    </w:p>
    <w:p>
      <w:pPr>
        <w:pStyle w:val="BodyText"/>
        <w:rPr/>
      </w:pPr>
      <w:r>
        <w:rPr>
          <w:b/>
        </w:rPr>
        <w:t>8. b) De la Presidencia del Gobierno, dirigiendo la Administración del Estado en el territorio.</w:t>
      </w:r>
      <w:r>
        <w:rPr/>
        <w:t xml:space="preserve"> Art. 154 CE: dirigen la Administración del Estado en la CCAA y la coordinan con la autonómica; tienen rango de subsecretario.</w:t>
      </w:r>
    </w:p>
    <w:p>
      <w:pPr>
        <w:pStyle w:val="BodyText"/>
        <w:rPr/>
      </w:pPr>
      <w:r>
        <w:rPr>
          <w:b/>
        </w:rPr>
        <w:t>9. b) Los dos primeros años (luego, reserva de puesto en la misma localidad y retribución).</w:t>
      </w:r>
      <w:r>
        <w:rPr/>
        <w:t xml:space="preserve"> Art. 89.4 TREBEP: hasta 3 años de excedencia por cuidado de hijo/familiar; los 2 primeros con reserva del MISMO puesto; el periodo computa a efectos de trienios y carrera.</w:t>
      </w:r>
    </w:p>
    <w:p>
      <w:pPr>
        <w:pStyle w:val="BodyText"/>
        <w:rPr/>
      </w:pPr>
      <w:r>
        <w:rPr>
          <w:b/>
        </w:rPr>
        <w:t>10. b) 65 años, con posibilidad de prolongación voluntaria hasta como máximo los 70.</w:t>
      </w:r>
      <w:r>
        <w:rPr/>
        <w:t xml:space="preserve"> Art. 67.3 TREBEP: forzosa a los 65 con prórroga voluntaria hasta los 70 (cuerpos docentes universitarios y otros tienen regímenes propios).</w:t>
      </w:r>
    </w:p>
    <w:p>
      <w:pPr>
        <w:pStyle w:val="BodyText"/>
        <w:rPr/>
      </w:pPr>
      <w:r>
        <w:rPr>
          <w:b/>
        </w:rPr>
        <w:t>11. b) Documenta los tratamientos del responsable/encargado; en las AAPP debe hacerse público por medios electrónicos (art. 31 LOPDGDD).</w:t>
      </w:r>
      <w:r>
        <w:rPr/>
        <w:t xml:space="preserve"> Las AAPP publican su inventario de actividades de tratamiento; es distinto de la EIPD (evaluación de riesgos previa) — matiz de examen.</w:t>
      </w:r>
    </w:p>
    <w:p>
      <w:pPr>
        <w:pStyle w:val="BodyText"/>
        <w:rPr/>
      </w:pPr>
      <w:r>
        <w:rPr>
          <w:b/>
        </w:rPr>
        <w:t>12. b) Quien trata datos personales por cuenta del responsable, en virtud de un contrato con contenidos mínimos (art. 28 RGPD).</w:t>
      </w:r>
      <w:r>
        <w:rPr/>
        <w:t xml:space="preserve"> Ejemplo típico: la empresa que aloja o desarrolla el sistema para un ministerio; el contrato del 28.3 es exigencia habitual en preguntas.</w:t>
      </w:r>
    </w:p>
    <w:p>
      <w:pPr>
        <w:pStyle w:val="BodyText"/>
        <w:rPr/>
      </w:pPr>
      <w:r>
        <w:rPr>
          <w:b/>
        </w:rPr>
        <w:t>13. b) Recibir los datos en formato estructurado, de uso común y lectura mecánica, y transmitirlos a otro responsable.</w:t>
      </w:r>
      <w:r>
        <w:rPr/>
        <w:t xml:space="preserve"> Aplica a tratamientos automatizados basados en consentimiento o contrato; en las AAPP (base: interés público) suele NO aplicar — trampa fina.</w:t>
      </w:r>
    </w:p>
    <w:p>
      <w:pPr>
        <w:pStyle w:val="BodyText"/>
        <w:rPr/>
      </w:pPr>
      <w:r>
        <w:rPr>
          <w:b/>
        </w:rPr>
        <w:t>14. b) Ser prestado por un prestador cualificado supervisado y cumplir los requisitos del Reglamento (listas de confianza).</w:t>
      </w:r>
      <w:r>
        <w:rPr/>
        <w:t xml:space="preserve"> Los prestadores cualificados figuran en listas de confianza nacionales (en España, supervisa el Ministerio de Asuntos Económicos/Transformación Digital); solo ellos emiten certificados cualificados.</w:t>
      </w:r>
    </w:p>
    <w:p>
      <w:pPr>
        <w:pStyle w:val="BodyText"/>
        <w:rPr/>
      </w:pPr>
      <w:r>
        <w:rPr>
          <w:b/>
        </w:rPr>
        <w:t>15. b) Consultar sus expedientes abiertos, notificaciones pendientes y datos en poder de las AAPP desde un punto único.</w:t>
      </w:r>
      <w:r>
        <w:rPr/>
        <w:t xml:space="preserve"> Integrada en el Punto de Acceso General (administracion.gob.es); es servicio de consulta, no de tramitación completa.</w:t>
      </w:r>
    </w:p>
    <w:p>
      <w:pPr>
        <w:pStyle w:val="BodyText"/>
        <w:rPr/>
      </w:pPr>
      <w:r>
        <w:rPr>
          <w:b/>
        </w:rPr>
        <w:t>16. b) El ciudadano no debe aportar los mismos datos/documentos que ya obran en poder de las AAPP (se materializa vía PID).</w:t>
      </w:r>
      <w:r>
        <w:rPr/>
        <w:t xml:space="preserve"> Principio europeo (Reglamento SDG/pasarela digital única) implementado en el art. 28 de la Ley 39/2015 y la Plataforma de Intermediación.</w:t>
      </w:r>
    </w:p>
    <w:p>
      <w:pPr>
        <w:pStyle w:val="BodyText"/>
        <w:rPr/>
      </w:pPr>
      <w:r>
        <w:rPr>
          <w:b/>
        </w:rPr>
        <w:t>17. b) A petición del Gobierno, de la Diputación Permanente o de la mayoría absoluta de los miembros de la Cámara, con orden del día determinado.</w:t>
      </w:r>
      <w:r>
        <w:rPr/>
        <w:t xml:space="preserve"> Art. 73.2 CE; se clausuran agotado el orden del día — los tres legitimados son la pregunta.</w:t>
      </w:r>
    </w:p>
    <w:p>
      <w:pPr>
        <w:pStyle w:val="BodyText"/>
        <w:rPr/>
      </w:pPr>
      <w:r>
        <w:rPr>
          <w:b/>
        </w:rPr>
        <w:t>18. b) Corresponde al Gobierno su elaboración y presentación al Congreso al menos 3 meses antes de expirar los del año anterior.</w:t>
      </w:r>
      <w:r>
        <w:rPr/>
        <w:t xml:space="preserve"> Art. 134 CE: elaboración exclusiva del Gobierno; toda enmienda que suponga aumento de crédito o disminución de ingresos requiere conformidad del Gobierno.</w:t>
      </w:r>
    </w:p>
    <w:p>
      <w:pPr>
        <w:pStyle w:val="BodyText"/>
        <w:rPr/>
      </w:pPr>
      <w:r>
        <w:rPr>
          <w:b/>
        </w:rPr>
        <w:t>19. b) A la jurisdicción contencioso-administrativa (los tribunales ordinarios).</w:t>
      </w:r>
      <w:r>
        <w:rPr/>
        <w:t xml:space="preserve"> El TC controla normas con rango de LEY; los reglamentos los controlan los tribunales ordinarios — confusión muy explotada.</w:t>
      </w:r>
    </w:p>
    <w:p>
      <w:pPr>
        <w:pStyle w:val="BodyText"/>
        <w:rPr/>
      </w:pPr>
      <w:r>
        <w:rPr>
          <w:b/>
        </w:rPr>
        <w:t>20. b) Un órgano de cooperación multilateral entre el Estado y las CCAA en un sector concreto de actividad (Ley 40/2015).</w:t>
      </w:r>
      <w:r>
        <w:rPr/>
        <w:t xml:space="preserve"> Técnicas de cooperación de la Ley 40/2015: Conferencia de Presidentes, Conferencias Sectoriales, comisiones bilaterales, convenios.</w:t>
      </w:r>
    </w:p>
    <w:p>
      <w:pPr>
        <w:pStyle w:val="BodyText"/>
        <w:rPr/>
      </w:pPr>
      <w:r>
        <w:rPr>
          <w:b/>
        </w:rPr>
        <w:t>21. a) 0.</w:t>
      </w:r>
      <w:r>
        <w:rPr/>
        <w:t xml:space="preserve"> La palabra tiene 4 unos (número par), así que con paridad PAR el bit añadido es 0 (el total de unos debe quedar par). Con paridad IMPAR sería 1. La paridad solo DETECTA errores de un bit; el código Hamming además los corrige.</w:t>
      </w:r>
    </w:p>
    <w:p>
      <w:pPr>
        <w:pStyle w:val="BodyText"/>
        <w:rPr/>
      </w:pPr>
      <w:r>
        <w:rPr>
          <w:b/>
        </w:rPr>
        <w:t>22. b) 78 56 34 12.</w:t>
      </w:r>
      <w:r>
        <w:rPr/>
        <w:t xml:space="preserve"> Little-endian (x86): el byte MENOS significativo primero. Big-endian (orden de red): 12 34 56 78.</w:t>
      </w:r>
    </w:p>
    <w:p>
      <w:pPr>
        <w:pStyle w:val="BodyText"/>
        <w:rPr/>
      </w:pPr>
      <w:r>
        <w:rPr>
          <w:b/>
        </w:rPr>
        <w:t>23. b) El dispositivo avisa a la CPU cuando necesita atención, liberándola de esperas activas.</w:t>
      </w:r>
      <w:r>
        <w:rPr/>
        <w:t xml:space="preserve"> El polling desperdicia CPU en esperas activas; DMA va más allá: transfiere bloques a memoria sin intervención de la CPU.</w:t>
      </w:r>
    </w:p>
    <w:p>
      <w:pPr>
        <w:pStyle w:val="BodyText"/>
        <w:rPr/>
      </w:pPr>
      <w:r>
        <w:rPr>
          <w:b/>
        </w:rPr>
        <w:t>24. b) Los metadatos (permisos, propietario, fechas, punteros a bloques), pero NO el nombre.</w:t>
      </w:r>
      <w:r>
        <w:rPr/>
        <w:t xml:space="preserve"> El nombre vive en el directorio (que asocia nombre→inodo); por eso existen los enlaces duros: varios nombres para el mismo inodo.</w:t>
      </w:r>
    </w:p>
    <w:p>
      <w:pPr>
        <w:pStyle w:val="BodyText"/>
        <w:rPr/>
      </w:pPr>
      <w:r>
        <w:rPr>
          <w:b/>
        </w:rPr>
        <w:t>25. b) Las colas de impresión: los trabajos se almacenan en disco y se envían al dispositivo lento de forma diferida.</w:t>
      </w:r>
      <w:r>
        <w:rPr/>
        <w:t xml:space="preserve"> Simultaneous Peripheral Operations On-Line: desacopla la velocidad del proceso de la del periférico.</w:t>
      </w:r>
    </w:p>
    <w:p>
      <w:pPr>
        <w:pStyle w:val="BodyText"/>
        <w:rPr/>
      </w:pPr>
      <w:r>
        <w:rPr>
          <w:b/>
        </w:rPr>
        <w:t>26. b) Exclusión mutua sobre una sección crítica (mutex).</w:t>
      </w:r>
      <w:r>
        <w:rPr/>
        <w:t xml:space="preserve"> Semáforo binario = mutex; inicializado a N, limita a N los procesos concurrentes (semáforo contador).</w:t>
      </w:r>
    </w:p>
    <w:p>
      <w:pPr>
        <w:pStyle w:val="BodyText"/>
        <w:rPr/>
      </w:pPr>
      <w:r>
        <w:rPr>
          <w:b/>
        </w:rPr>
        <w:t>27. b) SDRAM síncrona de doble tasa de transferencia (DDR4/DDR5).</w:t>
      </w:r>
      <w:r>
        <w:rPr/>
        <w:t xml:space="preserve"> Double Data Rate: transfiere en ambos flancos del reloj; cada generación duplica ancho de banda y baja voltaje.</w:t>
      </w:r>
    </w:p>
    <w:p>
      <w:pPr>
        <w:pStyle w:val="BodyText"/>
        <w:rPr/>
      </w:pPr>
      <w:r>
        <w:rPr>
          <w:b/>
        </w:rPr>
        <w:t>28. b) 100 W (240 W en la revisión extendida EPR).</w:t>
      </w:r>
      <w:r>
        <w:rPr/>
        <w:t xml:space="preserve"> PD 3.0 llega a 100 W (20 V/5 A) y PD 3.1 EPR a 240 W — por eso carga portátiles.</w:t>
      </w:r>
    </w:p>
    <w:p>
      <w:pPr>
        <w:pStyle w:val="BodyText"/>
        <w:rPr/>
      </w:pPr>
      <w:r>
        <w:rPr>
          <w:b/>
        </w:rPr>
        <w:t>29. b) Un mecanismo para recorrer fila a fila el resultado de una consulta dentro de código procedimental.</w:t>
      </w:r>
      <w:r>
        <w:rPr/>
        <w:t xml:space="preserve"> Se usan en procedimientos almacenados (DECLARE, OPEN, FETCH, CLOSE); procesar por conjuntos suele ser preferible por rendimiento.</w:t>
      </w:r>
    </w:p>
    <w:p>
      <w:pPr>
        <w:pStyle w:val="BodyText"/>
        <w:rPr/>
      </w:pPr>
      <w:r>
        <w:rPr>
          <w:b/>
        </w:rPr>
        <w:t>30. b) SERIALIZABLE.</w:t>
      </w:r>
      <w:r>
        <w:rPr/>
        <w:t xml:space="preserve"> Escalera: READ UNCOMMITTED (todo permitido) → READ COMMITTED (evita sucias) → REPEATABLE READ (evita no repetibles) → SERIALIZABLE (evita fantasmas).</w:t>
      </w:r>
    </w:p>
    <w:p>
      <w:pPr>
        <w:pStyle w:val="BodyText"/>
        <w:rPr/>
      </w:pPr>
      <w:r>
        <w:rPr>
          <w:b/>
        </w:rPr>
        <w:t>31. b) Un esquema XSD (o una DTD).</w:t>
      </w:r>
      <w:r>
        <w:rPr/>
        <w:t xml:space="preserve"> XSD define elementos, tipos y cardinalidades; XSLT transforma y XPath consulta — el trío XML completo.</w:t>
      </w:r>
    </w:p>
    <w:p>
      <w:pPr>
        <w:pStyle w:val="BodyText"/>
        <w:rPr/>
      </w:pPr>
      <w:r>
        <w:rPr>
          <w:b/>
        </w:rPr>
        <w:t>32. b) El segundo elemento pedido hijo de pedidos (XPath indexa desde 1).</w:t>
      </w:r>
      <w:r>
        <w:rPr/>
        <w:t xml:space="preserve"> XPath empieza a contar en 1, no en 0 — trampa favorita para programadores.</w:t>
      </w:r>
    </w:p>
    <w:p>
      <w:pPr>
        <w:pStyle w:val="BodyText"/>
        <w:rPr/>
      </w:pPr>
      <w:r>
        <w:rPr>
          <w:b/>
        </w:rPr>
        <w:t>33. b) Las operaciones, mensajes, tipos y puntos de acceso del servicio web (el contrato).</w:t>
      </w:r>
      <w:r>
        <w:rPr/>
        <w:t xml:space="preserve"> WSDL es XML; a partir de él se generan clientes automáticamente. Su análogo REST (no obligatorio) es OpenAPI/Swagger.</w:t>
      </w:r>
    </w:p>
    <w:p>
      <w:pPr>
        <w:pStyle w:val="BodyText"/>
        <w:rPr/>
      </w:pPr>
      <w:r>
        <w:rPr>
          <w:b/>
        </w:rPr>
        <w:t>34. b) Se eliminan al cerrar el navegador (no llevan fecha de expiración).</w:t>
      </w:r>
      <w:r>
        <w:rPr/>
        <w:t xml:space="preserve"> Atributos de seguridad que caen: Secure (solo HTTPS), HttpOnly (inaccesible a JavaScript: mitiga XSS), SameSite (mitiga CSRF).</w:t>
      </w:r>
    </w:p>
    <w:p>
      <w:pPr>
        <w:pStyle w:val="BodyText"/>
        <w:rPr/>
      </w:pPr>
      <w:r>
        <w:rPr>
          <w:b/>
        </w:rPr>
        <w:t>35. b) Cabecera, payload (claims) y firma, codificados en Base64URL y separados por puntos.</w:t>
      </w:r>
      <w:r>
        <w:rPr/>
        <w:t xml:space="preserve"> La firma garantiza integridad (el payload NO va cifrado, solo codificado: no metas secretos). Se envía en Authorization: Bearer.</w:t>
      </w:r>
    </w:p>
    <w:p>
      <w:pPr>
        <w:pStyle w:val="BodyText"/>
        <w:rPr/>
      </w:pPr>
      <w:r>
        <w:rPr>
          <w:b/>
        </w:rPr>
        <w:t>36. b) super(args).</w:t>
      </w:r>
      <w:r>
        <w:rPr/>
        <w:t xml:space="preserve"> super() debe ser la primera instrucción; si no la escribes, el compilador inserta super() sin argumentos (y falla si el padre no tiene constructor vacío). base() es C#.</w:t>
      </w:r>
    </w:p>
    <w:p>
      <w:pPr>
        <w:pStyle w:val="BodyText"/>
        <w:rPr/>
      </w:pPr>
      <w:r>
        <w:rPr>
          <w:b/>
        </w:rPr>
        <w:t>37. b) Node.js/JavaScript (fichero package.json).</w:t>
      </w:r>
      <w:r>
        <w:rPr/>
        <w:t xml:space="preserve"> Analogías: pip/Python, Maven-Gradle/Java, NuGet/.NET, Composer/PHP — familia completa preguntable.</w:t>
      </w:r>
    </w:p>
    <w:p>
      <w:pPr>
        <w:pStyle w:val="BodyText"/>
        <w:rPr/>
      </w:pPr>
      <w:r>
        <w:rPr>
          <w:b/>
        </w:rPr>
        <w:t>38. b) Limitar el trabajo en curso simultáneo en cada columna para detectar cuellos de botella y mejorar el flujo.</w:t>
      </w:r>
      <w:r>
        <w:rPr/>
        <w:t xml:space="preserve"> Kanban no tiene sprints ni roles obligatorios (a diferencia de Scrum): flujo continuo visualizado en tablero.</w:t>
      </w:r>
    </w:p>
    <w:p>
      <w:pPr>
        <w:pStyle w:val="BodyText"/>
        <w:rPr/>
      </w:pPr>
      <w:r>
        <w:rPr>
          <w:b/>
        </w:rPr>
        <w:t>39. b) La metodología de planificación y desarrollo de sistemas de información promovida por la Administración española.</w:t>
      </w:r>
      <w:r>
        <w:rPr/>
        <w:t xml:space="preserve"> Clásica de las AAPP (procesos PSI, EVS, ASI, DSI, CSI, IAS + interfaces como la de seguridad); convive hoy con las metodologías ágiles.</w:t>
      </w:r>
    </w:p>
    <w:p>
      <w:pPr>
        <w:pStyle w:val="BodyText"/>
        <w:rPr/>
      </w:pPr>
      <w:r>
        <w:rPr>
          <w:b/>
        </w:rPr>
        <w:t>40. b) El conocimiento de la estructura interna del código (cobertura de sentencias, ramas, caminos).</w:t>
      </w:r>
      <w:r>
        <w:rPr/>
        <w:t xml:space="preserve"> Caja negra: especificación (particiones de equivalencia, valores límite). La cobertura de código es la métrica de caja blanca.</w:t>
      </w:r>
    </w:p>
    <w:p>
      <w:pPr>
        <w:pStyle w:val="BodyText"/>
        <w:rPr/>
      </w:pPr>
      <w:r>
        <w:rPr>
          <w:b/>
        </w:rPr>
        <w:t>41. b) Documentación HTML de la API a partir de comentarios /</w:t>
      </w:r>
      <w:r>
        <w:rPr/>
        <w:t xml:space="preserve"> */ del código fuente.** Etiquetas @param, @return, @throws; su análogo .NET es la documentación XML (///).</w:t>
      </w:r>
    </w:p>
    <w:p>
      <w:pPr>
        <w:pStyle w:val="BodyText"/>
        <w:rPr/>
      </w:pPr>
      <w:r>
        <w:rPr>
          <w:b/>
        </w:rPr>
        <w:t>42. b) Que el contenedor proporciona a cada objeto sus dependencias (inversión de control), en vez de crearlas él mismo con new.</w:t>
      </w:r>
      <w:r>
        <w:rPr/>
        <w:t xml:space="preserve"> @Autowired/constructor injection: desacopla componentes y facilita las pruebas unitarias con dobles (mocks).</w:t>
      </w:r>
    </w:p>
    <w:p>
      <w:pPr>
        <w:pStyle w:val="BodyText"/>
        <w:rPr/>
      </w:pPr>
      <w:r>
        <w:rPr>
          <w:b/>
        </w:rPr>
        <w:t>43. b) Permite a los lectores de pantalla usar la pronunciación correcta del idioma (criterio WCAG 3.1.1, nivel A).</w:t>
      </w:r>
      <w:r>
        <w:rPr/>
        <w:t xml:space="preserve"> Idioma de la página (y cambios de idioma en partes: 3.1.2, AA) — criterio barato de preguntar y de olvidar.</w:t>
      </w:r>
    </w:p>
    <w:p>
      <w:pPr>
        <w:pStyle w:val="BodyText"/>
        <w:rPr/>
      </w:pPr>
      <w:r>
        <w:rPr>
          <w:b/>
        </w:rPr>
        <w:t>44. b) Se fuerza al navegador de un usuario autenticado a enviar peticiones no deseadas a una aplicación en la que tiene sesión.</w:t>
      </w:r>
      <w:r>
        <w:rPr/>
        <w:t xml:space="preserve"> Mitigación: tokens anti-CSRF por formulario y cookies SameSite. Completa el trío OWASP con inyección y XSS.</w:t>
      </w:r>
    </w:p>
    <w:p>
      <w:pPr>
        <w:pStyle w:val="BodyText"/>
        <w:rPr/>
      </w:pPr>
      <w:r>
        <w:rPr>
          <w:b/>
        </w:rPr>
        <w:t>45. b) Colas y brokers de mensajería (RabbitMQ, Kafka).</w:t>
      </w:r>
      <w:r>
        <w:rPr/>
        <w:t xml:space="preserve"> Mensajería desacopla productores y consumidores; síncrona = REST/gRPC. Kafka aparece ya en exámenes TIC como plataforma de eventos.</w:t>
      </w:r>
    </w:p>
    <w:p>
      <w:pPr>
        <w:pStyle w:val="BodyText"/>
        <w:rPr/>
      </w:pPr>
      <w:r>
        <w:rPr>
          <w:b/>
        </w:rPr>
        <w:t>46. b) El tiempo que las cachés pueden conservar la respuesta antes de volver a preguntar.</w:t>
      </w:r>
      <w:r>
        <w:rPr/>
        <w:t xml:space="preserve"> TTL bajo = cambios rápidos pero más carga; en migraciones se baja el TTL días antes. No confundir con el TTL de IP (anti-bucles).</w:t>
      </w:r>
    </w:p>
    <w:p>
      <w:pPr>
        <w:pStyle w:val="BodyText"/>
        <w:rPr/>
      </w:pPr>
      <w:r>
        <w:rPr>
          <w:b/>
        </w:rPr>
        <w:t>47. b) El correo se entrega al de prioridad 10 (número MENOR = mayor prioridad); el 20 es respaldo.</w:t>
      </w:r>
      <w:r>
        <w:rPr/>
        <w:t xml:space="preserve"> Prioridad MX: menor número gana — contradice la intuición y por eso se pregunta.</w:t>
      </w:r>
    </w:p>
    <w:p>
      <w:pPr>
        <w:pStyle w:val="BodyText"/>
        <w:rPr/>
      </w:pPr>
      <w:r>
        <w:rPr>
          <w:b/>
        </w:rPr>
        <w:t>48. b) El servidor DHCP está en otra subred: el relay reenvía las difusiones DORA como unicast al servidor.</w:t>
      </w:r>
      <w:r>
        <w:rPr/>
        <w:t xml:space="preserve"> Las difusiones no cruzan routers; el ip helper-address del router hace de relay — pregunta de supuesto típica.</w:t>
      </w:r>
    </w:p>
    <w:p>
      <w:pPr>
        <w:pStyle w:val="BodyText"/>
        <w:rPr/>
      </w:pPr>
      <w:r>
        <w:rPr>
          <w:b/>
        </w:rPr>
        <w:t>49. b) Distingue cada conexión por el puerto de origen traducido.</w:t>
      </w:r>
      <w:r>
        <w:rPr/>
        <w:t xml:space="preserve"> Port Address Translation: la tabla NAT mapea (IP priv, puerto) ↔ (IP púb, puerto único). Es el NAT doméstico y corporativo estándar.</w:t>
      </w:r>
    </w:p>
    <w:p>
      <w:pPr>
        <w:pStyle w:val="BodyText"/>
        <w:rPr/>
      </w:pPr>
      <w:r>
        <w:rPr>
          <w:b/>
        </w:rPr>
        <w:t>50. b) El protocolo de descubrimiento de vecinos (NDP), sobre ICMPv6.</w:t>
      </w:r>
      <w:r>
        <w:rPr/>
        <w:t xml:space="preserve"> NDP usa multicast (IPv6 no tiene broadcast): Neighbor Solicitation/Advertisement; también hace SLAAC con Router Advertisements.</w:t>
      </w:r>
    </w:p>
    <w:p>
      <w:pPr>
        <w:pStyle w:val="BodyText"/>
        <w:rPr/>
      </w:pPr>
      <w:r>
        <w:rPr>
          <w:b/>
        </w:rPr>
        <w:t>51. b) Los bucles de conmutación en topologías con enlaces redundantes, bloqueando puertos.</w:t>
      </w:r>
      <w:r>
        <w:rPr/>
        <w:t xml:space="preserve"> Sin STP, una trama en bucle genera una tormenta de difusión que tumba la LAN; versiones rápidas: RSTP (802.1w).</w:t>
      </w:r>
    </w:p>
    <w:p>
      <w:pPr>
        <w:pStyle w:val="BodyText"/>
        <w:rPr/>
      </w:pPr>
      <w:r>
        <w:rPr>
          <w:b/>
        </w:rPr>
        <w:t>52. b) Una plataforma que centraliza y correlaciona eventos y logs de seguridad de múltiples fuentes para detectar incidentes.</w:t>
      </w:r>
      <w:r>
        <w:rPr/>
        <w:t xml:space="preserve"> Security Information and Event Management (Splunk, QRadar, Wazuh); alimenta al SOC. Complementa IDS/IPS: estos generan eventos, el SIEM los correlaciona.</w:t>
      </w:r>
    </w:p>
    <w:p>
      <w:pPr>
        <w:pStyle w:val="BodyText"/>
        <w:rPr/>
      </w:pPr>
      <w:r>
        <w:rPr>
          <w:b/>
        </w:rPr>
        <w:t>53. b) Cifrar los datos de la víctima y exigir un rescate; la defensa clave son copias offline/inmutables y parcheo.</w:t>
      </w:r>
      <w:r>
        <w:rPr/>
        <w:t xml:space="preserve"> Variante actual: doble extorsión (cifran Y exfiltran). Conecta con la regla 3-2-1(+1 inmutable) del tema de backup.</w:t>
      </w:r>
    </w:p>
    <w:p>
      <w:pPr>
        <w:pStyle w:val="BodyText"/>
        <w:rPr/>
      </w:pPr>
      <w:r>
        <w:rPr>
          <w:b/>
        </w:rPr>
        <w:t>54. b) El cifrado de volumen completo de Windows, que puede apoyarse en el chip TPM.</w:t>
      </w:r>
      <w:r>
        <w:rPr/>
        <w:t xml:space="preserve"> Protege los datos ante robo del equipo; el TPM custodia las claves y permite arranque transparente. En Linux, su análogo es LUKS.</w:t>
      </w:r>
    </w:p>
    <w:p>
      <w:pPr>
        <w:pStyle w:val="BodyText"/>
        <w:rPr/>
      </w:pPr>
      <w:r>
        <w:rPr>
          <w:b/>
        </w:rPr>
        <w:t>55. b) Autoconfigurarse una dirección a partir del prefijo anunciado por el router (RA), sin servidor.</w:t>
      </w:r>
      <w:r>
        <w:rPr/>
        <w:t xml:space="preserve"> StateLess Address AutoConfiguration: prefijo del Router Advertisement + identificador de interfaz; DHCPv6 existe como alternativa con estado.</w:t>
      </w:r>
    </w:p>
    <w:p>
      <w:pPr>
        <w:pStyle w:val="BodyText"/>
        <w:rPr/>
      </w:pPr>
      <w:r>
        <w:rPr>
          <w:b/>
        </w:rPr>
        <w:t>56. b) syslog.</w:t>
      </w:r>
      <w:r>
        <w:rPr/>
        <w:t xml:space="preserve"> Syslog centraliza logs (niveles de gravedad 0 emergency … 7 debug); RADIUS usa 1812/1813 y NTP 123 — amplía tu tabla de puertos.</w:t>
      </w:r>
    </w:p>
    <w:p>
      <w:pPr>
        <w:pStyle w:val="BodyText"/>
        <w:rPr/>
      </w:pPr>
      <w:r>
        <w:rPr>
          <w:b/>
        </w:rPr>
        <w:t>57. b) Suplicante (equipo), autenticador (switch/AP) y servidor de autenticación (RADIUS).</w:t>
      </w:r>
      <w:r>
        <w:rPr/>
        <w:t xml:space="preserve"> Control de acceso a red por puerto: el switch no da paso hasta que RADIUS valida las credenciales/certificado del suplicante.</w:t>
      </w:r>
    </w:p>
    <w:p>
      <w:pPr>
        <w:pStyle w:val="BodyText"/>
        <w:rPr/>
      </w:pPr>
      <w:r>
        <w:rPr>
          <w:b/>
        </w:rPr>
        <w:t>58. b) Advertencias del navegador: ninguna CA de confianza avala la identidad del servidor (el canal se cifra, la identidad no se garantiza).</w:t>
      </w:r>
      <w:r>
        <w:rPr/>
        <w:t xml:space="preserve"> Válido para pruebas o interno (con CA corporativa distribuida); nunca para un servicio público — distingue cifrado de autenticación.</w:t>
      </w:r>
    </w:p>
    <w:p>
      <w:pPr>
        <w:pStyle w:val="BodyText"/>
        <w:rPr/>
      </w:pPr>
      <w:r>
        <w:rPr>
          <w:b/>
        </w:rPr>
        <w:t>59. b) Que no obtuvo respuesta del DHCP y se autoasignó una dirección APIPA/link-local.</w:t>
      </w:r>
      <w:r>
        <w:rPr/>
        <w:t xml:space="preserve"> 169.254.0.0/16 = APIPA: síntoma clásico de «no llego al DHCP» en diagnóstico de incidencias (pregunta de supuesto).</w:t>
      </w:r>
    </w:p>
    <w:p>
      <w:pPr>
        <w:pStyle w:val="BodyText"/>
        <w:spacing w:before="180" w:after="180"/>
        <w:rPr/>
      </w:pPr>
      <w:r>
        <w:rPr>
          <w:b/>
        </w:rPr>
        <w:t>60. b) Ver la configuración de red completa del equipo: IP, máscara, puerta de enlace, DNS, MAC.</w:t>
      </w:r>
      <w:r>
        <w:rPr/>
        <w:t xml:space="preserve"> Kit de diagnóstico que cae en supuestos: ipconfig/ip a → ping puerta de enlace → ping 8.8.8.8 → nslookup (aísla si el fallo es local, de salida o de DNS).</w: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onsolas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90"/>
  <w:embedSystemFonts/>
  <w:defaultTabStop w:val="720"/>
  <w:autoHyphenation w:val="true"/>
  <w:hyphenationZone w:val="0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Cambria" w:cs="" w:asciiTheme="minorHAnsi" w:cstheme="minorBidi" w:eastAsiaTheme="minorHAnsi" w:hAnsiTheme="minorHAnsi"/>
        <w:sz w:val="24"/>
        <w:szCs w:val="24"/>
        <w:lang w:val="es-E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before="0" w:after="200"/>
      <w:jc w:val="start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s-ES" w:eastAsia="en-US" w:bidi="ar-SA"/>
    </w:rPr>
  </w:style>
  <w:style w:type="paragraph" w:styleId="Heading1">
    <w:name w:val="heading 1"/>
    <w:basedOn w:val="Normal"/>
    <w:next w:val="BodyText"/>
    <w:uiPriority w:val="9"/>
    <w:qFormat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iCs/>
      <w:color w:themeColor="accent1" w:val="4F81BD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FootnoteCharacters">
    <w:name w:val="Footnote Characters"/>
    <w:basedOn w:val="BodyTextChar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/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/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DejaVu Sans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>
      <w:rFonts w:cs="DejaVu Sans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DejaVu Sans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qFormat/>
    <w:pPr>
      <w:keepNext w:val="true"/>
      <w:keepLines/>
      <w:spacing w:before="480" w:after="240"/>
      <w:jc w:val="center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type="paragraph" w:styleId="Subtitle">
    <w:name w:val="Subtitle"/>
    <w:basedOn w:val="Title"/>
    <w:next w:val="BodyText"/>
    <w:qFormat/>
    <w:pPr>
      <w:keepNext w:val="true"/>
      <w:keepLines/>
      <w:spacing w:before="240" w:after="240"/>
      <w:jc w:val="center"/>
    </w:pPr>
    <w:rPr>
      <w:sz w:val="30"/>
      <w:szCs w:val="30"/>
    </w:rPr>
  </w:style>
  <w:style w:type="paragraph" w:styleId="Author" w:customStyle="1">
    <w:name w:val="Author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s-ES" w:eastAsia="en-US" w:bidi="ar-SA"/>
    </w:rPr>
  </w:style>
  <w:style w:type="paragraph" w:styleId="Date">
    <w:name w:val="Date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s-ES" w:eastAsia="en-US" w:bidi="ar-SA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start="480" w:end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0"/>
      <w:outlineLvl w:val="9"/>
    </w:pPr>
    <w:rPr>
      <w:rFonts w:ascii="Calibri" w:hAnsi="Calibri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/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Application>LibreOffice/26.2.4.2$Linux_X86_64 LibreOffice_project/620$Build-2</Application>
  <AppVersion>15.0000</AppVersion>
  <Pages>1</Pages>
  <Words>83</Words>
  <Characters>475</Characters>
  <CharactersWithSpaces>583</CharactersWithSpaces>
  <Paragraphs>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2026-07-12T20:18:03Z</dcterms:created>
  <dc:creator/>
  <dc:description/>
  <dc:language>es</dc:language>
  <cp:lastModifiedBy/>
  <dcterms:modified xsi:type="dcterms:W3CDTF">2026-07-12T20:18:03Z</dcterms:modified>
  <cp:revision>0</cp:revision>
  <dc:subject/>
  <dc:title>Banco de Repesca — Nivel Avanzado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Julio 2026</vt:lpwstr>
  </property>
  <property fmtid="{D5CDD505-2E9C-101B-9397-08002B2CF9AE}" pid="3" name="subtitle">
    <vt:lpwstr>60 preguntas nuevas para el mes 8 · Temas y matices que no aparecen en los tests de los dossieres</vt:lpwstr>
  </property>
  <property fmtid="{D5CDD505-2E9C-101B-9397-08002B2CF9AE}" pid="4" name="toc">
    <vt:lpwstr>False</vt:lpwstr>
  </property>
</Properties>
</file>