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Chuletario de Referencia Rápida — TAI</w:t>
      </w:r>
    </w:p>
    <w:p>
      <w:pPr>
        <w:pStyle w:val="Subtitle"/>
        <w:rPr/>
      </w:pPr>
      <w:r>
        <w:rPr/>
        <w:t>Todos los datos duros del temario en tablas · Para la semana final y los repasos exprés</w:t>
      </w:r>
    </w:p>
    <w:p>
      <w:pPr>
        <w:pStyle w:val="Date"/>
        <w:rPr/>
      </w:pPr>
      <w:r>
        <w:rPr/>
        <w:t>Julio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"1-1"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FirstParagraph"/>
        <w:rPr/>
      </w:pPr>
      <w:r>
        <w:rPr>
          <w:b/>
        </w:rPr>
        <w:t>Uso:</w:t>
      </w:r>
      <w:r>
        <w:rPr/>
        <w:t xml:space="preserve"> este documento NO sustituye a las fichas: es el destilado final. Imprímelo y úsalo en los repasos de 15 minutos, en la semana 3 del mes 9 y la víspera del examen. Si un dato de aquí te sorprende, tienes un agujero: ve a la ficha y a Anki.</w:t>
      </w:r>
    </w:p>
    <w:p>
      <w:pPr>
        <w:pStyle w:val="Heading1"/>
        <w:rPr/>
      </w:pPr>
      <w:bookmarkStart w:id="0" w:name="numeración-y-unidades-bloque-ii"/>
      <w:r>
        <w:rPr/>
        <w:t>1. Numeración y unidades (Bloque II)</w:t>
      </w:r>
      <w:bookmarkEnd w:id="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Potencias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Valor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Prefijos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Valor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2^8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256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kB / KiB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10³ / 2¹⁰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2^10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1.024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MB / MiB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10⁶ / 2²⁰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2^16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65.536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GB / GiB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10⁹ / 2³⁰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2^20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1.048.576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TB / TiB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10¹² / 2⁴⁰</w:t>
            </w:r>
          </w:p>
        </w:tc>
      </w:tr>
    </w:tbl>
    <w:p>
      <w:pPr>
        <w:pStyle w:val="BodyText"/>
        <w:rPr/>
      </w:pPr>
      <w:r>
        <w:rPr/>
        <w:t xml:space="preserve">Complemento a dos (n bits): rango </w:t>
      </w:r>
      <w:r>
        <w:rPr>
          <w:b/>
        </w:rPr>
        <w:t>−2^(n−1) … +2^(n−1)−1</w:t>
      </w:r>
      <w:r>
        <w:rPr/>
        <w:t xml:space="preserve"> (8 bits: −128…+127); se calcula invirtiendo bits y sumando 1. IEEE 754: simple </w:t>
      </w:r>
      <w:r>
        <w:rPr>
          <w:b/>
        </w:rPr>
        <w:t>1+8+23</w:t>
      </w:r>
      <w:r>
        <w:rPr/>
        <w:t xml:space="preserve"> (sesgo 127) · doble </w:t>
      </w:r>
      <w:r>
        <w:rPr>
          <w:b/>
        </w:rPr>
        <w:t>1+11+52</w:t>
      </w:r>
      <w:r>
        <w:rPr/>
        <w:t xml:space="preserve"> (sesgo 1023). Binario↔hex: grupos de 4 bits; binario↔octal: de 3.</w:t>
      </w:r>
    </w:p>
    <w:p>
      <w:pPr>
        <w:pStyle w:val="Heading1"/>
        <w:rPr/>
      </w:pPr>
      <w:bookmarkStart w:id="1" w:name="hardware-e-interfaces-bloque-ii"/>
      <w:r>
        <w:rPr/>
        <w:t>2. Hardware e interfaces (Bloque II)</w:t>
      </w:r>
      <w:bookmarkEnd w:id="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USB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Velocidad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Velocidad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2.0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480 Mbps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1,5 Gbps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3.2 Gen 1 (=3.0)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5 Gbps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II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 Gbps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3.2 Gen 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10 Gbps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III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6 Gbps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3.2 Gen 2x2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20 Gbps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NVMe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sobre PCIe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USB4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40 Gbps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RAID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Esquema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Mín. discos</w:t>
            </w:r>
          </w:p>
        </w:tc>
        <w:tc>
          <w:tcPr>
            <w:tcW w:w="3744" w:type="dxa"/>
            <w:gridSpan w:val="2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Tolera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Bandas sin redundancia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</w:t>
            </w:r>
          </w:p>
        </w:tc>
        <w:tc>
          <w:tcPr>
            <w:tcW w:w="3744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0 fallos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Espejo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</w:t>
            </w:r>
          </w:p>
        </w:tc>
        <w:tc>
          <w:tcPr>
            <w:tcW w:w="3744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Paridad distribuida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</w:t>
            </w:r>
          </w:p>
        </w:tc>
        <w:tc>
          <w:tcPr>
            <w:tcW w:w="3744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Doble paridad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</w:t>
            </w:r>
          </w:p>
        </w:tc>
        <w:tc>
          <w:tcPr>
            <w:tcW w:w="3744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Espejo + bandas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</w:t>
            </w:r>
          </w:p>
        </w:tc>
        <w:tc>
          <w:tcPr>
            <w:tcW w:w="3744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 por espejo</w:t>
            </w:r>
          </w:p>
        </w:tc>
      </w:tr>
    </w:tbl>
    <w:p>
      <w:pPr>
        <w:pStyle w:val="BodyText"/>
        <w:rPr/>
      </w:pPr>
      <w:r>
        <w:rPr/>
        <w:t>Resoluciones: HD 1280×720 · FHD 1920×1080 · QHD 2560×1440 · 4K UHD 3840×2160 · 8K 7680×4320. Ópticos: CD 700 MB · DVD 4,7/8,5 GB · BD 25/50 GB. Caché = SRAM · principal = DRAM. Registros: PC (siguiente instrucción), IR (actual), MAR (dirección), MDR (dato), SP (pila). MBR: 4 particiones/2 TB · GPT+UEFI: Secure Boot.</w:t>
      </w:r>
    </w:p>
    <w:p>
      <w:pPr>
        <w:pStyle w:val="Heading1"/>
        <w:rPr/>
      </w:pPr>
      <w:bookmarkStart w:id="2" w:name="algoritmos-y-so-bloque-ii"/>
      <w:r>
        <w:rPr/>
        <w:t>3. Algoritmos y SO (Bloque II)</w:t>
      </w:r>
      <w:bookmarkEnd w:id="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Algoritmo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Medio / Peor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chmod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rwx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Burbuja/Inserción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O(n²)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rwx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Quicksort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O(n log n) / O(n²)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rw-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Merge/Heapsort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O(n log n) siempre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r-x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B. secuencial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O(n)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r–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B. binaria (ordenados)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O(log n)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–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x</w:t>
            </w:r>
          </w:p>
        </w:tc>
      </w:tr>
    </w:tbl>
    <w:p>
      <w:pPr>
        <w:pStyle w:val="BodyText"/>
        <w:rPr/>
      </w:pPr>
      <w:r>
        <w:rPr/>
        <w:t>Pila LIFO · cola FIFO · heap→cola de prioridad · inorden en ABB = ordenado · índices BBDD = B+. FHS: /etc config · /var/log logs · /dev dispositivos · /home usuarios · /bin esenciales. kill -9 = SIGKILL · cron: min hora díames mes díasemana · systemd/systemctl · Deadlock: 4 condiciones (exclusión mutua, retención y espera, no apropiación, espera circular). Formas normales: 1FN atómicos · 2FN sin parciales · 3FN sin transitivas · FNBC determinante=clave. ACID · ANSI/SPARC: externo/conceptual/interno. NoSQL: Redis KV · MongoDB doc · Cassandra columnar · Neo4j grafos.</w:t>
      </w:r>
    </w:p>
    <w:p>
      <w:pPr>
        <w:pStyle w:val="Heading1"/>
        <w:rPr/>
      </w:pPr>
      <w:bookmarkStart w:id="3" w:name="desarrollo-bloque-iii"/>
      <w:r>
        <w:rPr/>
        <w:t>4. Desarrollo (Bloque III)</w:t>
      </w:r>
      <w:bookmarkEnd w:id="3"/>
    </w:p>
    <w:p>
      <w:pPr>
        <w:pStyle w:val="FirstParagraph"/>
        <w:rPr/>
      </w:pPr>
      <w:r>
        <w:rPr/>
        <w:t>SQL: DDL (CREATE/ALTER/DROP/TRUNCATE) · DML (SELECT/INSERT/UPDATE/DELETE) · DCL (GRANT/REVOKE) · TCL (COMMIT/ROLLBACK). Orden: FROM→WHERE→GROUP BY→HAVING→SELECT→ORDER BY. «Los que NO»: LEFT JOIN + IS NULL. POO: sobrecarga = misma clase/distinta firma (compilación) · sobreescritura = subclase/misma firma (ejecución). UML: herencia triángulo hueco · agregación rombo blanco · composición rombo negro. Patrones: Singleton/Factory/Builder (creacionales) · Adapter/Decorator/Facade (estructurales) · Observer/Strategy/Iterator (comportamiento). Java↔.NET: JVM↔CLR · bytecode↔CIL · JPA↔Entity Framework · Maven↔NuGet.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HTTP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Significado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Método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Uso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200/201/204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OK / Creado / Sin contenido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Leer (seguro)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301/302/304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Redirecciones / caché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Crear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Petición incorrecta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PUT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Reemplazar (idempotente)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401 / 403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Sin autenticar / sin permiso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PATCH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Parcial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404 / 500 / 503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No existe / error servidor / no disponible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DELETE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Borrar</w:t>
            </w:r>
          </w:p>
        </w:tc>
      </w:tr>
    </w:tbl>
    <w:p>
      <w:pPr>
        <w:pStyle w:val="BodyText"/>
        <w:rPr/>
      </w:pPr>
      <w:r>
        <w:rPr/>
        <w:t xml:space="preserve">WCAG: POUR · niveles A/AA/AAA · sector público: </w:t>
      </w:r>
      <w:r>
        <w:rPr>
          <w:b/>
        </w:rPr>
        <w:t>RD 1112/2018 → EN 301 549 → AA</w:t>
      </w:r>
      <w:r>
        <w:rPr/>
        <w:t xml:space="preserve"> · contraste 4,5:1 (AA normal), 3:1 (grande), 7:1 (AAA). OWASP: inyección→consultas parametrizadas · XSS→escapar salidas. Git: add→commit→push · pull=fetch+merge. Scrum: sprint ≤1 mes · daily 15 min · PO/SM/Developers. Pruebas: unitarias→integración→sistema→aceptación; regresión = que nada se rompa.</w:t>
      </w:r>
    </w:p>
    <w:p>
      <w:pPr>
        <w:pStyle w:val="Heading1"/>
        <w:rPr/>
      </w:pPr>
      <w:bookmarkStart w:id="4" w:name="redes-bloque-iv"/>
      <w:r>
        <w:rPr/>
        <w:t>5. Redes (Bloque IV)</w:t>
      </w:r>
      <w:bookmarkEnd w:id="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Puerto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Servicio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Puerto</w:t>
            </w:r>
          </w:p>
        </w:tc>
        <w:tc>
          <w:tcPr>
            <w:tcW w:w="3121" w:type="dxa"/>
            <w:gridSpan w:val="2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Servicio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20/21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FTP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143 (993)</w:t>
            </w:r>
          </w:p>
        </w:tc>
        <w:tc>
          <w:tcPr>
            <w:tcW w:w="3121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IMAP(S)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SSH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161/162</w:t>
            </w:r>
          </w:p>
        </w:tc>
        <w:tc>
          <w:tcPr>
            <w:tcW w:w="3121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SNMP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Telnet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389 (636)</w:t>
            </w:r>
          </w:p>
        </w:tc>
        <w:tc>
          <w:tcPr>
            <w:tcW w:w="3121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LDAP(S)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25 / 587 / 465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SMTP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443</w:t>
            </w:r>
          </w:p>
        </w:tc>
        <w:tc>
          <w:tcPr>
            <w:tcW w:w="3121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HTTPS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53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DNS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514</w:t>
            </w:r>
          </w:p>
        </w:tc>
        <w:tc>
          <w:tcPr>
            <w:tcW w:w="3121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syslog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67/68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DHCP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993/995</w:t>
            </w:r>
          </w:p>
        </w:tc>
        <w:tc>
          <w:tcPr>
            <w:tcW w:w="3121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IMAPS/POP3S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80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HTTP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3389</w:t>
            </w:r>
          </w:p>
        </w:tc>
        <w:tc>
          <w:tcPr>
            <w:tcW w:w="3121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RDP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110 (995)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POP3(S)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123</w:t>
            </w:r>
          </w:p>
        </w:tc>
        <w:tc>
          <w:tcPr>
            <w:tcW w:w="3121" w:type="dxa"/>
            <w:gridSpan w:val="2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NTP</w:t>
            </w:r>
          </w:p>
        </w:tc>
      </w:tr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Máscara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Hosts útiles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Salto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OSI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PDU / Equipo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/24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254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7-5 App/Pres/Ses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datos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/25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126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128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 Transporte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segmento/datagrama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/26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62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64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 Red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paquete / router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/27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32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 Enlace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trama / switch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/28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16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 Física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bit / hub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/29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8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/30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4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</w:tbl>
    <w:p>
      <w:pPr>
        <w:pStyle w:val="BodyText"/>
        <w:rPr/>
      </w:pPr>
      <w:r>
        <w:rPr/>
        <w:t>Número mágico = 256 − octeto de máscara. Privadas RFC 1918: 10/8 · 172.16/12 · 192.168/16. IPv6: 128 bits · ::1 loopback · fe80::/10 link-local · sin broadcast. TCP: SYN/SYN-ACK/ACK · DHCP: DORA. DNS: A/AAAA/MX/CNAME/PTR/TXT/NS. WiFi 802.11: n=4, ac=5, ax=6, be=7 · WPA3 · CSMA/CA (WiFi) vs CSMA/CD (Ethernet clásico). Cables: 5e=1G · 6=10G@55m · 6A=10G@100m · PoE af 15 W/at 30 W/bt 90 W. Backup: incremental (cadena) vs diferencial (2 piezas) · RPO datos/RTO tiempo · 3-2-1. Cripto: AES simétrica · RSA asimétrica · SHA-256 hash · firma = hash cifrado con privada. IPsec: ESP cifra, AH autentica. IDS alerta / IPS bloquea. Hub 1 · switch 2 · router 3.</w:t>
      </w:r>
    </w:p>
    <w:p>
      <w:pPr>
        <w:pStyle w:val="Heading1"/>
        <w:rPr/>
      </w:pPr>
      <w:bookmarkStart w:id="5" w:name="constitución-y-organización-bloque-i"/>
      <w:r>
        <w:rPr/>
        <w:t>6. Constitución y organización (Bloque I)</w:t>
      </w:r>
      <w:bookmarkEnd w:id="5"/>
    </w:p>
    <w:p>
      <w:pPr>
        <w:pStyle w:val="FirstParagraph"/>
        <w:rPr/>
      </w:pPr>
      <w:r>
        <w:rPr/>
        <w:t xml:space="preserve">Fechas CE: aprobada 31/10 · </w:t>
      </w:r>
      <w:r>
        <w:rPr>
          <w:b/>
        </w:rPr>
        <w:t>referéndum 6/12</w:t>
      </w:r>
      <w:r>
        <w:rPr/>
        <w:t xml:space="preserve"> · sanción 27/12 · </w:t>
      </w:r>
      <w:r>
        <w:rPr>
          <w:b/>
        </w:rPr>
        <w:t>BOE y vigor 29/12/1978</w:t>
      </w:r>
      <w:r>
        <w:rPr/>
        <w:t xml:space="preserve">. Estructura: </w:t>
      </w:r>
      <w:r>
        <w:rPr>
          <w:b/>
        </w:rPr>
        <w:t>169 arts.</w:t>
      </w:r>
      <w:r>
        <w:rPr/>
        <w:t xml:space="preserve">, preliminar + 10 títulos, 4+9+1+1 disposiciones. Valores (1.1): libertad, justicia, igualdad, pluralismo. Amparo (53.2): </w:t>
      </w:r>
      <w:r>
        <w:rPr>
          <w:b/>
        </w:rPr>
        <w:t>14 + 15-29 + 30.2</w:t>
      </w:r>
      <w:r>
        <w:rPr/>
        <w:t xml:space="preserve">. Suspensión (55.1): excepción y sitio. Detención: 72 h. Reforma: 167 (3/5; referéndum si 1/10 lo pide) · </w:t>
      </w:r>
      <w:r>
        <w:rPr>
          <w:b/>
        </w:rPr>
        <w:t>168</w:t>
      </w:r>
      <w:r>
        <w:rPr/>
        <w:t xml:space="preserve"> (2/3 + disolución + 2/3 + referéndum obligatorio; preliminar, 15-29, Corona). TC: </w:t>
      </w:r>
      <w:r>
        <w:rPr>
          <w:b/>
        </w:rPr>
        <w:t>12</w:t>
      </w:r>
      <w:r>
        <w:rPr/>
        <w:t xml:space="preserve"> (4-4-2-2), 9 años, tercios cada 3. Defensor: 3/5, 5 años. CGPJ: 20+1, 5 años. Estados (116): alarma Gobierno 15 días · excepción Gobierno+autorización Congreso 30 · sitio Congreso mayoría absoluta.</w:t>
      </w:r>
    </w:p>
    <w:p>
      <w:pPr>
        <w:pStyle w:val="BodyText"/>
        <w:rPr/>
      </w:pPr>
      <w:r>
        <w:rPr/>
        <w:t>Congreso: 300-400 (LOREG: 350), D’Hondt · Senado: 4/provincia, 3 isla mayor, 1 menor, 2+2 Ceuta/Melilla, CCAA 1+1/millón. Sesiones: sep-dic y feb-jun · Diputación Permanente: 21 mín. Veto Senado: levanta mayoría absoluta (o simple a los 2 meses). Decreto-ley: convalida Congreso 30 días · Decreto legislativo: delegación previa (bases→articulado; ordinaria→refundido). ILP: 500.000 firmas. Investidura (99): absoluta → simple 48 h → 2 meses disolución. Censura (113): constructiva, 1/10, 5 días, absoluta. Confianza (112): simple. Gobierno responde solidariamente ante el Congreso (108). Art. 155: mayoría absoluta del Senado.</w:t>
      </w:r>
    </w:p>
    <w:p>
      <w:pPr>
        <w:pStyle w:val="Heading1"/>
        <w:rPr/>
      </w:pPr>
      <w:bookmarkStart w:id="6" w:name="Xdea551e3e55fa4100ac3b287318c252489250c4"/>
      <w:r>
        <w:rPr/>
        <w:t>7. Empleo público y leyes transversales (Bloque I)</w:t>
      </w:r>
      <w:bookmarkEnd w:id="6"/>
    </w:p>
    <w:p>
      <w:pPr>
        <w:pStyle w:val="FirstParagraph"/>
        <w:rPr/>
      </w:pPr>
      <w:r>
        <w:rPr/>
        <w:t xml:space="preserve">TREBEP (RDLeg 5/2015): funcionarios carrera/interinos/laborales/eventuales · situaciones (85): activo, servicios especiales, otras AAPP, excedencia, suspensión · provisión: concurso y libre designación · faltas: muy graves 3 años/graves 2/leves 6 meses · grupos: A1 A2 B </w:t>
      </w:r>
      <w:r>
        <w:rPr>
          <w:b/>
        </w:rPr>
        <w:t>C1 (TAI)</w:t>
      </w:r>
      <w:r>
        <w:rPr/>
        <w:t xml:space="preserve"> C2. Transparencia 19/2013: acceso 1 mes, </w:t>
      </w:r>
      <w:r>
        <w:rPr>
          <w:b/>
        </w:rPr>
        <w:t>silencio negativo</w:t>
      </w:r>
      <w:r>
        <w:rPr/>
        <w:t xml:space="preserve">, reclamación CTBG 1 mes. Agenda 2030: </w:t>
      </w:r>
      <w:r>
        <w:rPr>
          <w:b/>
        </w:rPr>
        <w:t>17 ODS, 169 metas</w:t>
      </w:r>
      <w:r>
        <w:rPr/>
        <w:t xml:space="preserve">. Igualdad LO 3/2007: equilibrada </w:t>
      </w:r>
      <w:r>
        <w:rPr>
          <w:b/>
        </w:rPr>
        <w:t>40-60 %</w:t>
      </w:r>
      <w:r>
        <w:rPr/>
        <w:t xml:space="preserve">. Dependencia 39/2006: grados I/II/III. Discapacidad: 33 % grado · </w:t>
      </w:r>
      <w:r>
        <w:rPr>
          <w:b/>
        </w:rPr>
        <w:t>7 % cupo OEP</w:t>
      </w:r>
      <w:r>
        <w:rPr/>
        <w:t xml:space="preserve"> (2 % intelectual) · 2 % empresas ≥50. eIDAS: firma simple/avanzada/</w:t>
      </w:r>
      <w:r>
        <w:rPr>
          <w:b/>
        </w:rPr>
        <w:t>cualificada</w:t>
      </w:r>
      <w:r>
        <w:rPr/>
        <w:t xml:space="preserve"> (=manuscrita) · sello = persona jurídica · certificados ≤5 años (Ley 6/2020) · DNIe: autenticación + firma. RGPD: principios art. 5 (7) · derechos ARSLPO + 1 mes · </w:t>
      </w:r>
      <w:r>
        <w:rPr>
          <w:b/>
        </w:rPr>
        <w:t>brechas 72 h</w:t>
      </w:r>
      <w:r>
        <w:rPr/>
        <w:t xml:space="preserve"> · DPD obligatorio sector público · multas 10M/2 % y 20M/4 % (AAPP españolas: sin multa, art. 77 LO 3/2018) · menores: 14 años · categorías especiales art. 9.</w:t>
      </w:r>
    </w:p>
    <w:p>
      <w:pPr>
        <w:pStyle w:val="Heading1"/>
        <w:rPr/>
      </w:pPr>
      <w:bookmarkStart w:id="7" w:name="administración-electrónica-bloque-i"/>
      <w:r>
        <w:rPr/>
        <w:t>8. Administración electrónica (Bloque I)</w:t>
      </w:r>
      <w:bookmarkEnd w:id="7"/>
    </w:p>
    <w:p>
      <w:pPr>
        <w:pStyle w:val="FirstParagraph"/>
        <w:rPr/>
      </w:pPr>
      <w:r>
        <w:rPr/>
        <w:t xml:space="preserve">Obligados (art. 14 · 39/2015): personas jurídicas, entidades sin personalidad, colegiados obligatorios, empleados públicos, representantes. Notificación: rechazo </w:t>
      </w:r>
      <w:r>
        <w:rPr>
          <w:b/>
        </w:rPr>
        <w:t>10 días naturales</w:t>
      </w:r>
      <w:r>
        <w:rPr/>
        <w:t xml:space="preserve"> · registro en inhábil → primer hábil · plazos en días = hábiles. Cuarteto de RD: </w:t>
      </w:r>
      <w:r>
        <w:rPr>
          <w:b/>
        </w:rPr>
        <w:t>203/2021</w:t>
      </w:r>
      <w:r>
        <w:rPr/>
        <w:t xml:space="preserve"> medios electrónicos · </w:t>
      </w:r>
      <w:r>
        <w:rPr>
          <w:b/>
        </w:rPr>
        <w:t>311/2022</w:t>
      </w:r>
      <w:r>
        <w:rPr/>
        <w:t xml:space="preserve"> ENS · </w:t>
      </w:r>
      <w:r>
        <w:rPr>
          <w:b/>
        </w:rPr>
        <w:t>4/2010</w:t>
      </w:r>
      <w:r>
        <w:rPr/>
        <w:t xml:space="preserve"> ENI · </w:t>
      </w:r>
      <w:r>
        <w:rPr>
          <w:b/>
        </w:rPr>
        <w:t>1112/2018</w:t>
      </w:r>
      <w:r>
        <w:rPr/>
        <w:t xml:space="preserve"> accesibilidad. ENS: básica/media/alta · dimensiones </w:t>
      </w:r>
      <w:r>
        <w:rPr>
          <w:b/>
        </w:rPr>
        <w:t>ACIDT</w:t>
      </w:r>
      <w:r>
        <w:rPr/>
        <w:t xml:space="preserve"> · básica autodeclara, media/alta certifican · CCN-STIC, MAGERIT. ENI: organizativa/semántica/técnica · NTI (documento-e, expediente-e con índice firmado, digitalización, copiado auténtico). Plataformas: </w:t>
      </w:r>
      <w:r>
        <w:rPr>
          <w:b/>
        </w:rPr>
        <w:t>SARA</w:t>
      </w:r>
      <w:r>
        <w:rPr/>
        <w:t xml:space="preserve"> (red) · </w:t>
      </w:r>
      <w:r>
        <w:rPr>
          <w:b/>
        </w:rPr>
        <w:t>PID</w:t>
      </w:r>
      <w:r>
        <w:rPr/>
        <w:t xml:space="preserve"> (no aportar documentos, art. 28) · </w:t>
      </w:r>
      <w:r>
        <w:rPr>
          <w:b/>
        </w:rPr>
        <w:t>SIR</w:t>
      </w:r>
      <w:r>
        <w:rPr/>
        <w:t xml:space="preserve"> (registros; GEISER/ORVE) · </w:t>
      </w:r>
      <w:r>
        <w:rPr>
          <w:b/>
        </w:rPr>
        <w:t>Notific@→DEHú</w:t>
      </w:r>
      <w:r>
        <w:rPr/>
        <w:t xml:space="preserve"> (notificaciones) · Carpeta Ciudadana · PAGe (administracion.gob.es) · FACe (facturas) · PLACSP (contratación) · Autofirma/@firma (firmar/validar) · Inside/Archive (expediente-e/archivo) · Cl@ve PIN (ocasional)/Permanente (frecuente). SGAD provee los servicios compartidos.</w:t>
      </w:r>
    </w:p>
    <w:p>
      <w:pPr>
        <w:pStyle w:val="Heading1"/>
        <w:rPr/>
      </w:pPr>
      <w:bookmarkStart w:id="8" w:name="Xa08ccde4b5d55f441a5ea734b3d0bedb110a8f2"/>
      <w:r>
        <w:rPr/>
        <w:t>9. Los diez errores que más plazas cuestan (repaso de la víspera)</w:t>
      </w:r>
      <w:bookmarkEnd w:id="8"/>
    </w:p>
    <w:p>
      <w:pPr>
        <w:pStyle w:val="Compact"/>
        <w:numPr>
          <w:ilvl w:val="0"/>
          <w:numId w:val="3"/>
        </w:numPr>
        <w:spacing w:before="36" w:after="36"/>
        <w:rPr/>
      </w:pPr>
      <w:r>
        <w:rPr/>
        <w:t>Confundir 401 (sin autenticar) con 403 (sin permiso). 2. HAVING sin GROUP BY o condiciones de grupo en WHERE. 3. Sobrecarga ↔ sobreescritura. 4. Días naturales ↔ hábiles (el rechazo de notificación es NATURALES). 5. Valores del 1.1 ↔ principios del 9.3. 6. Mayoría de la censura (absoluta) ↔ confianza (simple). 7. Restar mal el −2 de hosts útiles o saltarse la dirección de red. 8. Incremental ↔ diferencial en la restauración. 9. IDS (alerta) ↔ IPS (bloquea) y AH (autentica) ↔ ESP (cifra). 10. Dejar la plantilla de respuestas desplazada una fila: reserva SIEMPRE los últimos 10 minutos.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2026-07-12T20:12:43Z</dcterms:created>
  <dc:creator/>
  <dc:description/>
  <dc:language>es</dc:language>
  <cp:lastModifiedBy/>
  <dcterms:modified xsi:type="dcterms:W3CDTF">2026-07-12T20:12:43Z</dcterms:modified>
  <cp:revision>0</cp:revision>
  <dc:subject/>
  <dc:title>Chuletario de Referencia Rápida — TAI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Julio 2026</vt:lpwstr>
  </property>
  <property fmtid="{D5CDD505-2E9C-101B-9397-08002B2CF9AE}" pid="3" name="subtitle">
    <vt:lpwstr>Todos los datos duros del temario en tablas · Para la semana final y los repasos exprés</vt:lpwstr>
  </property>
  <property fmtid="{D5CDD505-2E9C-101B-9397-08002B2CF9AE}" pid="4" name="toc">
    <vt:lpwstr>True</vt:lpwstr>
  </property>
  <property fmtid="{D5CDD505-2E9C-101B-9397-08002B2CF9AE}" pid="5" name="toc-depth">
    <vt:lpwstr>1</vt:lpwstr>
  </property>
</Properties>
</file>