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Dossier de Estudio — Bloque I (final): Administración Electrónica, ENS/ENI e Infraestructuras Comunes</w:t>
      </w:r>
    </w:p>
    <w:p>
      <w:pPr>
        <w:pStyle w:val="Subtitle"/>
        <w:rPr/>
      </w:pPr>
      <w:r>
        <w:rPr/>
        <w:t>Oposición TAI (AGE) · Mes 6 del plan · Temas 8-9 del Bloque I — cierre del temario</w:t>
      </w:r>
    </w:p>
    <w:p>
      <w:pPr>
        <w:pStyle w:val="Date"/>
        <w:rPr/>
      </w:pPr>
      <w:r>
        <w:rPr/>
        <w:t>Julio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"1-1"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cómo-usar-este-dossier"/>
      <w:r>
        <w:rPr/>
        <w:t>Cómo usar este dossier</w:t>
      </w:r>
      <w:bookmarkEnd w:id="0"/>
    </w:p>
    <w:p>
      <w:pPr>
        <w:pStyle w:val="FirstParagraph"/>
        <w:rPr/>
      </w:pPr>
      <w:r>
        <w:rPr/>
        <w:t>Última pieza del temario. Estos dos temas son los más «informáticos» del bloque jurídico y donde tu perfil técnico vuelve a jugar a favor: casi todo son sistemas, plataformas y esquemas que entenderás a la primera. El trabajo aquí es puro dato: siglas, reales decretos, plazos y nombres de plataformas. Ficha, test y Anki, y a cerrar.</w:t>
      </w:r>
    </w:p>
    <w:p>
      <w:pPr>
        <w:pStyle w:val="BodyText"/>
        <w:rPr/>
      </w:pPr>
      <w:r>
        <w:rPr/>
        <w:t>Estos temas, además, son transversales: el ENS conecta con la seguridad del Bloque IV, las NTI con los formatos del Bloque II y la firma electrónica con la criptografía. En el examen aparecen tanto en preguntas «jurídicas» como coladas en preguntas técnicas.</w:t>
      </w:r>
    </w:p>
    <w:p>
      <w:pPr>
        <w:pStyle w:val="Heading1"/>
        <w:rPr/>
      </w:pPr>
      <w:bookmarkStart w:id="1" w:name="X0b293e261415ab2907750c2d90e7b7038e3fade"/>
      <w:r>
        <w:rPr/>
        <w:t>Tema 8. Acceso electrónico de los ciudadanos. Gestión electrónica. ENS y ENI</w:t>
      </w:r>
      <w:bookmarkEnd w:id="1"/>
    </w:p>
    <w:p>
      <w:pPr>
        <w:pStyle w:val="Heading2"/>
        <w:rPr/>
      </w:pPr>
      <w:bookmarkStart w:id="2" w:name="Xd73612539ec7991868314a5cb398867e85d1649"/>
      <w:r>
        <w:rPr/>
        <w:t>8.1 El marco: Leyes 39/2015 y 40/2015 en clave electrónica + RD 203/2021</w:t>
      </w:r>
      <w:bookmarkEnd w:id="2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Derecho y obligación de relación electrónica (art. 14 Ley 39/2015):</w:t>
      </w:r>
      <w:r>
        <w:rPr/>
        <w:t xml:space="preserve"> las personas </w:t>
      </w:r>
      <w:r>
        <w:rPr>
          <w:b/>
        </w:rPr>
        <w:t>físicas eligen</w:t>
      </w:r>
      <w:r>
        <w:rPr/>
        <w:t xml:space="preserve"> canal; están </w:t>
      </w:r>
      <w:r>
        <w:rPr>
          <w:b/>
        </w:rPr>
        <w:t>obligados</w:t>
      </w:r>
      <w:r>
        <w:rPr/>
        <w:t xml:space="preserve">: personas jurídicas, entidades sin personalidad jurídica, profesionales de </w:t>
      </w:r>
      <w:r>
        <w:rPr>
          <w:b/>
        </w:rPr>
        <w:t>colegiación obligatoria</w:t>
      </w:r>
      <w:r>
        <w:rPr/>
        <w:t xml:space="preserve"> (en su actividad profesional), quienes representen a un obligado y los </w:t>
      </w:r>
      <w:r>
        <w:rPr>
          <w:b/>
        </w:rPr>
        <w:t>empleados públicos</w:t>
      </w:r>
      <w:r>
        <w:rPr/>
        <w:t xml:space="preserve"> en sus trámites con su Administración.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Asistencia</w:t>
      </w:r>
      <w:r>
        <w:rPr/>
        <w:t xml:space="preserve"> en el uso de medios electrónicos a los no obligados: oficinas de asistencia en materia de registros y </w:t>
      </w:r>
      <w:r>
        <w:rPr>
          <w:b/>
        </w:rPr>
        <w:t>funcionarios habilitados</w:t>
      </w:r>
      <w:r>
        <w:rPr/>
        <w:t xml:space="preserve"> (registro de funcionarios habilitados).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RD 203/2021:</w:t>
      </w:r>
      <w:r>
        <w:rPr/>
        <w:t xml:space="preserve"> reglamento de actuación y funcionamiento del sector público por medios electrónicos (desarrolla las leyes 39 y 40 en sedes, registros, notificaciones, identificación y firma).</w:t>
      </w:r>
    </w:p>
    <w:p>
      <w:pPr>
        <w:pStyle w:val="Heading2"/>
        <w:rPr/>
      </w:pPr>
      <w:bookmarkStart w:id="3" w:name="sedes-registros-y-notificaciones"/>
      <w:r>
        <w:rPr/>
        <w:t>8.2 Sedes, registros y notificaciones</w:t>
      </w:r>
      <w:bookmarkEnd w:id="3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Sede electrónica</w:t>
      </w:r>
      <w:r>
        <w:rPr/>
        <w:t xml:space="preserve"> (≠ portal): dirección electrónica de titularidad de una AP, con </w:t>
      </w:r>
      <w:r>
        <w:rPr>
          <w:b/>
        </w:rPr>
        <w:t>responsabilidad sobre integridad, veracidad y actualización</w:t>
      </w:r>
      <w:r>
        <w:rPr/>
        <w:t xml:space="preserve">; en ella se tramita con plena validez (certificado cualificado de sede; también existe la </w:t>
      </w:r>
      <w:r>
        <w:rPr>
          <w:b/>
        </w:rPr>
        <w:t>sede electrónica asociada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Registro electrónico:</w:t>
      </w:r>
      <w:r>
        <w:rPr/>
        <w:t xml:space="preserve"> admite documentos </w:t>
      </w:r>
      <w:r>
        <w:rPr>
          <w:b/>
        </w:rPr>
        <w:t>24×7 todos los días del año</w:t>
      </w:r>
      <w:r>
        <w:rPr/>
        <w:t xml:space="preserve">; emite recibo con fecha/hora; presentación en día </w:t>
      </w:r>
      <w:r>
        <w:rPr>
          <w:b/>
        </w:rPr>
        <w:t>inhábil → se entiende hecha a primera hora del primer día hábil siguiente</w:t>
      </w:r>
      <w:r>
        <w:rPr/>
        <w:t xml:space="preserve">. Plazos por días = </w:t>
      </w:r>
      <w:r>
        <w:rPr>
          <w:b/>
        </w:rPr>
        <w:t>hábiles</w:t>
      </w:r>
      <w:r>
        <w:rPr/>
        <w:t xml:space="preserve"> por defecto (sábado inhábil); solo son naturales si la norma lo dice expresamente. </w:t>
      </w:r>
      <w:r>
        <w:rPr>
          <w:b/>
        </w:rPr>
        <w:t>SIR</w:t>
      </w:r>
      <w:r>
        <w:rPr/>
        <w:t xml:space="preserve"> interconecta los registros (véase tema 9).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Notificaciones electrónicas:</w:t>
      </w:r>
      <w:r>
        <w:rPr/>
        <w:t xml:space="preserve"> por </w:t>
      </w:r>
      <w:r>
        <w:rPr>
          <w:b/>
        </w:rPr>
        <w:t>comparecencia en sede</w:t>
      </w:r>
      <w:r>
        <w:rPr/>
        <w:t xml:space="preserve"> o en la </w:t>
      </w:r>
      <w:r>
        <w:rPr>
          <w:b/>
        </w:rPr>
        <w:t>DEHú</w:t>
      </w:r>
      <w:r>
        <w:rPr/>
        <w:t xml:space="preserve">; se entienden practicadas al acceder al contenido y </w:t>
      </w:r>
      <w:r>
        <w:rPr>
          <w:b/>
        </w:rPr>
        <w:t>rechazadas a los 10 días NATURALES</w:t>
      </w:r>
      <w:r>
        <w:rPr/>
        <w:t xml:space="preserve"> sin acceso (el trámite se da por efectuado). Los no obligados pueden elegir y cambiar de canal; aun notificados en papel, todo se pone también a disposición electrónica. Aviso de cortesía al móvil/correo: su falta </w:t>
      </w:r>
      <w:r>
        <w:rPr>
          <w:b/>
        </w:rPr>
        <w:t>no invalida</w:t>
      </w:r>
      <w:r>
        <w:rPr/>
        <w:t xml:space="preserve"> la notificación.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Documento y expediente electrónicos:</w:t>
      </w:r>
      <w:r>
        <w:rPr/>
        <w:t xml:space="preserve"> copias auténticas mediante </w:t>
      </w:r>
      <w:r>
        <w:rPr>
          <w:b/>
        </w:rPr>
        <w:t>CSV</w:t>
      </w:r>
      <w:r>
        <w:rPr/>
        <w:t xml:space="preserve"> (código seguro de verificación: coteja la copia contra el original en sede); </w:t>
      </w:r>
      <w:r>
        <w:rPr>
          <w:b/>
        </w:rPr>
        <w:t>archivo electrónico único</w:t>
      </w:r>
      <w:r>
        <w:rPr/>
        <w:t xml:space="preserve"> (art. 17) para procedimientos finalizados, con formatos de conservación (PDF/A) y migraciones.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Actuación administrativa automatizada (art. 41 Ley 40/2015):</w:t>
      </w:r>
      <w:r>
        <w:rPr/>
        <w:t xml:space="preserve"> sin intervención directa de empleado público; se firma con </w:t>
      </w:r>
      <w:r>
        <w:rPr>
          <w:b/>
        </w:rPr>
        <w:t>sello electrónico de AP o CSV</w:t>
      </w:r>
      <w:r>
        <w:rPr/>
        <w:t xml:space="preserve">; debe fijarse previamente el órgano responsable. </w:t>
      </w:r>
      <w:r>
        <w:rPr>
          <w:b/>
        </w:rPr>
        <w:t>Firma del personal:</w:t>
      </w:r>
      <w:r>
        <w:rPr/>
        <w:t xml:space="preserve"> certificado de empleado público; </w:t>
      </w:r>
      <w:r>
        <w:rPr>
          <w:b/>
        </w:rPr>
        <w:t>sello de órgano</w:t>
      </w:r>
      <w:r>
        <w:rPr/>
        <w:t xml:space="preserve"> para la actuación automatizada.</w:t>
      </w:r>
    </w:p>
    <w:p>
      <w:pPr>
        <w:pStyle w:val="Heading2"/>
        <w:rPr/>
      </w:pPr>
      <w:bookmarkStart w:id="4" w:name="X2e9227e3d9732928f93c26e57b287d5e90bbcc7"/>
      <w:r>
        <w:rPr/>
        <w:t>8.3 Esquema Nacional de Seguridad (ENS, RD 311/2022)</w:t>
      </w:r>
      <w:bookmarkEnd w:id="4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Ámbito:</w:t>
      </w:r>
      <w:r>
        <w:rPr/>
        <w:t xml:space="preserve"> todo el </w:t>
      </w:r>
      <w:r>
        <w:rPr>
          <w:b/>
        </w:rPr>
        <w:t>sector público</w:t>
      </w:r>
      <w:r>
        <w:rPr/>
        <w:t xml:space="preserve"> (y proveedores tecnológicos que les prestan servicios).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Principios básicos:</w:t>
      </w:r>
      <w:r>
        <w:rPr/>
        <w:t xml:space="preserve"> seguridad integral, </w:t>
      </w:r>
      <w:r>
        <w:rPr>
          <w:b/>
        </w:rPr>
        <w:t>gestión de riesgos</w:t>
      </w:r>
      <w:r>
        <w:rPr/>
        <w:t xml:space="preserve">, prevención-detección-respuesta, existencia de </w:t>
      </w:r>
      <w:r>
        <w:rPr>
          <w:b/>
        </w:rPr>
        <w:t>líneas de defensa</w:t>
      </w:r>
      <w:r>
        <w:rPr/>
        <w:t xml:space="preserve">, vigilancia continua, reevaluación periódica y </w:t>
      </w:r>
      <w:r>
        <w:rPr>
          <w:b/>
        </w:rPr>
        <w:t>diferenciación de responsabilidades</w:t>
      </w:r>
      <w:r>
        <w:rPr/>
        <w:t xml:space="preserve"> (responsable de la información, del servicio, de seguridad y del sistema: roles distintos).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5 dimensiones (ACIDT):</w:t>
      </w:r>
      <w:r>
        <w:rPr/>
        <w:t xml:space="preserve"> Autenticidad, Confidencialidad, Integridad, Disponibilidad y Trazabilidad.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Categorías: básica, media y alta</w:t>
      </w:r>
      <w:r>
        <w:rPr/>
        <w:t xml:space="preserve"> — según el MAYOR nivel de impacto de un incidente en cualquier dimensión (Anexo I). Las medidas de seguridad aplicables (marco organizativo, operacional y de protección) están en el </w:t>
      </w:r>
      <w:r>
        <w:rPr>
          <w:b/>
        </w:rPr>
        <w:t>Anexo II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Conformidad:</w:t>
      </w:r>
      <w:r>
        <w:rPr/>
        <w:t xml:space="preserve"> categoría básica → </w:t>
      </w:r>
      <w:r>
        <w:rPr>
          <w:b/>
        </w:rPr>
        <w:t>Declaración</w:t>
      </w:r>
      <w:r>
        <w:rPr/>
        <w:t xml:space="preserve"> de Conformidad (autodeclaración); media y alta → </w:t>
      </w:r>
      <w:r>
        <w:rPr>
          <w:b/>
        </w:rPr>
        <w:t>Certificación</w:t>
      </w:r>
      <w:r>
        <w:rPr/>
        <w:t xml:space="preserve"> por entidad acreditada. Distintivos publicados en sede.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Actores: </w:t>
      </w:r>
      <w:r>
        <w:rPr>
          <w:b/>
        </w:rPr>
        <w:t>CCN</w:t>
      </w:r>
      <w:r>
        <w:rPr/>
        <w:t xml:space="preserve"> (Centro Criptológico Nacional): guías </w:t>
      </w:r>
      <w:r>
        <w:rPr>
          <w:b/>
        </w:rPr>
        <w:t>CCN-STIC</w:t>
      </w:r>
      <w:r>
        <w:rPr/>
        <w:t xml:space="preserve"> y </w:t>
      </w:r>
      <w:r>
        <w:rPr>
          <w:b/>
        </w:rPr>
        <w:t>CCN-CERT</w:t>
      </w:r>
      <w:r>
        <w:rPr/>
        <w:t xml:space="preserve"> (respuesta a incidentes del sector público). Análisis de riesgos: metodología </w:t>
      </w:r>
      <w:r>
        <w:rPr>
          <w:b/>
        </w:rPr>
        <w:t>MAGERIT</w:t>
      </w:r>
      <w:r>
        <w:rPr/>
        <w:t xml:space="preserve"> y herramienta PILAR.</w:t>
      </w:r>
    </w:p>
    <w:p>
      <w:pPr>
        <w:pStyle w:val="Heading2"/>
        <w:rPr/>
      </w:pPr>
      <w:bookmarkStart w:id="5" w:name="X1fbe4b9bce726b5462ee74398e2373f0af971e6"/>
      <w:r>
        <w:rPr/>
        <w:t>8.4 Esquema Nacional de Interoperabilidad (ENI, RD 4/2010)</w:t>
      </w:r>
      <w:bookmarkEnd w:id="5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Interoperabilidad:</w:t>
      </w:r>
      <w:r>
        <w:rPr/>
        <w:t xml:space="preserve"> capacidad de los sistemas de compartir datos y conocimiento. </w:t>
      </w:r>
      <w:r>
        <w:rPr>
          <w:b/>
        </w:rPr>
        <w:t>Tres dimensiones:</w:t>
      </w:r>
      <w:r>
        <w:rPr/>
        <w:t xml:space="preserve"> </w:t>
      </w:r>
      <w:r>
        <w:rPr>
          <w:b/>
        </w:rPr>
        <w:t>organizativa</w:t>
      </w:r>
      <w:r>
        <w:rPr/>
        <w:t xml:space="preserve"> (procesos, acuerdos), </w:t>
      </w:r>
      <w:r>
        <w:rPr>
          <w:b/>
        </w:rPr>
        <w:t>semántica</w:t>
      </w:r>
      <w:r>
        <w:rPr/>
        <w:t xml:space="preserve"> (los datos significan lo mismo: modelos de datos comunes) y </w:t>
      </w:r>
      <w:r>
        <w:rPr>
          <w:b/>
        </w:rPr>
        <w:t>técnica</w:t>
      </w:r>
      <w:r>
        <w:rPr/>
        <w:t xml:space="preserve"> (estándares y protocolos).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Normas Técnicas de Interoperabilidad (NTI):</w:t>
      </w:r>
      <w:r>
        <w:rPr/>
        <w:t xml:space="preserve"> documento electrónico (metadatos), expediente electrónico (índice firmado/foliado), </w:t>
      </w:r>
      <w:r>
        <w:rPr>
          <w:b/>
        </w:rPr>
        <w:t>digitalización</w:t>
      </w:r>
      <w:r>
        <w:rPr/>
        <w:t xml:space="preserve"> de documentos, </w:t>
      </w:r>
      <w:r>
        <w:rPr>
          <w:b/>
        </w:rPr>
        <w:t>copiado auténtico y conversión</w:t>
      </w:r>
      <w:r>
        <w:rPr/>
        <w:t>, política de firma, catálogo de estándares, reutilización de recursos, protocolos de intermediación…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Herramientas semánticas: Centro de Interoperabilidad Semántica; reutilización: </w:t>
      </w:r>
      <w:r>
        <w:rPr>
          <w:b/>
        </w:rPr>
        <w:t>CTT</w:t>
      </w:r>
      <w:r>
        <w:rPr/>
        <w:t xml:space="preserve"> (Centro de Transferencia de Tecnología).</w:t>
      </w:r>
    </w:p>
    <w:p>
      <w:pPr>
        <w:pStyle w:val="Heading1"/>
        <w:rPr/>
      </w:pPr>
      <w:bookmarkStart w:id="6" w:name="X5353784514a8816084cc2aac95bf565517b19f3"/>
      <w:r>
        <w:rPr/>
        <w:t>Tema 9. Instrumentos y servicios comunes de administración electrónica</w:t>
      </w:r>
      <w:bookmarkEnd w:id="6"/>
    </w:p>
    <w:p>
      <w:pPr>
        <w:pStyle w:val="Heading2"/>
        <w:rPr/>
      </w:pPr>
      <w:bookmarkStart w:id="7" w:name="identificación-y-firma-del-ciudadano"/>
      <w:r>
        <w:rPr/>
        <w:t>9.1 Identificación y firma del ciudadano</w:t>
      </w:r>
      <w:bookmarkEnd w:id="7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Cl@ve:</w:t>
      </w:r>
      <w:r>
        <w:rPr/>
        <w:t xml:space="preserve"> plataforma común de identificación: </w:t>
      </w:r>
      <w:r>
        <w:rPr>
          <w:b/>
        </w:rPr>
        <w:t>Cl@ve PIN</w:t>
      </w:r>
      <w:r>
        <w:rPr/>
        <w:t xml:space="preserve"> (código de un solo uso, accesos esporádicos), </w:t>
      </w:r>
      <w:r>
        <w:rPr>
          <w:b/>
        </w:rPr>
        <w:t>Cl@ve Permanente</w:t>
      </w:r>
      <w:r>
        <w:rPr/>
        <w:t xml:space="preserve"> (usuario/contraseña + OTP, uso frecuente), y admite </w:t>
      </w:r>
      <w:r>
        <w:rPr>
          <w:b/>
        </w:rPr>
        <w:t>certificado electrónico y DNIe</w:t>
      </w:r>
      <w:r>
        <w:rPr/>
        <w:t>. Cl@ve Firma: firma centralizada en la nube.</w:t>
      </w:r>
    </w:p>
    <w:p>
      <w:pPr>
        <w:pStyle w:val="Compact"/>
        <w:numPr>
          <w:ilvl w:val="0"/>
          <w:numId w:val="1"/>
        </w:numPr>
        <w:rPr/>
      </w:pPr>
      <w:r>
        <w:rPr/>
        <w:t>Recuerda del tema 6: eIDAS, firma simple/avanzada/</w:t>
      </w:r>
      <w:r>
        <w:rPr>
          <w:b/>
        </w:rPr>
        <w:t>cualificada</w:t>
      </w:r>
      <w:r>
        <w:rPr/>
        <w:t>, sello electrónico, DNIe con certificados de autenticación y firma.</w:t>
      </w:r>
    </w:p>
    <w:p>
      <w:pPr>
        <w:pStyle w:val="Heading2"/>
        <w:rPr/>
      </w:pPr>
      <w:bookmarkStart w:id="8" w:name="X082cb680b956354dbd87c83a1d84099e47da3f8"/>
      <w:r>
        <w:rPr/>
        <w:t>9.2 Infraestructuras y servicios compartidos (las siglas que caen)</w:t>
      </w:r>
      <w:bookmarkEnd w:id="8"/>
    </w:p>
    <w:tbl>
      <w:tblPr>
        <w:tblStyle w:val="Tabl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Servicio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Qué 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Red SARA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Interconexión segura de las AAPP españolas entre sí y con la UE (sTESTA)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PID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Plataforma de Intermediación de Datos: verificación electrónica de datos (identidad, residencia, títulos…) para no pedir papeles al ciudadano (art. 28 Ley 39/2015)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SIR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Sistema de Interconexión de Registros: intercambio de asientos entre AAPP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GEISER / ORVE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Aplicaciones de registro integradas en SIR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Notific@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Servicio emisor de notificaciones electrónicas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DEHú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Dirección Electrónica Habilitada única: donde el interesado accede a sus notificaciones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Carpeta Ciudadana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Consulta de expedientes, notificaciones y datos personales del ciudadano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PAGe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Punto de Acceso General: administracion.gob.es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FACe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Punto General de Entrada de Facturas Electrónicas (formato Facturae)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PLACSP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Plataforma de Contratación del Sector Público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Archive / Inside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Archivo definitivo de expedientes-e / gestión de documento y expediente electrónico según ENI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s-ES" w:eastAsia="en-US" w:bidi="ar-SA"/>
              </w:rPr>
              <w:t>Autofirma / @firma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s-E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s-ES" w:eastAsia="en-US" w:bidi="ar-SA"/>
              </w:rPr>
              <w:t>Aplicación de firma del ciudadano / plataforma de validación de firmas y certificados</w:t>
            </w:r>
          </w:p>
        </w:tc>
      </w:tr>
    </w:tbl>
    <w:p>
      <w:pPr>
        <w:pStyle w:val="BodyText"/>
        <w:rPr/>
      </w:pPr>
      <w:r>
        <w:rPr/>
        <w:t xml:space="preserve">Gobernanza actual: la </w:t>
      </w:r>
      <w:r>
        <w:rPr>
          <w:b/>
        </w:rPr>
        <w:t>Secretaría General de Administración Digital (SGAD)</w:t>
      </w:r>
      <w:r>
        <w:rPr/>
        <w:t xml:space="preserve"> provee los servicios compartidos declarados obligatorios para la AGE.</w:t>
      </w:r>
    </w:p>
    <w:p>
      <w:pPr>
        <w:pStyle w:val="Heading1"/>
        <w:rPr/>
      </w:pPr>
      <w:bookmarkStart w:id="9" w:name="test-del-bloque-i-final-20-preguntas"/>
      <w:r>
        <w:rPr/>
        <w:t>Test del Bloque I (final) — 20 preguntas</w:t>
      </w:r>
      <w:bookmarkEnd w:id="9"/>
    </w:p>
    <w:p>
      <w:pPr>
        <w:pStyle w:val="FirstParagraph"/>
        <w:rPr/>
      </w:pPr>
      <w:r>
        <w:rPr/>
        <w:t xml:space="preserve">Condiciones: 20 preguntas, </w:t>
      </w:r>
      <w:r>
        <w:rPr>
          <w:b/>
        </w:rPr>
        <w:t>24 minutos</w:t>
      </w:r>
      <w:r>
        <w:rPr/>
        <w:t>. Objetivo: ≥ 13 netas. Con este test cierras el bloque jurídico completo.</w:t>
      </w:r>
    </w:p>
    <w:p>
      <w:pPr>
        <w:pStyle w:val="BodyText"/>
        <w:rPr/>
      </w:pPr>
      <w:r>
        <w:rPr>
          <w:b/>
        </w:rPr>
        <w:t>Tema 8 · Acceso electrónico</w:t>
      </w:r>
    </w:p>
    <w:p>
      <w:pPr>
        <w:pStyle w:val="BodyText"/>
        <w:rPr/>
      </w:pPr>
      <w:r>
        <w:rPr>
          <w:b/>
        </w:rPr>
        <w:t>1.</w:t>
      </w:r>
      <w:r>
        <w:rPr/>
        <w:t xml:space="preserve"> Según el art. 14 de la Ley 39/2015, están obligados a relacionarse electrónicamente con la Administración:</w:t>
      </w:r>
    </w:p>
    <w:p>
      <w:pPr>
        <w:pStyle w:val="BodyText"/>
        <w:rPr/>
      </w:pPr>
      <w:r>
        <w:rPr/>
        <w:t>   </w:t>
      </w:r>
      <w:r>
        <w:rPr/>
        <w:t>a) Todas las personas físicas</w:t>
      </w:r>
    </w:p>
    <w:p>
      <w:pPr>
        <w:pStyle w:val="BodyText"/>
        <w:rPr/>
      </w:pPr>
      <w:r>
        <w:rPr/>
        <w:t>   </w:t>
      </w:r>
      <w:r>
        <w:rPr/>
        <w:t>b) Personas jurídicas, entidades sin personalidad, profesionales de colegiación obligatoria, empleados públicos (para trámites con su Administración) y representantes de obligados</w:t>
      </w:r>
    </w:p>
    <w:p>
      <w:pPr>
        <w:pStyle w:val="BodyText"/>
        <w:rPr/>
      </w:pPr>
      <w:r>
        <w:rPr/>
        <w:t>   </w:t>
      </w:r>
      <w:r>
        <w:rPr/>
        <w:t>c) Solo las grandes empresas</w:t>
      </w:r>
    </w:p>
    <w:p>
      <w:pPr>
        <w:pStyle w:val="BodyText"/>
        <w:rPr/>
      </w:pPr>
      <w:r>
        <w:rPr/>
        <w:t>   </w:t>
      </w:r>
      <w:r>
        <w:rPr/>
        <w:t>d) Nadie: es siempre voluntario</w:t>
      </w:r>
    </w:p>
    <w:p>
      <w:pPr>
        <w:pStyle w:val="BodyText"/>
        <w:rPr/>
      </w:pPr>
      <w:r>
        <w:rPr>
          <w:b/>
        </w:rPr>
        <w:t>2.</w:t>
      </w:r>
      <w:r>
        <w:rPr/>
        <w:t xml:space="preserve"> El reglamento de actuación y funcionamiento del sector público por medios electrónicos es el:</w:t>
      </w:r>
    </w:p>
    <w:p>
      <w:pPr>
        <w:pStyle w:val="BodyText"/>
        <w:rPr/>
      </w:pPr>
      <w:r>
        <w:rPr/>
        <w:t>   </w:t>
      </w:r>
      <w:r>
        <w:rPr/>
        <w:t>a) RD 3/2010</w:t>
      </w:r>
    </w:p>
    <w:p>
      <w:pPr>
        <w:pStyle w:val="BodyText"/>
        <w:rPr/>
      </w:pPr>
      <w:r>
        <w:rPr/>
        <w:t>   </w:t>
      </w:r>
      <w:r>
        <w:rPr/>
        <w:t>b) RD 203/2021</w:t>
      </w:r>
    </w:p>
    <w:p>
      <w:pPr>
        <w:pStyle w:val="BodyText"/>
        <w:rPr/>
      </w:pPr>
      <w:r>
        <w:rPr/>
        <w:t>   </w:t>
      </w:r>
      <w:r>
        <w:rPr/>
        <w:t>c) RD 4/2010</w:t>
      </w:r>
    </w:p>
    <w:p>
      <w:pPr>
        <w:pStyle w:val="BodyText"/>
        <w:rPr/>
      </w:pPr>
      <w:r>
        <w:rPr/>
        <w:t>   </w:t>
      </w:r>
      <w:r>
        <w:rPr/>
        <w:t>d) RD 1112/2018</w:t>
      </w:r>
    </w:p>
    <w:p>
      <w:pPr>
        <w:pStyle w:val="BodyText"/>
        <w:rPr/>
      </w:pPr>
      <w:r>
        <w:rPr>
          <w:b/>
        </w:rPr>
        <w:t>3.</w:t>
      </w:r>
      <w:r>
        <w:rPr/>
        <w:t xml:space="preserve"> Una sede electrónica se diferencia de un portal de internet en que la sede:</w:t>
      </w:r>
    </w:p>
    <w:p>
      <w:pPr>
        <w:pStyle w:val="BodyText"/>
        <w:rPr/>
      </w:pPr>
      <w:r>
        <w:rPr/>
        <w:t>   </w:t>
      </w:r>
      <w:r>
        <w:rPr/>
        <w:t>a) Tiene más visitas</w:t>
      </w:r>
    </w:p>
    <w:p>
      <w:pPr>
        <w:pStyle w:val="BodyText"/>
        <w:rPr/>
      </w:pPr>
      <w:r>
        <w:rPr/>
        <w:t>   </w:t>
      </w:r>
      <w:r>
        <w:rPr/>
        <w:t>b) Es una dirección electrónica cuya titularidad corresponde a una AP, con responsabilidad sobre la integridad, veracidad y actualización de su contenido, donde se realizan trámites con plena validez</w:t>
      </w:r>
    </w:p>
    <w:p>
      <w:pPr>
        <w:pStyle w:val="BodyText"/>
        <w:rPr/>
      </w:pPr>
      <w:r>
        <w:rPr/>
        <w:t>   </w:t>
      </w:r>
      <w:r>
        <w:rPr/>
        <w:t>c) No requiere certificado</w:t>
      </w:r>
    </w:p>
    <w:p>
      <w:pPr>
        <w:pStyle w:val="BodyText"/>
        <w:rPr/>
      </w:pPr>
      <w:r>
        <w:rPr/>
        <w:t>   </w:t>
      </w:r>
      <w:r>
        <w:rPr/>
        <w:t>d) Solo publica noticias</w:t>
      </w:r>
    </w:p>
    <w:p>
      <w:pPr>
        <w:pStyle w:val="BodyText"/>
        <w:rPr/>
      </w:pPr>
      <w:r>
        <w:rPr>
          <w:b/>
        </w:rPr>
        <w:t>4.</w:t>
      </w:r>
      <w:r>
        <w:rPr/>
        <w:t xml:space="preserve"> Una notificación electrónica puesta a disposición se entiende rechazada cuando:</w:t>
      </w:r>
    </w:p>
    <w:p>
      <w:pPr>
        <w:pStyle w:val="BodyText"/>
        <w:rPr/>
      </w:pPr>
      <w:r>
        <w:rPr/>
        <w:t>   </w:t>
      </w:r>
      <w:r>
        <w:rPr/>
        <w:t>a) Pasan 5 días hábiles sin acceder</w:t>
      </w:r>
    </w:p>
    <w:p>
      <w:pPr>
        <w:pStyle w:val="BodyText"/>
        <w:rPr/>
      </w:pPr>
      <w:r>
        <w:rPr/>
        <w:t>   </w:t>
      </w:r>
      <w:r>
        <w:rPr/>
        <w:t>b) Transcurren 10 días naturales desde la puesta a disposición sin acceder a su contenido</w:t>
      </w:r>
    </w:p>
    <w:p>
      <w:pPr>
        <w:pStyle w:val="BodyText"/>
        <w:rPr/>
      </w:pPr>
      <w:r>
        <w:rPr/>
        <w:t>   </w:t>
      </w:r>
      <w:r>
        <w:rPr/>
        <w:t>c) Pasa 1 mes</w:t>
      </w:r>
    </w:p>
    <w:p>
      <w:pPr>
        <w:pStyle w:val="BodyText"/>
        <w:rPr/>
      </w:pPr>
      <w:r>
        <w:rPr/>
        <w:t>   </w:t>
      </w:r>
      <w:r>
        <w:rPr/>
        <w:t>d) Nunca se entiende rechazada</w:t>
      </w:r>
    </w:p>
    <w:p>
      <w:pPr>
        <w:pStyle w:val="BodyText"/>
        <w:rPr/>
      </w:pPr>
      <w:r>
        <w:rPr>
          <w:b/>
        </w:rPr>
        <w:t>5.</w:t>
      </w:r>
      <w:r>
        <w:rPr/>
        <w:t xml:space="preserve"> Si un documento se presenta en el registro electrónico un día inhábil:</w:t>
      </w:r>
    </w:p>
    <w:p>
      <w:pPr>
        <w:pStyle w:val="BodyText"/>
        <w:rPr/>
      </w:pPr>
      <w:r>
        <w:rPr/>
        <w:t>   </w:t>
      </w:r>
      <w:r>
        <w:rPr/>
        <w:t>a) No se admite</w:t>
      </w:r>
    </w:p>
    <w:p>
      <w:pPr>
        <w:pStyle w:val="BodyText"/>
        <w:rPr/>
      </w:pPr>
      <w:r>
        <w:rPr/>
        <w:t>   </w:t>
      </w:r>
      <w:r>
        <w:rPr/>
        <w:t>b) Se entiende presentado a primera hora del primer día hábil siguiente (salvo norma que permita expresamente otra cosa)</w:t>
      </w:r>
    </w:p>
    <w:p>
      <w:pPr>
        <w:pStyle w:val="BodyText"/>
        <w:rPr/>
      </w:pPr>
      <w:r>
        <w:rPr/>
        <w:t>   </w:t>
      </w:r>
      <w:r>
        <w:rPr/>
        <w:t>c) Cuenta como del día inhábil a todos los efectos</w:t>
      </w:r>
    </w:p>
    <w:p>
      <w:pPr>
        <w:pStyle w:val="BodyText"/>
        <w:rPr/>
      </w:pPr>
      <w:r>
        <w:rPr/>
        <w:t>   </w:t>
      </w:r>
      <w:r>
        <w:rPr/>
        <w:t>d) Se devuelve al interesado</w:t>
      </w:r>
    </w:p>
    <w:p>
      <w:pPr>
        <w:pStyle w:val="BodyText"/>
        <w:rPr/>
      </w:pPr>
      <w:r>
        <w:rPr>
          <w:b/>
        </w:rPr>
        <w:t>6.</w:t>
      </w:r>
      <w:r>
        <w:rPr/>
        <w:t xml:space="preserve"> El archivo electrónico único de la Ley 39/2015 obliga a conservar:</w:t>
      </w:r>
    </w:p>
    <w:p>
      <w:pPr>
        <w:pStyle w:val="BodyText"/>
        <w:rPr/>
      </w:pPr>
      <w:r>
        <w:rPr/>
        <w:t>   </w:t>
      </w:r>
      <w:r>
        <w:rPr/>
        <w:t>a) Solo los documentos en papel digitalizados</w:t>
      </w:r>
    </w:p>
    <w:p>
      <w:pPr>
        <w:pStyle w:val="BodyText"/>
        <w:rPr/>
      </w:pPr>
      <w:r>
        <w:rPr/>
        <w:t>   </w:t>
      </w:r>
      <w:r>
        <w:rPr/>
        <w:t>b) Todos los documentos electrónicos de procedimientos finalizados, en un formato que garantice autenticidad, integridad y conservación (con migración periódica)</w:t>
      </w:r>
    </w:p>
    <w:p>
      <w:pPr>
        <w:pStyle w:val="BodyText"/>
        <w:rPr/>
      </w:pPr>
      <w:r>
        <w:rPr/>
        <w:t>   </w:t>
      </w:r>
      <w:r>
        <w:rPr/>
        <w:t>c) Los correos electrónicos de los funcionarios</w:t>
      </w:r>
    </w:p>
    <w:p>
      <w:pPr>
        <w:pStyle w:val="BodyText"/>
        <w:rPr/>
      </w:pPr>
      <w:r>
        <w:rPr/>
        <w:t>   </w:t>
      </w:r>
      <w:r>
        <w:rPr/>
        <w:t>d) Únicamente las resoluciones</w:t>
      </w:r>
    </w:p>
    <w:p>
      <w:pPr>
        <w:pStyle w:val="BodyText"/>
        <w:rPr/>
      </w:pPr>
      <w:r>
        <w:rPr>
          <w:b/>
        </w:rPr>
        <w:t>7.</w:t>
      </w:r>
      <w:r>
        <w:rPr/>
        <w:t xml:space="preserve"> La actuación administrativa automatizada (art. 41 Ley 40/2015) se caracteriza por:</w:t>
      </w:r>
    </w:p>
    <w:p>
      <w:pPr>
        <w:pStyle w:val="BodyText"/>
        <w:rPr/>
      </w:pPr>
      <w:r>
        <w:rPr/>
        <w:t>   </w:t>
      </w:r>
      <w:r>
        <w:rPr/>
        <w:t>a) Requerir siempre la firma de un funcionario</w:t>
      </w:r>
    </w:p>
    <w:p>
      <w:pPr>
        <w:pStyle w:val="BodyText"/>
        <w:rPr/>
      </w:pPr>
      <w:r>
        <w:rPr/>
        <w:t>   </w:t>
      </w:r>
      <w:r>
        <w:rPr/>
        <w:t>b) Realizarse íntegramente por medios electrónicos sin intervención directa de empleado público, firmándose con sello electrónico o CSV</w:t>
      </w:r>
    </w:p>
    <w:p>
      <w:pPr>
        <w:pStyle w:val="BodyText"/>
        <w:rPr/>
      </w:pPr>
      <w:r>
        <w:rPr/>
        <w:t>   </w:t>
      </w:r>
      <w:r>
        <w:rPr/>
        <w:t>c) Estar prohibida en la AGE</w:t>
      </w:r>
    </w:p>
    <w:p>
      <w:pPr>
        <w:pStyle w:val="BodyText"/>
        <w:rPr/>
      </w:pPr>
      <w:r>
        <w:rPr/>
        <w:t>   </w:t>
      </w:r>
      <w:r>
        <w:rPr/>
        <w:t>d) Aplicarse solo a sanciones</w:t>
      </w:r>
    </w:p>
    <w:p>
      <w:pPr>
        <w:pStyle w:val="BodyText"/>
        <w:rPr/>
      </w:pPr>
      <w:r>
        <w:rPr>
          <w:b/>
        </w:rPr>
        <w:t>8.</w:t>
      </w:r>
      <w:r>
        <w:rPr/>
        <w:t xml:space="preserve"> El Código Seguro de Verificación (CSV) permite:</w:t>
      </w:r>
    </w:p>
    <w:p>
      <w:pPr>
        <w:pStyle w:val="BodyText"/>
        <w:rPr/>
      </w:pPr>
      <w:r>
        <w:rPr/>
        <w:t>   </w:t>
      </w:r>
      <w:r>
        <w:rPr/>
        <w:t>a) Cifrar el documento</w:t>
      </w:r>
    </w:p>
    <w:p>
      <w:pPr>
        <w:pStyle w:val="BodyText"/>
        <w:rPr/>
      </w:pPr>
      <w:r>
        <w:rPr/>
        <w:t>   </w:t>
      </w:r>
      <w:r>
        <w:rPr/>
        <w:t>b) Comprobar en la sede electrónica la integridad y autenticidad de una copia mediante un código único vinculado al documento</w:t>
      </w:r>
    </w:p>
    <w:p>
      <w:pPr>
        <w:pStyle w:val="BodyText"/>
        <w:rPr/>
      </w:pPr>
      <w:r>
        <w:rPr/>
        <w:t>   </w:t>
      </w:r>
      <w:r>
        <w:rPr/>
        <w:t>c) Firmar con DNIe</w:t>
      </w:r>
    </w:p>
    <w:p>
      <w:pPr>
        <w:pStyle w:val="BodyText"/>
        <w:rPr/>
      </w:pPr>
      <w:r>
        <w:rPr/>
        <w:t>   </w:t>
      </w:r>
      <w:r>
        <w:rPr/>
        <w:t>d) Identificarse en Cl@ve</w:t>
      </w:r>
    </w:p>
    <w:p>
      <w:pPr>
        <w:pStyle w:val="BodyText"/>
        <w:rPr/>
      </w:pPr>
      <w:r>
        <w:rPr>
          <w:b/>
        </w:rPr>
        <w:t>Tema 8 · ENS</w:t>
      </w:r>
    </w:p>
    <w:p>
      <w:pPr>
        <w:pStyle w:val="BodyText"/>
        <w:rPr/>
      </w:pPr>
      <w:r>
        <w:rPr>
          <w:b/>
        </w:rPr>
        <w:t>9.</w:t>
      </w:r>
      <w:r>
        <w:rPr/>
        <w:t xml:space="preserve"> El Esquema Nacional de Seguridad (RD 311/2022) clasifica los sistemas en categorías:</w:t>
      </w:r>
    </w:p>
    <w:p>
      <w:pPr>
        <w:pStyle w:val="BodyText"/>
        <w:rPr/>
      </w:pPr>
      <w:r>
        <w:rPr/>
        <w:t>   </w:t>
      </w:r>
      <w:r>
        <w:rPr/>
        <w:t>a) A, B y C</w:t>
      </w:r>
    </w:p>
    <w:p>
      <w:pPr>
        <w:pStyle w:val="BodyText"/>
        <w:rPr/>
      </w:pPr>
      <w:r>
        <w:rPr/>
        <w:t>   </w:t>
      </w:r>
      <w:r>
        <w:rPr/>
        <w:t>b) Básica, media y alta, según el impacto de un incidente en las dimensiones de seguridad</w:t>
      </w:r>
    </w:p>
    <w:p>
      <w:pPr>
        <w:pStyle w:val="BodyText"/>
        <w:rPr/>
      </w:pPr>
      <w:r>
        <w:rPr/>
        <w:t>   </w:t>
      </w:r>
      <w:r>
        <w:rPr/>
        <w:t>c) Confidencial, secreto y alto secreto</w:t>
      </w:r>
    </w:p>
    <w:p>
      <w:pPr>
        <w:pStyle w:val="BodyText"/>
        <w:rPr/>
      </w:pPr>
      <w:r>
        <w:rPr/>
        <w:t>   </w:t>
      </w:r>
      <w:r>
        <w:rPr/>
        <w:t>d) 1 a 5</w:t>
      </w:r>
    </w:p>
    <w:p>
      <w:pPr>
        <w:pStyle w:val="BodyText"/>
        <w:rPr/>
      </w:pPr>
      <w:r>
        <w:rPr>
          <w:b/>
        </w:rPr>
        <w:t>10.</w:t>
      </w:r>
      <w:r>
        <w:rPr/>
        <w:t xml:space="preserve"> Las cinco dimensiones de seguridad del ENS son:</w:t>
      </w:r>
    </w:p>
    <w:p>
      <w:pPr>
        <w:pStyle w:val="BodyText"/>
        <w:rPr/>
      </w:pPr>
      <w:r>
        <w:rPr/>
        <w:t>   </w:t>
      </w:r>
      <w:r>
        <w:rPr/>
        <w:t>a) CIA: confidencialidad, integridad y disponibilidad</w:t>
      </w:r>
    </w:p>
    <w:p>
      <w:pPr>
        <w:pStyle w:val="BodyText"/>
        <w:rPr/>
      </w:pPr>
      <w:r>
        <w:rPr/>
        <w:t>   </w:t>
      </w:r>
      <w:r>
        <w:rPr/>
        <w:t>b) Confidencialidad, integridad, disponibilidad, autenticidad y trazabilidad (ACIDT)</w:t>
      </w:r>
    </w:p>
    <w:p>
      <w:pPr>
        <w:pStyle w:val="BodyText"/>
        <w:rPr/>
      </w:pPr>
      <w:r>
        <w:rPr/>
        <w:t>   </w:t>
      </w:r>
      <w:r>
        <w:rPr/>
        <w:t>c) Prevención, detección, respuesta, recuperación y mejora</w:t>
      </w:r>
    </w:p>
    <w:p>
      <w:pPr>
        <w:pStyle w:val="BodyText"/>
        <w:rPr/>
      </w:pPr>
      <w:r>
        <w:rPr/>
        <w:t>   </w:t>
      </w:r>
      <w:r>
        <w:rPr/>
        <w:t>d) Física, lógica, organizativa, legal y técnica</w:t>
      </w:r>
    </w:p>
    <w:p>
      <w:pPr>
        <w:pStyle w:val="BodyText"/>
        <w:rPr/>
      </w:pPr>
      <w:r>
        <w:rPr>
          <w:b/>
        </w:rPr>
        <w:t>11.</w:t>
      </w:r>
      <w:r>
        <w:rPr/>
        <w:t xml:space="preserve"> Entre los principios básicos del ENS (RD 311/2022) figuran:</w:t>
      </w:r>
    </w:p>
    <w:p>
      <w:pPr>
        <w:pStyle w:val="BodyText"/>
        <w:rPr/>
      </w:pPr>
      <w:r>
        <w:rPr/>
        <w:t>   </w:t>
      </w:r>
      <w:r>
        <w:rPr/>
        <w:t>a) Seguridad integral, gestión de riesgos, prevención-detección-respuesta, líneas de defensa, vigilancia continua y reevaluación periódica</w:t>
      </w:r>
    </w:p>
    <w:p>
      <w:pPr>
        <w:pStyle w:val="BodyText"/>
        <w:rPr/>
      </w:pPr>
      <w:r>
        <w:rPr/>
        <w:t>   </w:t>
      </w:r>
      <w:r>
        <w:rPr/>
        <w:t>b) Solo el análisis de riesgos</w:t>
      </w:r>
    </w:p>
    <w:p>
      <w:pPr>
        <w:pStyle w:val="BodyText"/>
        <w:rPr/>
      </w:pPr>
      <w:r>
        <w:rPr/>
        <w:t>   </w:t>
      </w:r>
      <w:r>
        <w:rPr/>
        <w:t>c) La certificación ISO 27001 obligatoria</w:t>
      </w:r>
    </w:p>
    <w:p>
      <w:pPr>
        <w:pStyle w:val="BodyText"/>
        <w:rPr/>
      </w:pPr>
      <w:r>
        <w:rPr/>
        <w:t>   </w:t>
      </w:r>
      <w:r>
        <w:rPr/>
        <w:t>d) El cifrado universal de datos</w:t>
      </w:r>
    </w:p>
    <w:p>
      <w:pPr>
        <w:pStyle w:val="BodyText"/>
        <w:rPr/>
      </w:pPr>
      <w:r>
        <w:rPr>
          <w:b/>
        </w:rPr>
        <w:t>12.</w:t>
      </w:r>
      <w:r>
        <w:rPr/>
        <w:t xml:space="preserve"> La conformidad con el ENS de un sistema de categoría MEDIA o ALTA se acredita mediante:</w:t>
      </w:r>
    </w:p>
    <w:p>
      <w:pPr>
        <w:pStyle w:val="BodyText"/>
        <w:rPr/>
      </w:pPr>
      <w:r>
        <w:rPr/>
        <w:t>   </w:t>
      </w:r>
      <w:r>
        <w:rPr/>
        <w:t>a) Autodeclaración del organismo</w:t>
      </w:r>
    </w:p>
    <w:p>
      <w:pPr>
        <w:pStyle w:val="BodyText"/>
        <w:rPr/>
      </w:pPr>
      <w:r>
        <w:rPr/>
        <w:t>   </w:t>
      </w:r>
      <w:r>
        <w:rPr/>
        <w:t>b) Certificación por entidad acreditada, exhibiendo el distintivo correspondiente</w:t>
      </w:r>
    </w:p>
    <w:p>
      <w:pPr>
        <w:pStyle w:val="BodyText"/>
        <w:rPr/>
      </w:pPr>
      <w:r>
        <w:rPr/>
        <w:t>   </w:t>
      </w:r>
      <w:r>
        <w:rPr/>
        <w:t>c) Un correo al CCN</w:t>
      </w:r>
    </w:p>
    <w:p>
      <w:pPr>
        <w:pStyle w:val="BodyText"/>
        <w:rPr/>
      </w:pPr>
      <w:r>
        <w:rPr/>
        <w:t>   </w:t>
      </w:r>
      <w:r>
        <w:rPr/>
        <w:t>d) No requiere acreditación</w:t>
      </w:r>
    </w:p>
    <w:p>
      <w:pPr>
        <w:pStyle w:val="BodyText"/>
        <w:rPr/>
      </w:pPr>
      <w:r>
        <w:rPr>
          <w:b/>
        </w:rPr>
        <w:t>Tema 8 · ENI</w:t>
      </w:r>
    </w:p>
    <w:p>
      <w:pPr>
        <w:pStyle w:val="BodyText"/>
        <w:rPr/>
      </w:pPr>
      <w:r>
        <w:rPr>
          <w:b/>
        </w:rPr>
        <w:t>13.</w:t>
      </w:r>
      <w:r>
        <w:rPr/>
        <w:t xml:space="preserve"> El Esquema Nacional de Interoperabilidad (RD 4/2010) contempla la interoperabilidad en las dimensiones:</w:t>
      </w:r>
    </w:p>
    <w:p>
      <w:pPr>
        <w:pStyle w:val="BodyText"/>
        <w:rPr/>
      </w:pPr>
      <w:r>
        <w:rPr/>
        <w:t>   </w:t>
      </w:r>
      <w:r>
        <w:rPr/>
        <w:t>a) Física, lógica y virtual</w:t>
      </w:r>
    </w:p>
    <w:p>
      <w:pPr>
        <w:pStyle w:val="BodyText"/>
        <w:rPr/>
      </w:pPr>
      <w:r>
        <w:rPr/>
        <w:t>   </w:t>
      </w:r>
      <w:r>
        <w:rPr/>
        <w:t>b) Organizativa, semántica y técnica</w:t>
      </w:r>
    </w:p>
    <w:p>
      <w:pPr>
        <w:pStyle w:val="BodyText"/>
        <w:rPr/>
      </w:pPr>
      <w:r>
        <w:rPr/>
        <w:t>   </w:t>
      </w:r>
      <w:r>
        <w:rPr/>
        <w:t>c) Nacional, autonómica y local</w:t>
      </w:r>
    </w:p>
    <w:p>
      <w:pPr>
        <w:pStyle w:val="BodyText"/>
        <w:rPr/>
      </w:pPr>
      <w:r>
        <w:rPr/>
        <w:t>   </w:t>
      </w:r>
      <w:r>
        <w:rPr/>
        <w:t>d) Interna y externa</w:t>
      </w:r>
    </w:p>
    <w:p>
      <w:pPr>
        <w:pStyle w:val="BodyText"/>
        <w:rPr/>
      </w:pPr>
      <w:r>
        <w:rPr>
          <w:b/>
        </w:rPr>
        <w:t>14.</w:t>
      </w:r>
      <w:r>
        <w:rPr/>
        <w:t xml:space="preserve"> Las Normas Técnicas de Interoperabilidad (NTI) regulan, entre otros:</w:t>
      </w:r>
    </w:p>
    <w:p>
      <w:pPr>
        <w:pStyle w:val="BodyText"/>
        <w:rPr/>
      </w:pPr>
      <w:r>
        <w:rPr/>
        <w:t>   </w:t>
      </w:r>
      <w:r>
        <w:rPr/>
        <w:t>a) Los sueldos de los funcionarios</w:t>
      </w:r>
    </w:p>
    <w:p>
      <w:pPr>
        <w:pStyle w:val="BodyText"/>
        <w:rPr/>
      </w:pPr>
      <w:r>
        <w:rPr/>
        <w:t>   </w:t>
      </w:r>
      <w:r>
        <w:rPr/>
        <w:t>b) Documento y expediente electrónicos, digitalización, copiado auténtico y conversión, política de firma, catálogo de estándares y reutilización de recursos</w:t>
      </w:r>
    </w:p>
    <w:p>
      <w:pPr>
        <w:pStyle w:val="BodyText"/>
        <w:rPr/>
      </w:pPr>
      <w:r>
        <w:rPr/>
        <w:t>   </w:t>
      </w:r>
      <w:r>
        <w:rPr/>
        <w:t>c) El diseño de los edificios administrativos</w:t>
      </w:r>
    </w:p>
    <w:p>
      <w:pPr>
        <w:pStyle w:val="BodyText"/>
        <w:rPr/>
      </w:pPr>
      <w:r>
        <w:rPr/>
        <w:t>   </w:t>
      </w:r>
      <w:r>
        <w:rPr/>
        <w:t>d) Las oposiciones</w:t>
      </w:r>
    </w:p>
    <w:p>
      <w:pPr>
        <w:pStyle w:val="BodyText"/>
        <w:rPr/>
      </w:pPr>
      <w:r>
        <w:rPr>
          <w:b/>
        </w:rPr>
        <w:t>Tema 9 · Infraestructuras comunes</w:t>
      </w:r>
    </w:p>
    <w:p>
      <w:pPr>
        <w:pStyle w:val="BodyText"/>
        <w:rPr/>
      </w:pPr>
      <w:r>
        <w:rPr>
          <w:b/>
        </w:rPr>
        <w:t>15.</w:t>
      </w:r>
      <w:r>
        <w:rPr/>
        <w:t xml:space="preserve"> La Red SARA es:</w:t>
      </w:r>
    </w:p>
    <w:p>
      <w:pPr>
        <w:pStyle w:val="BodyText"/>
        <w:rPr/>
      </w:pPr>
      <w:r>
        <w:rPr/>
        <w:t>   </w:t>
      </w:r>
      <w:r>
        <w:rPr/>
        <w:t>a) Una red social corporativa</w:t>
      </w:r>
    </w:p>
    <w:p>
      <w:pPr>
        <w:pStyle w:val="BodyText"/>
        <w:rPr/>
      </w:pPr>
      <w:r>
        <w:rPr/>
        <w:t>   </w:t>
      </w:r>
      <w:r>
        <w:rPr/>
        <w:t>b) La infraestructura que interconecta las redes de las Administraciones públicas españolas y las conecta con las instituciones europeas (sTESTA)</w:t>
      </w:r>
    </w:p>
    <w:p>
      <w:pPr>
        <w:pStyle w:val="BodyText"/>
        <w:rPr/>
      </w:pPr>
      <w:r>
        <w:rPr/>
        <w:t>   </w:t>
      </w:r>
      <w:r>
        <w:rPr/>
        <w:t>c) El WiFi de los ministerios</w:t>
      </w:r>
    </w:p>
    <w:p>
      <w:pPr>
        <w:pStyle w:val="BodyText"/>
        <w:rPr/>
      </w:pPr>
      <w:r>
        <w:rPr/>
        <w:t>   </w:t>
      </w:r>
      <w:r>
        <w:rPr/>
        <w:t>d) Un sistema de videoconferencia</w:t>
      </w:r>
    </w:p>
    <w:p>
      <w:pPr>
        <w:pStyle w:val="BodyText"/>
        <w:rPr/>
      </w:pPr>
      <w:r>
        <w:rPr>
          <w:b/>
        </w:rPr>
        <w:t>16.</w:t>
      </w:r>
      <w:r>
        <w:rPr/>
        <w:t xml:space="preserve"> La Plataforma de Intermediación de Datos (PID) permite:</w:t>
      </w:r>
    </w:p>
    <w:p>
      <w:pPr>
        <w:pStyle w:val="BodyText"/>
        <w:rPr/>
      </w:pPr>
      <w:r>
        <w:rPr/>
        <w:t>   </w:t>
      </w:r>
      <w:r>
        <w:rPr/>
        <w:t>a) Vender datos a empresas</w:t>
      </w:r>
    </w:p>
    <w:p>
      <w:pPr>
        <w:pStyle w:val="BodyText"/>
        <w:rPr/>
      </w:pPr>
      <w:r>
        <w:rPr/>
        <w:t>   </w:t>
      </w:r>
      <w:r>
        <w:rPr/>
        <w:t>b) Que las AAPP consulten y verifiquen datos de otros organismos (identidad, residencia, títulos, prestaciones…) para no exigir al ciudadano documentos que ya obran en poder de la Administración</w:t>
      </w:r>
    </w:p>
    <w:p>
      <w:pPr>
        <w:pStyle w:val="BodyText"/>
        <w:rPr/>
      </w:pPr>
      <w:r>
        <w:rPr/>
        <w:t>   </w:t>
      </w:r>
      <w:r>
        <w:rPr/>
        <w:t>c) Publicar datos abiertos</w:t>
      </w:r>
    </w:p>
    <w:p>
      <w:pPr>
        <w:pStyle w:val="BodyText"/>
        <w:rPr/>
      </w:pPr>
      <w:r>
        <w:rPr/>
        <w:t>   </w:t>
      </w:r>
      <w:r>
        <w:rPr/>
        <w:t>d) Intercambiar correos</w:t>
      </w:r>
    </w:p>
    <w:p>
      <w:pPr>
        <w:pStyle w:val="BodyText"/>
        <w:rPr/>
      </w:pPr>
      <w:r>
        <w:rPr>
          <w:b/>
        </w:rPr>
        <w:t>17.</w:t>
      </w:r>
      <w:r>
        <w:rPr/>
        <w:t xml:space="preserve"> El Sistema de Interconexión de Registros (SIR) sirve para:</w:t>
      </w:r>
    </w:p>
    <w:p>
      <w:pPr>
        <w:pStyle w:val="BodyText"/>
        <w:rPr/>
      </w:pPr>
      <w:r>
        <w:rPr/>
        <w:t>   </w:t>
      </w:r>
      <w:r>
        <w:rPr/>
        <w:t>a) Registrar dominios .es</w:t>
      </w:r>
    </w:p>
    <w:p>
      <w:pPr>
        <w:pStyle w:val="BodyText"/>
        <w:rPr/>
      </w:pPr>
      <w:r>
        <w:rPr/>
        <w:t>   </w:t>
      </w:r>
      <w:r>
        <w:rPr/>
        <w:t>b) Intercambiar asientos registrales electrónicos entre las oficinas de registro de las distintas AAPP (con aplicaciones como GEISER u ORVE)</w:t>
      </w:r>
    </w:p>
    <w:p>
      <w:pPr>
        <w:pStyle w:val="BodyText"/>
        <w:rPr/>
      </w:pPr>
      <w:r>
        <w:rPr/>
        <w:t>   </w:t>
      </w:r>
      <w:r>
        <w:rPr/>
        <w:t>c) Inscribir opositores</w:t>
      </w:r>
    </w:p>
    <w:p>
      <w:pPr>
        <w:pStyle w:val="BodyText"/>
        <w:rPr/>
      </w:pPr>
      <w:r>
        <w:rPr/>
        <w:t>   </w:t>
      </w:r>
      <w:r>
        <w:rPr/>
        <w:t>d) Registrar marcas</w:t>
      </w:r>
    </w:p>
    <w:p>
      <w:pPr>
        <w:pStyle w:val="BodyText"/>
        <w:rPr/>
      </w:pPr>
      <w:r>
        <w:rPr>
          <w:b/>
        </w:rPr>
        <w:t>18.</w:t>
      </w:r>
      <w:r>
        <w:rPr/>
        <w:t xml:space="preserve"> La DEHú es:</w:t>
      </w:r>
    </w:p>
    <w:p>
      <w:pPr>
        <w:pStyle w:val="BodyText"/>
        <w:rPr/>
      </w:pPr>
      <w:r>
        <w:rPr/>
        <w:t>   </w:t>
      </w:r>
      <w:r>
        <w:rPr/>
        <w:t>a) Una base de datos de huellas</w:t>
      </w:r>
    </w:p>
    <w:p>
      <w:pPr>
        <w:pStyle w:val="BodyText"/>
        <w:rPr/>
      </w:pPr>
      <w:r>
        <w:rPr/>
        <w:t>   </w:t>
      </w:r>
      <w:r>
        <w:rPr/>
        <w:t>b) La Dirección Electrónica Habilitada única: el punto donde los interesados acceden a las notificaciones electrónicas de las AAPP adheridas</w:t>
      </w:r>
    </w:p>
    <w:p>
      <w:pPr>
        <w:pStyle w:val="BodyText"/>
        <w:rPr/>
      </w:pPr>
      <w:r>
        <w:rPr/>
        <w:t>   </w:t>
      </w:r>
      <w:r>
        <w:rPr/>
        <w:t>c) El registro de funcionarios habilitados</w:t>
      </w:r>
    </w:p>
    <w:p>
      <w:pPr>
        <w:pStyle w:val="BodyText"/>
        <w:rPr/>
      </w:pPr>
      <w:r>
        <w:rPr/>
        <w:t>   </w:t>
      </w:r>
      <w:r>
        <w:rPr/>
        <w:t>d) Un tipo de certificado</w:t>
      </w:r>
    </w:p>
    <w:p>
      <w:pPr>
        <w:pStyle w:val="BodyText"/>
        <w:rPr/>
      </w:pPr>
      <w:r>
        <w:rPr>
          <w:b/>
        </w:rPr>
        <w:t>19.</w:t>
      </w:r>
      <w:r>
        <w:rPr/>
        <w:t xml:space="preserve"> FACe es:</w:t>
      </w:r>
    </w:p>
    <w:p>
      <w:pPr>
        <w:pStyle w:val="BodyText"/>
        <w:rPr/>
      </w:pPr>
      <w:r>
        <w:rPr/>
        <w:t>   </w:t>
      </w:r>
      <w:r>
        <w:rPr/>
        <w:t>a) El sistema de reconocimiento facial de la Policía</w:t>
      </w:r>
    </w:p>
    <w:p>
      <w:pPr>
        <w:pStyle w:val="BodyText"/>
        <w:rPr/>
      </w:pPr>
      <w:r>
        <w:rPr/>
        <w:t>   </w:t>
      </w:r>
      <w:r>
        <w:rPr/>
        <w:t>b) El Punto General de Entrada de Facturas Electrónicas de la AGE (formato Facturae)</w:t>
      </w:r>
    </w:p>
    <w:p>
      <w:pPr>
        <w:pStyle w:val="BodyText"/>
        <w:rPr/>
      </w:pPr>
      <w:r>
        <w:rPr/>
        <w:t>   </w:t>
      </w:r>
      <w:r>
        <w:rPr/>
        <w:t>c) Una red social pública</w:t>
      </w:r>
    </w:p>
    <w:p>
      <w:pPr>
        <w:pStyle w:val="BodyText"/>
        <w:rPr/>
      </w:pPr>
      <w:r>
        <w:rPr/>
        <w:t>   </w:t>
      </w:r>
      <w:r>
        <w:rPr/>
        <w:t>d) El buscador del BOE</w:t>
      </w:r>
    </w:p>
    <w:p>
      <w:pPr>
        <w:pStyle w:val="BodyText"/>
        <w:rPr/>
      </w:pPr>
      <w:r>
        <w:rPr>
          <w:b/>
        </w:rPr>
        <w:t>20.</w:t>
      </w:r>
      <w:r>
        <w:rPr/>
        <w:t xml:space="preserve"> El Punto de Acceso General electrónico de la AGE es:</w:t>
      </w:r>
    </w:p>
    <w:p>
      <w:pPr>
        <w:pStyle w:val="BodyText"/>
        <w:rPr/>
      </w:pPr>
      <w:r>
        <w:rPr/>
        <w:t>   </w:t>
      </w:r>
      <w:r>
        <w:rPr/>
        <w:t>a) boe.es</w:t>
      </w:r>
    </w:p>
    <w:p>
      <w:pPr>
        <w:pStyle w:val="BodyText"/>
        <w:rPr/>
      </w:pPr>
      <w:r>
        <w:rPr/>
        <w:t>   </w:t>
      </w:r>
      <w:r>
        <w:rPr/>
        <w:t>b) administracion.gob.es, puerta de entrada a información, sedes y trámites de las AAPP (con la Carpeta Ciudadana)</w:t>
      </w:r>
    </w:p>
    <w:p>
      <w:pPr>
        <w:pStyle w:val="BodyText"/>
        <w:rPr/>
      </w:pPr>
      <w:r>
        <w:rPr/>
        <w:t>   </w:t>
      </w:r>
      <w:r>
        <w:rPr/>
        <w:t>c) clave.gob.es</w:t>
      </w:r>
    </w:p>
    <w:p>
      <w:pPr>
        <w:pStyle w:val="BodyText"/>
        <w:rPr/>
      </w:pPr>
      <w:r>
        <w:rPr/>
        <w:t>   </w:t>
      </w:r>
      <w:r>
        <w:rPr/>
        <w:t>d) 060.es</w:t>
      </w:r>
    </w:p>
    <w:p>
      <w:pPr>
        <w:pStyle w:val="Heading2"/>
        <w:rPr/>
      </w:pPr>
      <w:bookmarkStart w:id="10" w:name="soluciones-razonadas"/>
      <w:r>
        <w:rPr/>
        <w:t>Soluciones razonadas</w:t>
      </w:r>
      <w:bookmarkEnd w:id="10"/>
    </w:p>
    <w:p>
      <w:pPr>
        <w:pStyle w:val="FirstParagraph"/>
        <w:rPr/>
      </w:pPr>
      <w:r>
        <w:rPr>
          <w:b/>
        </w:rPr>
        <w:t>1. b) Personas jurídicas, entidades sin personalidad, profesionales de colegiación obligatoria, empleados públicos (para trámites con su Administración) y representantes de obligados.</w:t>
      </w:r>
      <w:r>
        <w:rPr/>
        <w:t xml:space="preserve"> Las personas físicas tienen DERECHO A ELEGIR canal (salvo que reglamentariamente se les obligue por capacidad acreditada). La lista de obligados del art. 14.2 es de las preguntas más repetidas de administración electrónica.</w:t>
      </w:r>
    </w:p>
    <w:p>
      <w:pPr>
        <w:pStyle w:val="BodyText"/>
        <w:rPr/>
      </w:pPr>
      <w:r>
        <w:rPr>
          <w:b/>
        </w:rPr>
        <w:t>2. b) RD 203/2021.</w:t>
      </w:r>
      <w:r>
        <w:rPr/>
        <w:t xml:space="preserve"> El RD 203/2021 desarrolla las leyes 39 y 40/2015 en materia electrónica: sedes, registros, notificaciones, identificación y firma. No confundir con el ENS (311/2022), el ENI (4/2010) ni la accesibilidad (1112/2018): cuatro reales decretos que el tribunal baraja entre sí.</w:t>
      </w:r>
    </w:p>
    <w:p>
      <w:pPr>
        <w:pStyle w:val="BodyText"/>
        <w:rPr/>
      </w:pPr>
      <w:r>
        <w:rPr>
          <w:b/>
        </w:rPr>
        <w:t>3. b) Es una dirección electrónica cuya titularidad corresponde a una AP, con responsabilidad sobre la integridad, veracidad y actualización de su contenido, donde se realizan trámites con plena validez.</w:t>
      </w:r>
      <w:r>
        <w:rPr/>
        <w:t xml:space="preserve"> El portal informa; la sede TRAMITA con garantías (identificación mediante certificado cualificado de sede, responsabilidad del titular). El binomio sede/portal es pregunta directa habitual.</w:t>
      </w:r>
    </w:p>
    <w:p>
      <w:pPr>
        <w:pStyle w:val="BodyText"/>
        <w:rPr/>
      </w:pPr>
      <w:r>
        <w:rPr>
          <w:b/>
        </w:rPr>
        <w:t>4. b) Transcurren 10 días naturales desde la puesta a disposición sin acceder a su contenido.</w:t>
      </w:r>
      <w:r>
        <w:rPr/>
        <w:t xml:space="preserve"> Art. 43.2 Ley 39/2015: 10 días NATURALES; el rechazo da por efectuado el trámite y el procedimiento sigue. La comparecencia en sede (o DEHú) es el momento de la notificación. El «10 naturales» frente a «hábiles» es la trampa estándar.</w:t>
      </w:r>
    </w:p>
    <w:p>
      <w:pPr>
        <w:pStyle w:val="BodyText"/>
        <w:rPr/>
      </w:pPr>
      <w:r>
        <w:rPr>
          <w:b/>
        </w:rPr>
        <w:t>5. b) Se entiende presentado a primera hora del primer día hábil siguiente (salvo norma que permita expresamente otra cosa).</w:t>
      </w:r>
      <w:r>
        <w:rPr/>
        <w:t xml:space="preserve"> El registro electrónico admite documentos las 24 horas de todos los días del año, pero a efectos de cómputo de plazos la presentación en inhábil se traslada al primer hábil siguiente (art. 31 Ley 39/2015).</w:t>
      </w:r>
    </w:p>
    <w:p>
      <w:pPr>
        <w:pStyle w:val="BodyText"/>
        <w:rPr/>
      </w:pPr>
      <w:r>
        <w:rPr>
          <w:b/>
        </w:rPr>
        <w:t>6. b) Todos los documentos electrónicos de procedimientos finalizados, en un formato que garantice autenticidad, integridad y conservación (con migración periódica).</w:t>
      </w:r>
      <w:r>
        <w:rPr/>
        <w:t xml:space="preserve"> Art. 17: archivo electrónico único por Administración para expedientes finalizados; los formatos de conservación (PDF/A) y las migraciones enlazan con las NTI y con lo que ya sabes del Bloque II.</w:t>
      </w:r>
    </w:p>
    <w:p>
      <w:pPr>
        <w:pStyle w:val="BodyText"/>
        <w:rPr/>
      </w:pPr>
      <w:r>
        <w:rPr>
          <w:b/>
        </w:rPr>
        <w:t>7. b) Realizarse íntegramente por medios electrónicos sin intervención directa de empleado público, firmándose con sello electrónico o CSV.</w:t>
      </w:r>
      <w:r>
        <w:rPr/>
        <w:t xml:space="preserve"> Ejemplos reales: emisión de certificados tributarios o recibos de registro. Debe establecerse previamente el órgano responsable a efectos de impugnación. Firma: sello electrónico de AP o código seguro de verificación.</w:t>
      </w:r>
    </w:p>
    <w:p>
      <w:pPr>
        <w:pStyle w:val="BodyText"/>
        <w:rPr/>
      </w:pPr>
      <w:r>
        <w:rPr>
          <w:b/>
        </w:rPr>
        <w:t>8. b) Comprobar en la sede electrónica la integridad y autenticidad de una copia mediante un código único vinculado al documento.</w:t>
      </w:r>
      <w:r>
        <w:rPr/>
        <w:t xml:space="preserve"> Con el CSV impreso en el papel, cualquiera coteja la copia con el original electrónico en la sede: es la base de las copias auténticas y de la firma en la actuación automatizada.</w:t>
      </w:r>
    </w:p>
    <w:p>
      <w:pPr>
        <w:pStyle w:val="BodyText"/>
        <w:rPr/>
      </w:pPr>
      <w:r>
        <w:rPr>
          <w:b/>
        </w:rPr>
        <w:t>9. b) Básica, media y alta, según el impacto de un incidente en las dimensiones de seguridad.</w:t>
      </w:r>
      <w:r>
        <w:rPr/>
        <w:t xml:space="preserve"> La categoría se determina por el mayor nivel (bajo/medio/alto) alcanzado en cualquiera de las cinco dimensiones, y de ella dependen las medidas de seguridad del Anexo II aplicables al sistema.</w:t>
      </w:r>
    </w:p>
    <w:p>
      <w:pPr>
        <w:pStyle w:val="BodyText"/>
        <w:rPr/>
      </w:pPr>
      <w:r>
        <w:rPr>
          <w:b/>
        </w:rPr>
        <w:t>10. b) Confidencialidad, integridad, disponibilidad, autenticidad y trazabilidad (ACIDT).</w:t>
      </w:r>
      <w:r>
        <w:rPr/>
        <w:t xml:space="preserve"> El ENS amplía la tríada CIA con autenticidad y trazabilidad. Mnemotecnia ACIDT. Las preguntas suelen pedir «la que NO es dimensión ENS»: cualquier término de la opción c) (que son principios/fases, no dimensiones).</w:t>
      </w:r>
    </w:p>
    <w:p>
      <w:pPr>
        <w:pStyle w:val="BodyText"/>
        <w:rPr/>
      </w:pPr>
      <w:r>
        <w:rPr>
          <w:b/>
        </w:rPr>
        <w:t>11. a) Seguridad integral, gestión de riesgos, prevención-detección-respuesta, líneas de defensa, vigilancia continua y reevaluación periódica.</w:t>
      </w:r>
      <w:r>
        <w:rPr/>
        <w:t xml:space="preserve"> Más la diferenciación de responsabilidades (responsable de información/servicio/seguridad/sistema, roles distintos). La conformidad se acredita con Declaración (categoría básica) o Certificación (media y alta) publicadas en sede — dato que también cae.</w:t>
      </w:r>
    </w:p>
    <w:p>
      <w:pPr>
        <w:pStyle w:val="BodyText"/>
        <w:rPr/>
      </w:pPr>
      <w:r>
        <w:rPr>
          <w:b/>
        </w:rPr>
        <w:t>12. b) Certificación por entidad acreditada, exhibiendo el distintivo correspondiente.</w:t>
      </w:r>
      <w:r>
        <w:rPr/>
        <w:t xml:space="preserve"> Básica: basta la autodeclaración (Declaración de Conformidad); media y alta: Certificación de Conformidad por entidad de certificación acreditada. El CCN (Centro Criptológico Nacional) publica las guías CCN-STIC y opera el CCN-CERT — organismos que conviene ubicar.</w:t>
      </w:r>
    </w:p>
    <w:p>
      <w:pPr>
        <w:pStyle w:val="BodyText"/>
        <w:rPr/>
      </w:pPr>
      <w:r>
        <w:rPr>
          <w:b/>
        </w:rPr>
        <w:t>13. b) Organizativa, semántica y técnica.</w:t>
      </w:r>
      <w:r>
        <w:rPr/>
        <w:t xml:space="preserve"> Organizativa (procedimientos y acuerdos), semántica (los datos significan lo mismo para todos: modelos de datos comunes) y técnica (estándares y protocolos). Se desarrolla mediante las Normas Técnicas de Interoperabilidad (NTI).</w:t>
      </w:r>
    </w:p>
    <w:p>
      <w:pPr>
        <w:pStyle w:val="BodyText"/>
        <w:rPr/>
      </w:pPr>
      <w:r>
        <w:rPr>
          <w:b/>
        </w:rPr>
        <w:t>14. b) Documento y expediente electrónicos, digitalización, copiado auténtico y conversión, política de firma, catálogo de estándares y reutilización de recursos.</w:t>
      </w:r>
      <w:r>
        <w:rPr/>
        <w:t xml:space="preserve"> Las NTI son el desarrollo práctico del ENI: definen los metadatos mínimos del documento-e, el foliado del expediente-e (índice firmado), los requisitos de digitalización certificada… Enlazan con PDF/A y OCR del Bloque II.</w:t>
      </w:r>
    </w:p>
    <w:p>
      <w:pPr>
        <w:pStyle w:val="BodyText"/>
        <w:rPr/>
      </w:pPr>
      <w:r>
        <w:rPr>
          <w:b/>
        </w:rPr>
        <w:t>15. b) La infraestructura que interconecta las redes de las Administraciones públicas españolas y las conecta con las instituciones europeas (sTESTA).</w:t>
      </w:r>
      <w:r>
        <w:rPr/>
        <w:t xml:space="preserve"> Sistema de Aplicaciones y Redes para las Administraciones: transporte común y seguro sobre el que viajan los servicios compartidos (intermediación, notificaciones, SIR…). Es «la autopista» de la administración electrónica española.</w:t>
      </w:r>
    </w:p>
    <w:p>
      <w:pPr>
        <w:pStyle w:val="BodyText"/>
        <w:rPr/>
      </w:pPr>
      <w:r>
        <w:rPr>
          <w:b/>
        </w:rPr>
        <w:t>16. b) Que las AAPP consulten y verifiquen datos de otros organismos (identidad, residencia, títulos, prestaciones…) para no exigir al ciudadano documentos que ya obran en poder de la Administración.</w:t>
      </w:r>
      <w:r>
        <w:rPr/>
        <w:t xml:space="preserve"> Materializa el derecho del art. 28 de la Ley 39/2015 a no aportar documentos ya en poder de las AAPP: sustituye el «tráigame el certificado de empadronamiento» por una consulta electrónica con consentimiento/amparo legal.</w:t>
      </w:r>
    </w:p>
    <w:p>
      <w:pPr>
        <w:pStyle w:val="BodyText"/>
        <w:rPr/>
      </w:pPr>
      <w:r>
        <w:rPr>
          <w:b/>
        </w:rPr>
        <w:t>17. b) Intercambiar asientos registrales electrónicos entre las oficinas de registro de las distintas AAPP (con aplicaciones como GEISER u ORVE).</w:t>
      </w:r>
      <w:r>
        <w:rPr/>
        <w:t xml:space="preserve"> Con SIR, un documento presentado en el registro de un ayuntamiento llega electrónicamente al ministerio competente sin viajar en papel. GEISER (aplicación integral de registro) y ORVE (oficina virtual) son sus herramientas — siglas muy preguntadas.</w:t>
      </w:r>
    </w:p>
    <w:p>
      <w:pPr>
        <w:pStyle w:val="BodyText"/>
        <w:rPr/>
      </w:pPr>
      <w:r>
        <w:rPr>
          <w:b/>
        </w:rPr>
        <w:t>18. b) La Dirección Electrónica Habilitada única: el punto donde los interesados acceden a las notificaciones electrónicas de las AAPP adheridas.</w:t>
      </w:r>
      <w:r>
        <w:rPr/>
        <w:t xml:space="preserve"> La DEHú (notificaciones.060.es) concentra la puesta a disposición de notificaciones (servicio Notific@ como emisor). El registro de funcionarios habilitados es otra cosa: personal que asiste a ciudadanos no obligados en medios electrónicos — ambos caen.</w:t>
      </w:r>
    </w:p>
    <w:p>
      <w:pPr>
        <w:pStyle w:val="BodyText"/>
        <w:rPr/>
      </w:pPr>
      <w:r>
        <w:rPr>
          <w:b/>
        </w:rPr>
        <w:t>19. b) El Punto General de Entrada de Facturas Electrónicas de la AGE (formato Facturae).</w:t>
      </w:r>
      <w:r>
        <w:rPr/>
        <w:t xml:space="preserve"> Los proveedores presentan por FACe sus facturas electrónicas (formato Facturae, firmado electrónicamente) a los organismos adheridos. Su hermano para la contratación es la Plataforma de Contratación del Sector Público — pareja habitual en test.</w:t>
      </w:r>
    </w:p>
    <w:p>
      <w:pPr>
        <w:pStyle w:val="BodyText"/>
        <w:rPr/>
      </w:pPr>
      <w:r>
        <w:rPr>
          <w:b/>
        </w:rPr>
        <w:t>20. b) administracion.gob.es, puerta de entrada a información, sedes y trámites de las AAPP (con la Carpeta Ciudadana).</w:t>
      </w:r>
      <w:r>
        <w:rPr/>
        <w:t xml:space="preserve"> El PAGe orienta al ciudadano hacia cualquier trámite; la Carpeta Ciudadana permite consultar expedientes, notificaciones y datos personales en las AAPP. El 060 es el teléfono de atención — distractor histórico.</w:t>
      </w:r>
    </w:p>
    <w:p>
      <w:pPr>
        <w:pStyle w:val="Heading1"/>
        <w:rPr/>
      </w:pPr>
      <w:bookmarkStart w:id="11" w:name="protocolo-de-cierre-del-temario"/>
      <w:r>
        <w:rPr/>
        <w:t>Protocolo de cierre del temario</w:t>
      </w:r>
      <w:bookmarkEnd w:id="11"/>
    </w:p>
    <w:p>
      <w:pPr>
        <w:pStyle w:val="Compact"/>
        <w:numPr>
          <w:ilvl w:val="0"/>
          <w:numId w:val="8"/>
        </w:numPr>
        <w:rPr/>
      </w:pPr>
      <w:r>
        <w:rPr/>
        <w:t>Test: ≥ 13 netas sobre 20. Todas las siglas de la tabla 9.2 → Anki (el mazo de esta entrega las trae).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Con esto, </w:t>
      </w:r>
      <w:r>
        <w:rPr>
          <w:b/>
        </w:rPr>
        <w:t>temario completo</w:t>
      </w:r>
      <w:r>
        <w:rPr/>
        <w:t>. Marca el hito en tu calendario y date un descanso ganado.</w:t>
      </w:r>
    </w:p>
    <w:p>
      <w:pPr>
        <w:pStyle w:val="Compact"/>
        <w:numPr>
          <w:ilvl w:val="0"/>
          <w:numId w:val="6"/>
        </w:numPr>
        <w:spacing w:before="36" w:after="36"/>
        <w:rPr/>
      </w:pPr>
      <w:r>
        <w:rPr/>
        <w:t xml:space="preserve">Siguiente paso del plan: la </w:t>
      </w:r>
      <w:r>
        <w:rPr>
          <w:b/>
        </w:rPr>
        <w:t>semana de la decisión</w:t>
      </w:r>
      <w:r>
        <w:rPr/>
        <w:t xml:space="preserve"> y las fases de repaso y simulacros (meses 6-9). Tienes la guía específica en Guia_Fase_Final_TAI.docx y el examen de ensayo en Simulacro_Examen_Completo_TAI.docx.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decimal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decimal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decimal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decimal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s-E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2026-07-12T11:00:20Z</dcterms:created>
  <dc:creator/>
  <dc:description/>
  <dc:language>es</dc:language>
  <cp:lastModifiedBy/>
  <dcterms:modified xsi:type="dcterms:W3CDTF">2026-07-12T11:00:20Z</dcterms:modified>
  <cp:revision>0</cp:revision>
  <dc:subject/>
  <dc:title>Dossier de Estudio — Bloque I (final): Administración Electrónica, ENS/ENI e Infraestructuras Comunes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Julio 2026</vt:lpwstr>
  </property>
  <property fmtid="{D5CDD505-2E9C-101B-9397-08002B2CF9AE}" pid="3" name="subtitle">
    <vt:lpwstr>Oposición TAI (AGE) · Mes 6 del plan · Temas 8-9 del Bloque I — cierre del temario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