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Simulacro de Examen Completo — Oposición TAI (AGE)</w:t>
      </w:r>
    </w:p>
    <w:p>
      <w:pPr>
        <w:pStyle w:val="Subtitle"/>
        <w:rPr/>
      </w:pPr>
      <w:r>
        <w:rPr/>
        <w:t>Réplica del ejercicio único oficial · 80 preguntas + supuesto práctico a elegir (Bloque III o IV) · 120 minutos</w:t>
      </w:r>
    </w:p>
    <w:p>
      <w:pPr>
        <w:pStyle w:val="Date"/>
        <w:rPr/>
      </w:pPr>
      <w:r>
        <w:rPr/>
        <w:t>Julio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"1-1"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74fe00f5e4e9003347683098319e054b34f5779"/>
      <w:r>
        <w:rPr/>
        <w:t>Instrucciones (léelas como si fuera el día real)</w:t>
      </w:r>
      <w:bookmarkEnd w:id="0"/>
    </w:p>
    <w:p>
      <w:pPr>
        <w:pStyle w:val="FirstParagraph"/>
        <w:rPr/>
      </w:pPr>
      <w:r>
        <w:rPr/>
        <w:t xml:space="preserve">Condiciones de examen, sin excepciones: </w:t>
      </w:r>
      <w:r>
        <w:rPr>
          <w:b/>
        </w:rPr>
        <w:t>120 minutos totales</w:t>
      </w:r>
      <w:r>
        <w:rPr/>
        <w:t xml:space="preserve">, sin apuntes, sin móvil, de un tirón, con hoja de respuestas aparte (hazte una plantilla numerada 1-100). Reparto recomendado: </w:t>
      </w:r>
      <w:r>
        <w:rPr>
          <w:b/>
        </w:rPr>
        <w:t>90 minutos</w:t>
      </w:r>
      <w:r>
        <w:rPr/>
        <w:t xml:space="preserve"> para las 80 preguntas + </w:t>
      </w:r>
      <w:r>
        <w:rPr>
          <w:b/>
        </w:rPr>
        <w:t>25 minutos</w:t>
      </w:r>
      <w:r>
        <w:rPr/>
        <w:t xml:space="preserve"> para el supuesto + </w:t>
      </w:r>
      <w:r>
        <w:rPr>
          <w:b/>
        </w:rPr>
        <w:t>5 minutos</w:t>
      </w:r>
      <w:r>
        <w:rPr/>
        <w:t xml:space="preserve"> para repasar la plantilla.</w:t>
      </w:r>
    </w:p>
    <w:p>
      <w:pPr>
        <w:pStyle w:val="BodyText"/>
        <w:rPr/>
      </w:pPr>
      <w:r>
        <w:rPr/>
        <w:t xml:space="preserve">Puntuación real: primera parte, acierto </w:t>
      </w:r>
      <w:r>
        <w:rPr>
          <w:b/>
        </w:rPr>
        <w:t>+1, error −0,33</w:t>
      </w:r>
      <w:r>
        <w:rPr/>
        <w:t xml:space="preserve">, blanco 0 (mínimo 25/50 escalado para que cuente la segunda). Supuesto: </w:t>
      </w:r>
      <w:r>
        <w:rPr>
          <w:b/>
        </w:rPr>
        <w:t>elige UNO de los dos</w:t>
      </w:r>
      <w:r>
        <w:rPr/>
        <w:t xml:space="preserve"> (III o IV; si respondes ambos, no se corrige ninguno — como en el examen), acierto </w:t>
      </w:r>
      <w:r>
        <w:rPr>
          <w:b/>
        </w:rPr>
        <w:t>+4, error −1,33</w:t>
      </w:r>
      <w:r>
        <w:rPr/>
        <w:t xml:space="preserve"> (mínimo 25/50).</w:t>
      </w:r>
    </w:p>
    <w:p>
      <w:pPr>
        <w:pStyle w:val="BodyText"/>
        <w:rPr/>
      </w:pPr>
      <w:r>
        <w:rPr/>
        <w:t>Aplica la regla entrenada: ¿descartas al menos una opción? Responde. ¿No descartas ninguna? Blanco.</w:t>
      </w:r>
    </w:p>
    <w:p>
      <w:pPr>
        <w:pStyle w:val="BodyText"/>
        <w:rPr/>
      </w:pPr>
      <w:r>
        <w:rPr/>
        <w:t xml:space="preserve">Cuándo hacerlo según el plan: </w:t>
      </w:r>
      <w:r>
        <w:rPr>
          <w:b/>
        </w:rPr>
        <w:t>mes 7</w:t>
      </w:r>
      <w:r>
        <w:rPr/>
        <w:t>, tras la primera vuelta de repaso, ANTES de los exámenes oficiales del INAP (así este simulacro te calibra y los oficiales te confirman). Puedes repetirlo barajado desde la app en el mes 8.</w:t>
      </w:r>
    </w:p>
    <w:p>
      <w:pPr>
        <w:pStyle w:val="Heading1"/>
        <w:rPr/>
      </w:pPr>
      <w:bookmarkStart w:id="1" w:name="X9dccaa33b5bc17b3f92fefa83ee4e1b07542940"/>
      <w:r>
        <w:rPr/>
        <w:t>PRIMERA PARTE — Cuestionario de 80 preguntas</w:t>
      </w:r>
      <w:bookmarkEnd w:id="1"/>
    </w:p>
    <w:p>
      <w:pPr>
        <w:pStyle w:val="FirstParagraph"/>
        <w:rPr/>
      </w:pPr>
      <w:r>
        <w:rPr/>
        <w:t>Distribución fiel al examen real: ~30 del Bloque I, ~12 del II, ~18 del III y ~20 del IV. NO corrijas hasta terminar también el supuesto: en el examen real no hay pausa.</w:t>
      </w:r>
    </w:p>
    <w:p>
      <w:pPr>
        <w:pStyle w:val="BodyText"/>
        <w:rPr/>
      </w:pPr>
      <w:r>
        <w:rPr>
          <w:b/>
        </w:rPr>
        <w:t>Bloque I</w:t>
      </w:r>
    </w:p>
    <w:p>
      <w:pPr>
        <w:pStyle w:val="BodyText"/>
        <w:rPr/>
      </w:pPr>
      <w:r>
        <w:rPr>
          <w:b/>
        </w:rPr>
        <w:t>1.</w:t>
      </w:r>
      <w:r>
        <w:rPr/>
        <w:t xml:space="preserve"> El derecho de petición está reconocido en la Constitución en el:</w:t>
      </w:r>
    </w:p>
    <w:p>
      <w:pPr>
        <w:pStyle w:val="BodyText"/>
        <w:rPr/>
      </w:pPr>
      <w:r>
        <w:rPr/>
        <w:t>   </w:t>
      </w:r>
      <w:r>
        <w:rPr/>
        <w:t>a) Art. 23</w:t>
      </w:r>
    </w:p>
    <w:p>
      <w:pPr>
        <w:pStyle w:val="BodyText"/>
        <w:rPr/>
      </w:pPr>
      <w:r>
        <w:rPr/>
        <w:t>   </w:t>
      </w:r>
      <w:r>
        <w:rPr/>
        <w:t>b) Art. 29</w:t>
      </w:r>
    </w:p>
    <w:p>
      <w:pPr>
        <w:pStyle w:val="BodyText"/>
        <w:rPr/>
      </w:pPr>
      <w:r>
        <w:rPr/>
        <w:t>   </w:t>
      </w:r>
      <w:r>
        <w:rPr/>
        <w:t>c) Art. 35</w:t>
      </w:r>
    </w:p>
    <w:p>
      <w:pPr>
        <w:pStyle w:val="BodyText"/>
        <w:rPr/>
      </w:pPr>
      <w:r>
        <w:rPr/>
        <w:t>   </w:t>
      </w:r>
      <w:r>
        <w:rPr/>
        <w:t>d) Art. 47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El estado de alarma lo declara:</w:t>
      </w:r>
    </w:p>
    <w:p>
      <w:pPr>
        <w:pStyle w:val="BodyText"/>
        <w:rPr/>
      </w:pPr>
      <w:r>
        <w:rPr/>
        <w:t>   </w:t>
      </w:r>
      <w:r>
        <w:rPr/>
        <w:t>a) El Congreso por mayoría absoluta</w:t>
      </w:r>
    </w:p>
    <w:p>
      <w:pPr>
        <w:pStyle w:val="BodyText"/>
        <w:rPr/>
      </w:pPr>
      <w:r>
        <w:rPr/>
        <w:t>   </w:t>
      </w:r>
      <w:r>
        <w:rPr/>
        <w:t>b) El Gobierno por real decreto, máximo 15 días, prorrogable con autorización del Congreso</w:t>
      </w:r>
    </w:p>
    <w:p>
      <w:pPr>
        <w:pStyle w:val="BodyText"/>
        <w:rPr/>
      </w:pPr>
      <w:r>
        <w:rPr/>
        <w:t>   </w:t>
      </w:r>
      <w:r>
        <w:rPr/>
        <w:t>c) El Rey</w:t>
      </w:r>
    </w:p>
    <w:p>
      <w:pPr>
        <w:pStyle w:val="BodyText"/>
        <w:rPr/>
      </w:pPr>
      <w:r>
        <w:rPr/>
        <w:t>   </w:t>
      </w:r>
      <w:r>
        <w:rPr/>
        <w:t>d) El Senado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Según el art. 103.1 CE, la Administración pública sirve con objetividad los intereses generales y actúa de acuerdo con los principios de:</w:t>
      </w:r>
    </w:p>
    <w:p>
      <w:pPr>
        <w:pStyle w:val="BodyText"/>
        <w:rPr/>
      </w:pPr>
      <w:r>
        <w:rPr/>
        <w:t>   </w:t>
      </w:r>
      <w:r>
        <w:rPr/>
        <w:t>a) Eficacia, jerarquía, descentralización, desconcentración y coordinación, con sometimiento pleno a la ley y al Derecho</w:t>
      </w:r>
    </w:p>
    <w:p>
      <w:pPr>
        <w:pStyle w:val="BodyText"/>
        <w:rPr/>
      </w:pPr>
      <w:r>
        <w:rPr/>
        <w:t>   </w:t>
      </w:r>
      <w:r>
        <w:rPr/>
        <w:t>b) Eficiencia, economía y celeridad</w:t>
      </w:r>
    </w:p>
    <w:p>
      <w:pPr>
        <w:pStyle w:val="BodyText"/>
        <w:rPr/>
      </w:pPr>
      <w:r>
        <w:rPr/>
        <w:t>   </w:t>
      </w:r>
      <w:r>
        <w:rPr/>
        <w:t>c) Legalidad, oportunidad y mérito</w:t>
      </w:r>
    </w:p>
    <w:p>
      <w:pPr>
        <w:pStyle w:val="BodyText"/>
        <w:rPr/>
      </w:pPr>
      <w:r>
        <w:rPr/>
        <w:t>   </w:t>
      </w:r>
      <w:r>
        <w:rPr/>
        <w:t>d) Transparencia, igualdad y publicidad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El Consejo General del Poder Judicial se compone de:</w:t>
      </w:r>
    </w:p>
    <w:p>
      <w:pPr>
        <w:pStyle w:val="BodyText"/>
        <w:rPr/>
      </w:pPr>
      <w:r>
        <w:rPr/>
        <w:t>   </w:t>
      </w:r>
      <w:r>
        <w:rPr/>
        <w:t>a) 12 miembros</w:t>
      </w:r>
    </w:p>
    <w:p>
      <w:pPr>
        <w:pStyle w:val="BodyText"/>
        <w:rPr/>
      </w:pPr>
      <w:r>
        <w:rPr/>
        <w:t>   </w:t>
      </w:r>
      <w:r>
        <w:rPr/>
        <w:t>b) 20 vocales más el Presidente del Tribunal Supremo, por 5 años</w:t>
      </w:r>
    </w:p>
    <w:p>
      <w:pPr>
        <w:pStyle w:val="BodyText"/>
        <w:rPr/>
      </w:pPr>
      <w:r>
        <w:rPr/>
        <w:t>   </w:t>
      </w:r>
      <w:r>
        <w:rPr/>
        <w:t>c) 9 miembros por 9 años</w:t>
      </w:r>
    </w:p>
    <w:p>
      <w:pPr>
        <w:pStyle w:val="BodyText"/>
        <w:rPr/>
      </w:pPr>
      <w:r>
        <w:rPr/>
        <w:t>   </w:t>
      </w:r>
      <w:r>
        <w:rPr/>
        <w:t>d) 15 vocales por 4 años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¿Quién NO tiene iniciativa para la reforma constitucional?</w:t>
      </w:r>
    </w:p>
    <w:p>
      <w:pPr>
        <w:pStyle w:val="BodyText"/>
        <w:rPr/>
      </w:pPr>
      <w:r>
        <w:rPr/>
        <w:t>   </w:t>
      </w:r>
      <w:r>
        <w:rPr/>
        <w:t>a) El Gobierno</w:t>
      </w:r>
    </w:p>
    <w:p>
      <w:pPr>
        <w:pStyle w:val="BodyText"/>
        <w:rPr/>
      </w:pPr>
      <w:r>
        <w:rPr/>
        <w:t>   </w:t>
      </w:r>
      <w:r>
        <w:rPr/>
        <w:t>b) Las Asambleas de las CCAA</w:t>
      </w:r>
    </w:p>
    <w:p>
      <w:pPr>
        <w:pStyle w:val="BodyText"/>
        <w:rPr/>
      </w:pPr>
      <w:r>
        <w:rPr/>
        <w:t>   </w:t>
      </w:r>
      <w:r>
        <w:rPr/>
        <w:t>c) La iniciativa legislativa popular</w:t>
      </w:r>
    </w:p>
    <w:p>
      <w:pPr>
        <w:pStyle w:val="BodyText"/>
        <w:rPr/>
      </w:pPr>
      <w:r>
        <w:rPr/>
        <w:t>   </w:t>
      </w:r>
      <w:r>
        <w:rPr/>
        <w:t>d) El Congreso y el Senado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Un real decreto-ley debe someterse a convalidación del Congreso en el plazo de:</w:t>
      </w:r>
    </w:p>
    <w:p>
      <w:pPr>
        <w:pStyle w:val="BodyText"/>
        <w:rPr/>
      </w:pPr>
      <w:r>
        <w:rPr/>
        <w:t>   </w:t>
      </w:r>
      <w:r>
        <w:rPr/>
        <w:t>a) 15 días</w:t>
      </w:r>
    </w:p>
    <w:p>
      <w:pPr>
        <w:pStyle w:val="BodyText"/>
        <w:rPr/>
      </w:pPr>
      <w:r>
        <w:rPr/>
        <w:t>   </w:t>
      </w:r>
      <w:r>
        <w:rPr/>
        <w:t>b) 30 días desde su promulgación</w:t>
      </w:r>
    </w:p>
    <w:p>
      <w:pPr>
        <w:pStyle w:val="BodyText"/>
        <w:rPr/>
      </w:pPr>
      <w:r>
        <w:rPr/>
        <w:t>   </w:t>
      </w:r>
      <w:r>
        <w:rPr/>
        <w:t>c) 2 meses</w:t>
      </w:r>
    </w:p>
    <w:p>
      <w:pPr>
        <w:pStyle w:val="BodyText"/>
        <w:rPr/>
      </w:pPr>
      <w:r>
        <w:rPr/>
        <w:t>   </w:t>
      </w:r>
      <w:r>
        <w:rPr/>
        <w:t>d) 10 días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Las medidas del art. 155 CE requieren la aprobación por:</w:t>
      </w:r>
    </w:p>
    <w:p>
      <w:pPr>
        <w:pStyle w:val="BodyText"/>
        <w:rPr/>
      </w:pPr>
      <w:r>
        <w:rPr/>
        <w:t>   </w:t>
      </w:r>
      <w:r>
        <w:rPr/>
        <w:t>a) Mayoría absoluta del Senado</w:t>
      </w:r>
    </w:p>
    <w:p>
      <w:pPr>
        <w:pStyle w:val="BodyText"/>
        <w:rPr/>
      </w:pPr>
      <w:r>
        <w:rPr/>
        <w:t>   </w:t>
      </w:r>
      <w:r>
        <w:rPr/>
        <w:t>b) Mayoría simple del Congreso</w:t>
      </w:r>
    </w:p>
    <w:p>
      <w:pPr>
        <w:pStyle w:val="BodyText"/>
        <w:rPr/>
      </w:pPr>
      <w:r>
        <w:rPr/>
        <w:t>   </w:t>
      </w:r>
      <w:r>
        <w:rPr/>
        <w:t>c) 2/3 de ambas Cámaras</w:t>
      </w:r>
    </w:p>
    <w:p>
      <w:pPr>
        <w:pStyle w:val="BodyText"/>
        <w:rPr/>
      </w:pPr>
      <w:r>
        <w:rPr/>
        <w:t>   </w:t>
      </w:r>
      <w:r>
        <w:rPr/>
        <w:t>d) El Consejo de Ministros sin más trámite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El supremo órgano consultivo del Gobierno es:</w:t>
      </w:r>
    </w:p>
    <w:p>
      <w:pPr>
        <w:pStyle w:val="BodyText"/>
        <w:rPr/>
      </w:pPr>
      <w:r>
        <w:rPr/>
        <w:t>   </w:t>
      </w:r>
      <w:r>
        <w:rPr/>
        <w:t>a) El Consejo de Estado</w:t>
      </w:r>
    </w:p>
    <w:p>
      <w:pPr>
        <w:pStyle w:val="BodyText"/>
        <w:rPr/>
      </w:pPr>
      <w:r>
        <w:rPr/>
        <w:t>   </w:t>
      </w:r>
      <w:r>
        <w:rPr/>
        <w:t>b) El CGPJ</w:t>
      </w:r>
    </w:p>
    <w:p>
      <w:pPr>
        <w:pStyle w:val="BodyText"/>
        <w:rPr/>
      </w:pPr>
      <w:r>
        <w:rPr/>
        <w:t>   </w:t>
      </w:r>
      <w:r>
        <w:rPr/>
        <w:t>c) El Tribunal de Cuentas</w:t>
      </w:r>
    </w:p>
    <w:p>
      <w:pPr>
        <w:pStyle w:val="BodyText"/>
        <w:rPr/>
      </w:pPr>
      <w:r>
        <w:rPr/>
        <w:t>   </w:t>
      </w:r>
      <w:r>
        <w:rPr/>
        <w:t>d) El Defensor del Pueblo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Las faltas muy graves de los funcionarios prescriben a los:</w:t>
      </w:r>
    </w:p>
    <w:p>
      <w:pPr>
        <w:pStyle w:val="BodyText"/>
        <w:rPr/>
      </w:pPr>
      <w:r>
        <w:rPr/>
        <w:t>   </w:t>
      </w:r>
      <w:r>
        <w:rPr/>
        <w:t>a) 6 meses</w:t>
      </w:r>
    </w:p>
    <w:p>
      <w:pPr>
        <w:pStyle w:val="BodyText"/>
        <w:rPr/>
      </w:pPr>
      <w:r>
        <w:rPr/>
        <w:t>   </w:t>
      </w:r>
      <w:r>
        <w:rPr/>
        <w:t>b) 2 años</w:t>
      </w:r>
    </w:p>
    <w:p>
      <w:pPr>
        <w:pStyle w:val="BodyText"/>
        <w:rPr/>
      </w:pPr>
      <w:r>
        <w:rPr/>
        <w:t>   </w:t>
      </w:r>
      <w:r>
        <w:rPr/>
        <w:t>c) 3 años</w:t>
      </w:r>
    </w:p>
    <w:p>
      <w:pPr>
        <w:pStyle w:val="BodyText"/>
        <w:rPr/>
      </w:pPr>
      <w:r>
        <w:rPr/>
        <w:t>   </w:t>
      </w:r>
      <w:r>
        <w:rPr/>
        <w:t>d) 5 años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El Cuerpo de Técnicos Auxiliares de Informática pertenece al grupo de clasificación:</w:t>
      </w:r>
    </w:p>
    <w:p>
      <w:pPr>
        <w:pStyle w:val="BodyText"/>
        <w:rPr/>
      </w:pPr>
      <w:r>
        <w:rPr/>
        <w:t>   </w:t>
      </w:r>
      <w:r>
        <w:rPr/>
        <w:t>a) A2</w:t>
      </w:r>
    </w:p>
    <w:p>
      <w:pPr>
        <w:pStyle w:val="BodyText"/>
        <w:rPr/>
      </w:pPr>
      <w:r>
        <w:rPr/>
        <w:t>   </w:t>
      </w:r>
      <w:r>
        <w:rPr/>
        <w:t>b) B</w:t>
      </w:r>
    </w:p>
    <w:p>
      <w:pPr>
        <w:pStyle w:val="BodyText"/>
        <w:rPr/>
      </w:pPr>
      <w:r>
        <w:rPr/>
        <w:t>   </w:t>
      </w:r>
      <w:r>
        <w:rPr/>
        <w:t>c) C1 (título de Bachiller o Técnico)</w:t>
      </w:r>
    </w:p>
    <w:p>
      <w:pPr>
        <w:pStyle w:val="BodyText"/>
        <w:rPr/>
      </w:pPr>
      <w:r>
        <w:rPr/>
        <w:t>   </w:t>
      </w:r>
      <w:r>
        <w:rPr/>
        <w:t>d) C2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La reclamación frente a una denegación de acceso a información pública (Ley 19/2013) se presenta ante:</w:t>
      </w:r>
    </w:p>
    <w:p>
      <w:pPr>
        <w:pStyle w:val="BodyText"/>
        <w:rPr/>
      </w:pPr>
      <w:r>
        <w:rPr/>
        <w:t>   </w:t>
      </w:r>
      <w:r>
        <w:rPr/>
        <w:t>a) El Tribunal Supremo</w:t>
      </w:r>
    </w:p>
    <w:p>
      <w:pPr>
        <w:pStyle w:val="BodyText"/>
        <w:rPr/>
      </w:pPr>
      <w:r>
        <w:rPr/>
        <w:t>   </w:t>
      </w:r>
      <w:r>
        <w:rPr/>
        <w:t>b) El Consejo de Transparencia y Buen Gobierno, en el plazo de 1 mes, con carácter potestativo</w:t>
      </w:r>
    </w:p>
    <w:p>
      <w:pPr>
        <w:pStyle w:val="BodyText"/>
        <w:rPr/>
      </w:pPr>
      <w:r>
        <w:rPr/>
        <w:t>   </w:t>
      </w:r>
      <w:r>
        <w:rPr/>
        <w:t>c) El Defensor del Pueblo obligatoriamente</w:t>
      </w:r>
    </w:p>
    <w:p>
      <w:pPr>
        <w:pStyle w:val="BodyText"/>
        <w:rPr/>
      </w:pPr>
      <w:r>
        <w:rPr/>
        <w:t>   </w:t>
      </w:r>
      <w:r>
        <w:rPr/>
        <w:t>d) La AEPD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Entre los límites al derecho de acceso del art. 14 de la Ley 19/2013 figuran:</w:t>
      </w:r>
    </w:p>
    <w:p>
      <w:pPr>
        <w:pStyle w:val="BodyText"/>
        <w:rPr/>
      </w:pPr>
      <w:r>
        <w:rPr/>
        <w:t>   </w:t>
      </w:r>
      <w:r>
        <w:rPr/>
        <w:t>a) La seguridad nacional, la defensa, las relaciones exteriores y la prevención e investigación de ilícitos</w:t>
      </w:r>
    </w:p>
    <w:p>
      <w:pPr>
        <w:pStyle w:val="BodyText"/>
        <w:rPr/>
      </w:pPr>
      <w:r>
        <w:rPr/>
        <w:t>   </w:t>
      </w:r>
      <w:r>
        <w:rPr/>
        <w:t>b) El coste del papel</w:t>
      </w:r>
    </w:p>
    <w:p>
      <w:pPr>
        <w:pStyle w:val="BodyText"/>
        <w:rPr/>
      </w:pPr>
      <w:r>
        <w:rPr/>
        <w:t>   </w:t>
      </w:r>
      <w:r>
        <w:rPr/>
        <w:t>c) La antigüedad del documento</w:t>
      </w:r>
    </w:p>
    <w:p>
      <w:pPr>
        <w:pStyle w:val="BodyText"/>
        <w:rPr/>
      </w:pPr>
      <w:r>
        <w:rPr/>
        <w:t>   </w:t>
      </w:r>
      <w:r>
        <w:rPr/>
        <w:t>d) No existen límites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La LO 3/2007 define el acoso sexual como:</w:t>
      </w:r>
    </w:p>
    <w:p>
      <w:pPr>
        <w:pStyle w:val="BodyText"/>
        <w:rPr/>
      </w:pPr>
      <w:r>
        <w:rPr/>
        <w:t>   </w:t>
      </w:r>
      <w:r>
        <w:rPr/>
        <w:t>a) Cualquier broma en el trabajo</w:t>
      </w:r>
    </w:p>
    <w:p>
      <w:pPr>
        <w:pStyle w:val="BodyText"/>
        <w:rPr/>
      </w:pPr>
      <w:r>
        <w:rPr/>
        <w:t>   </w:t>
      </w:r>
      <w:r>
        <w:rPr/>
        <w:t>b) Cualquier comportamiento, verbal o físico, de naturaleza sexual que atente contra la dignidad, en particular creando un entorno intimidatorio, degradante u ofensivo</w:t>
      </w:r>
    </w:p>
    <w:p>
      <w:pPr>
        <w:pStyle w:val="BodyText"/>
        <w:rPr/>
      </w:pPr>
      <w:r>
        <w:rPr/>
        <w:t>   </w:t>
      </w:r>
      <w:r>
        <w:rPr/>
        <w:t>c) Solo el contacto físico no consentido</w:t>
      </w:r>
    </w:p>
    <w:p>
      <w:pPr>
        <w:pStyle w:val="BodyText"/>
        <w:rPr/>
      </w:pPr>
      <w:r>
        <w:rPr/>
        <w:t>   </w:t>
      </w:r>
      <w:r>
        <w:rPr/>
        <w:t>d) Un delito exclusivamente penal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En la Ley 39/2006, la prestación económica para cuidados en el entorno familiar es:</w:t>
      </w:r>
    </w:p>
    <w:p>
      <w:pPr>
        <w:pStyle w:val="BodyText"/>
        <w:rPr/>
      </w:pPr>
      <w:r>
        <w:rPr/>
        <w:t>   </w:t>
      </w:r>
      <w:r>
        <w:rPr/>
        <w:t>a) La prestación ordinaria y preferente</w:t>
      </w:r>
    </w:p>
    <w:p>
      <w:pPr>
        <w:pStyle w:val="BodyText"/>
        <w:rPr/>
      </w:pPr>
      <w:r>
        <w:rPr/>
        <w:t>   </w:t>
      </w:r>
      <w:r>
        <w:rPr/>
        <w:t>b) Excepcional: los servicios tienen carácter prioritario</w:t>
      </w:r>
    </w:p>
    <w:p>
      <w:pPr>
        <w:pStyle w:val="BodyText"/>
        <w:rPr/>
      </w:pPr>
      <w:r>
        <w:rPr/>
        <w:t>   </w:t>
      </w:r>
      <w:r>
        <w:rPr/>
        <w:t>c) Obligatoria para todos los grados</w:t>
      </w:r>
    </w:p>
    <w:p>
      <w:pPr>
        <w:pStyle w:val="BodyText"/>
        <w:rPr/>
      </w:pPr>
      <w:r>
        <w:rPr/>
        <w:t>   </w:t>
      </w:r>
      <w:r>
        <w:rPr/>
        <w:t>d) Incompatible con cualquier servicio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Los «ajustes razonables» (RDLeg 1/2013) son:</w:t>
      </w:r>
    </w:p>
    <w:p>
      <w:pPr>
        <w:pStyle w:val="BodyText"/>
        <w:rPr/>
      </w:pPr>
      <w:r>
        <w:rPr/>
        <w:t>   </w:t>
      </w:r>
      <w:r>
        <w:rPr/>
        <w:t>a) Descuentos en tasas</w:t>
      </w:r>
    </w:p>
    <w:p>
      <w:pPr>
        <w:pStyle w:val="BodyText"/>
        <w:rPr/>
      </w:pPr>
      <w:r>
        <w:rPr/>
        <w:t>   </w:t>
      </w:r>
      <w:r>
        <w:rPr/>
        <w:t>b) Modificaciones del entorno que no impongan carga desproporcionada, para garantizar la igualdad de las personas con discapacidad</w:t>
      </w:r>
    </w:p>
    <w:p>
      <w:pPr>
        <w:pStyle w:val="BodyText"/>
        <w:rPr/>
      </w:pPr>
      <w:r>
        <w:rPr/>
        <w:t>   </w:t>
      </w:r>
      <w:r>
        <w:rPr/>
        <w:t>c) Obras obligatorias en todos los edificios</w:t>
      </w:r>
    </w:p>
    <w:p>
      <w:pPr>
        <w:pStyle w:val="BodyText"/>
        <w:rPr/>
      </w:pPr>
      <w:r>
        <w:rPr/>
        <w:t>   </w:t>
      </w:r>
      <w:r>
        <w:rPr/>
        <w:t>d) Ayudas económicas directas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Un sello cualificado de tiempo (eIDAS) goza de:</w:t>
      </w:r>
    </w:p>
    <w:p>
      <w:pPr>
        <w:pStyle w:val="BodyText"/>
        <w:rPr/>
      </w:pPr>
      <w:r>
        <w:rPr/>
        <w:t>   </w:t>
      </w:r>
      <w:r>
        <w:rPr/>
        <w:t>a) Validez solo en España</w:t>
      </w:r>
    </w:p>
    <w:p>
      <w:pPr>
        <w:pStyle w:val="BodyText"/>
        <w:rPr/>
      </w:pPr>
      <w:r>
        <w:rPr/>
        <w:t>   </w:t>
      </w:r>
      <w:r>
        <w:rPr/>
        <w:t>b) Presunción de exactitud de la fecha y hora y de integridad de los datos vinculados</w:t>
      </w:r>
    </w:p>
    <w:p>
      <w:pPr>
        <w:pStyle w:val="BodyText"/>
        <w:rPr/>
      </w:pPr>
      <w:r>
        <w:rPr/>
        <w:t>   </w:t>
      </w:r>
      <w:r>
        <w:rPr/>
        <w:t>c) Efectos solo entre particulares</w:t>
      </w:r>
    </w:p>
    <w:p>
      <w:pPr>
        <w:pStyle w:val="BodyText"/>
        <w:rPr/>
      </w:pPr>
      <w:r>
        <w:rPr/>
        <w:t>   </w:t>
      </w:r>
      <w:r>
        <w:rPr/>
        <w:t>d) Ninguna presunción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El periodo de vigencia máximo de los certificados cualificados en España (Ley 6/2020) es de:</w:t>
      </w:r>
    </w:p>
    <w:p>
      <w:pPr>
        <w:pStyle w:val="BodyText"/>
        <w:rPr/>
      </w:pPr>
      <w:r>
        <w:rPr/>
        <w:t>   </w:t>
      </w:r>
      <w:r>
        <w:rPr/>
        <w:t>a) 2 años</w:t>
      </w:r>
    </w:p>
    <w:p>
      <w:pPr>
        <w:pStyle w:val="BodyText"/>
        <w:rPr/>
      </w:pPr>
      <w:r>
        <w:rPr/>
        <w:t>   </w:t>
      </w:r>
      <w:r>
        <w:rPr/>
        <w:t>b) 5 años</w:t>
      </w:r>
    </w:p>
    <w:p>
      <w:pPr>
        <w:pStyle w:val="BodyText"/>
        <w:rPr/>
      </w:pPr>
      <w:r>
        <w:rPr/>
        <w:t>   </w:t>
      </w:r>
      <w:r>
        <w:rPr/>
        <w:t>c) 10 años</w:t>
      </w:r>
    </w:p>
    <w:p>
      <w:pPr>
        <w:pStyle w:val="BodyText"/>
        <w:rPr/>
      </w:pPr>
      <w:r>
        <w:rPr/>
        <w:t>   </w:t>
      </w:r>
      <w:r>
        <w:rPr/>
        <w:t>d) Indefinido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La seudonimización (RGPD) se diferencia de la anonimización en que:</w:t>
      </w:r>
    </w:p>
    <w:p>
      <w:pPr>
        <w:pStyle w:val="BodyText"/>
        <w:rPr/>
      </w:pPr>
      <w:r>
        <w:rPr/>
        <w:t>   </w:t>
      </w:r>
      <w:r>
        <w:rPr/>
        <w:t>a) Son sinónimos</w:t>
      </w:r>
    </w:p>
    <w:p>
      <w:pPr>
        <w:pStyle w:val="BodyText"/>
        <w:rPr/>
      </w:pPr>
      <w:r>
        <w:rPr/>
        <w:t>   </w:t>
      </w:r>
      <w:r>
        <w:rPr/>
        <w:t>b) Los datos seudonimizados pueden reatribuirse con información adicional, por lo que SIGUEN siendo datos personales; los anónimos no</w:t>
      </w:r>
    </w:p>
    <w:p>
      <w:pPr>
        <w:pStyle w:val="BodyText"/>
        <w:rPr/>
      </w:pPr>
      <w:r>
        <w:rPr/>
        <w:t>   </w:t>
      </w:r>
      <w:r>
        <w:rPr/>
        <w:t>c) La anonimización es reversible</w:t>
      </w:r>
    </w:p>
    <w:p>
      <w:pPr>
        <w:pStyle w:val="BodyText"/>
        <w:rPr/>
      </w:pPr>
      <w:r>
        <w:rPr/>
        <w:t>   </w:t>
      </w:r>
      <w:r>
        <w:rPr/>
        <w:t>d) La seudonimización elimina el dato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Son categorías especiales de datos (art. 9 RGPD):</w:t>
      </w:r>
    </w:p>
    <w:p>
      <w:pPr>
        <w:pStyle w:val="BodyText"/>
        <w:rPr/>
      </w:pPr>
      <w:r>
        <w:rPr/>
        <w:t>   </w:t>
      </w:r>
      <w:r>
        <w:rPr/>
        <w:t>a) El DNI y la dirección postal</w:t>
      </w:r>
    </w:p>
    <w:p>
      <w:pPr>
        <w:pStyle w:val="BodyText"/>
        <w:rPr/>
      </w:pPr>
      <w:r>
        <w:rPr/>
        <w:t>   </w:t>
      </w:r>
      <w:r>
        <w:rPr/>
        <w:t>b) Origen étnico, opiniones políticas, convicciones religiosas, afiliación sindical, datos genéticos, biométricos para identificación, salud, vida y orientación sexual</w:t>
      </w:r>
    </w:p>
    <w:p>
      <w:pPr>
        <w:pStyle w:val="BodyText"/>
        <w:rPr/>
      </w:pPr>
      <w:r>
        <w:rPr/>
        <w:t>   </w:t>
      </w:r>
      <w:r>
        <w:rPr/>
        <w:t>c) El número de teléfono</w:t>
      </w:r>
    </w:p>
    <w:p>
      <w:pPr>
        <w:pStyle w:val="BodyText"/>
        <w:rPr/>
      </w:pPr>
      <w:r>
        <w:rPr/>
        <w:t>   </w:t>
      </w:r>
      <w:r>
        <w:rPr/>
        <w:t>d) La matrícula del coche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En España, la edad mínima para que un menor consienta el tratamiento de sus datos es:</w:t>
      </w:r>
    </w:p>
    <w:p>
      <w:pPr>
        <w:pStyle w:val="BodyText"/>
        <w:rPr/>
      </w:pPr>
      <w:r>
        <w:rPr/>
        <w:t>   </w:t>
      </w:r>
      <w:r>
        <w:rPr/>
        <w:t>a) 16 años</w:t>
      </w:r>
    </w:p>
    <w:p>
      <w:pPr>
        <w:pStyle w:val="BodyText"/>
        <w:rPr/>
      </w:pPr>
      <w:r>
        <w:rPr/>
        <w:t>   </w:t>
      </w:r>
      <w:r>
        <w:rPr/>
        <w:t>b) 14 años (LO 3/2018)</w:t>
      </w:r>
    </w:p>
    <w:p>
      <w:pPr>
        <w:pStyle w:val="BodyText"/>
        <w:rPr/>
      </w:pPr>
      <w:r>
        <w:rPr/>
        <w:t>   </w:t>
      </w:r>
      <w:r>
        <w:rPr/>
        <w:t>c) 18 años</w:t>
      </w:r>
    </w:p>
    <w:p>
      <w:pPr>
        <w:pStyle w:val="BodyText"/>
        <w:rPr/>
      </w:pPr>
      <w:r>
        <w:rPr/>
        <w:t>   </w:t>
      </w:r>
      <w:r>
        <w:rPr/>
        <w:t>d) 12 años</w:t>
      </w:r>
    </w:p>
    <w:p>
      <w:pPr>
        <w:pStyle w:val="BodyText"/>
        <w:rPr/>
      </w:pPr>
      <w:r>
        <w:rPr>
          <w:b/>
        </w:rPr>
        <w:t>21.</w:t>
      </w:r>
      <w:r>
        <w:rPr/>
        <w:t xml:space="preserve"> Una transferencia internacional de datos a un tercer país es lícita sin más requisitos cuando:</w:t>
      </w:r>
    </w:p>
    <w:p>
      <w:pPr>
        <w:pStyle w:val="BodyText"/>
        <w:rPr/>
      </w:pPr>
      <w:r>
        <w:rPr/>
        <w:t>   </w:t>
      </w:r>
      <w:r>
        <w:rPr/>
        <w:t>a) El país lo solicita</w:t>
      </w:r>
    </w:p>
    <w:p>
      <w:pPr>
        <w:pStyle w:val="BodyText"/>
        <w:rPr/>
      </w:pPr>
      <w:r>
        <w:rPr/>
        <w:t>   </w:t>
      </w:r>
      <w:r>
        <w:rPr/>
        <w:t>b) Existe una decisión de adecuación de la Comisión Europea sobre ese país</w:t>
      </w:r>
    </w:p>
    <w:p>
      <w:pPr>
        <w:pStyle w:val="BodyText"/>
        <w:rPr/>
      </w:pPr>
      <w:r>
        <w:rPr/>
        <w:t>   </w:t>
      </w:r>
      <w:r>
        <w:rPr/>
        <w:t>c) Los datos van cifrados</w:t>
      </w:r>
    </w:p>
    <w:p>
      <w:pPr>
        <w:pStyle w:val="BodyText"/>
        <w:rPr/>
      </w:pPr>
      <w:r>
        <w:rPr/>
        <w:t>   </w:t>
      </w:r>
      <w:r>
        <w:rPr/>
        <w:t>d) El interesado no se opone en 10 días</w:t>
      </w:r>
    </w:p>
    <w:p>
      <w:pPr>
        <w:pStyle w:val="BodyText"/>
        <w:rPr/>
      </w:pPr>
      <w:r>
        <w:rPr>
          <w:b/>
        </w:rPr>
        <w:t>22.</w:t>
      </w:r>
      <w:r>
        <w:rPr/>
        <w:t xml:space="preserve"> El personal funcionario interino se nombra:</w:t>
      </w:r>
    </w:p>
    <w:p>
      <w:pPr>
        <w:pStyle w:val="BodyText"/>
        <w:rPr/>
      </w:pPr>
      <w:r>
        <w:rPr/>
        <w:t>   </w:t>
      </w:r>
      <w:r>
        <w:rPr/>
        <w:t>a) Por tiempo indefinido</w:t>
      </w:r>
    </w:p>
    <w:p>
      <w:pPr>
        <w:pStyle w:val="BodyText"/>
        <w:rPr/>
      </w:pPr>
      <w:r>
        <w:rPr/>
        <w:t>   </w:t>
      </w:r>
      <w:r>
        <w:rPr/>
        <w:t>b) Por razones justificadas de necesidad y urgencia, para funciones propias de funcionarios de carrera, en los supuestos tasados del TREBEP</w:t>
      </w:r>
    </w:p>
    <w:p>
      <w:pPr>
        <w:pStyle w:val="BodyText"/>
        <w:rPr/>
      </w:pPr>
      <w:r>
        <w:rPr/>
        <w:t>   </w:t>
      </w:r>
      <w:r>
        <w:rPr/>
        <w:t>c) Solo para sustituciones</w:t>
      </w:r>
    </w:p>
    <w:p>
      <w:pPr>
        <w:pStyle w:val="BodyText"/>
        <w:rPr/>
      </w:pPr>
      <w:r>
        <w:rPr/>
        <w:t>   </w:t>
      </w:r>
      <w:r>
        <w:rPr/>
        <w:t>d) Sin proceso selectivo</w:t>
      </w:r>
    </w:p>
    <w:p>
      <w:pPr>
        <w:pStyle w:val="BodyText"/>
        <w:rPr/>
      </w:pPr>
      <w:r>
        <w:rPr>
          <w:b/>
        </w:rPr>
        <w:t>23.</w:t>
      </w:r>
      <w:r>
        <w:rPr/>
        <w:t xml:space="preserve"> La notificación en papel a un no obligado a relación electrónica:</w:t>
      </w:r>
    </w:p>
    <w:p>
      <w:pPr>
        <w:pStyle w:val="BodyText"/>
        <w:rPr/>
      </w:pPr>
      <w:r>
        <w:rPr/>
        <w:t>   </w:t>
      </w:r>
      <w:r>
        <w:rPr/>
        <w:t>a) Está prohibida desde 2015</w:t>
      </w:r>
    </w:p>
    <w:p>
      <w:pPr>
        <w:pStyle w:val="BodyText"/>
        <w:rPr/>
      </w:pPr>
      <w:r>
        <w:rPr/>
        <w:t>   </w:t>
      </w:r>
      <w:r>
        <w:rPr/>
        <w:t>b) Es válida; además, toda notificación se pone también a disposición en la sede/DEHú</w:t>
      </w:r>
    </w:p>
    <w:p>
      <w:pPr>
        <w:pStyle w:val="BodyText"/>
        <w:rPr/>
      </w:pPr>
      <w:r>
        <w:rPr/>
        <w:t>   </w:t>
      </w:r>
      <w:r>
        <w:rPr/>
        <w:t>c) Solo se usa para sanciones</w:t>
      </w:r>
    </w:p>
    <w:p>
      <w:pPr>
        <w:pStyle w:val="BodyText"/>
        <w:rPr/>
      </w:pPr>
      <w:r>
        <w:rPr/>
        <w:t>   </w:t>
      </w:r>
      <w:r>
        <w:rPr/>
        <w:t>d) Requiere autorización judicial</w:t>
      </w:r>
    </w:p>
    <w:p>
      <w:pPr>
        <w:pStyle w:val="BodyText"/>
        <w:rPr/>
      </w:pPr>
      <w:r>
        <w:rPr>
          <w:b/>
        </w:rPr>
        <w:t>24.</w:t>
      </w:r>
      <w:r>
        <w:rPr/>
        <w:t xml:space="preserve"> Los plazos señalados por días en la Ley 39/2015 se entienden, salvo indicación expresa:</w:t>
      </w:r>
    </w:p>
    <w:p>
      <w:pPr>
        <w:pStyle w:val="BodyText"/>
        <w:rPr/>
      </w:pPr>
      <w:r>
        <w:rPr/>
        <w:t>   </w:t>
      </w:r>
      <w:r>
        <w:rPr/>
        <w:t>a) Días naturales</w:t>
      </w:r>
    </w:p>
    <w:p>
      <w:pPr>
        <w:pStyle w:val="BodyText"/>
        <w:rPr/>
      </w:pPr>
      <w:r>
        <w:rPr/>
        <w:t>   </w:t>
      </w:r>
      <w:r>
        <w:rPr/>
        <w:t>b) Días hábiles, excluyendo sábados, domingos y festivos</w:t>
      </w:r>
    </w:p>
    <w:p>
      <w:pPr>
        <w:pStyle w:val="BodyText"/>
        <w:rPr/>
      </w:pPr>
      <w:r>
        <w:rPr/>
        <w:t>   </w:t>
      </w:r>
      <w:r>
        <w:rPr/>
        <w:t>c) Días laborables incluyendo sábados</w:t>
      </w:r>
    </w:p>
    <w:p>
      <w:pPr>
        <w:pStyle w:val="BodyText"/>
        <w:rPr/>
      </w:pPr>
      <w:r>
        <w:rPr/>
        <w:t>   </w:t>
      </w:r>
      <w:r>
        <w:rPr/>
        <w:t>d) Semanas completas</w:t>
      </w:r>
    </w:p>
    <w:p>
      <w:pPr>
        <w:pStyle w:val="BodyText"/>
        <w:rPr/>
      </w:pPr>
      <w:r>
        <w:rPr>
          <w:b/>
        </w:rPr>
        <w:t>25.</w:t>
      </w:r>
      <w:r>
        <w:rPr/>
        <w:t xml:space="preserve"> La categoría de un sistema en el ENS se determina:</w:t>
      </w:r>
    </w:p>
    <w:p>
      <w:pPr>
        <w:pStyle w:val="BodyText"/>
        <w:rPr/>
      </w:pPr>
      <w:r>
        <w:rPr/>
        <w:t>   </w:t>
      </w:r>
      <w:r>
        <w:rPr/>
        <w:t>a) Por el número de usuarios</w:t>
      </w:r>
    </w:p>
    <w:p>
      <w:pPr>
        <w:pStyle w:val="BodyText"/>
        <w:rPr/>
      </w:pPr>
      <w:r>
        <w:rPr/>
        <w:t>   </w:t>
      </w:r>
      <w:r>
        <w:rPr/>
        <w:t>b) Por el mayor nivel de impacto (bajo/medio/alto) en cualquiera de las cinco dimensiones de seguridad</w:t>
      </w:r>
    </w:p>
    <w:p>
      <w:pPr>
        <w:pStyle w:val="BodyText"/>
        <w:rPr/>
      </w:pPr>
      <w:r>
        <w:rPr/>
        <w:t>   </w:t>
      </w:r>
      <w:r>
        <w:rPr/>
        <w:t>c) Por el presupuesto del organismo</w:t>
      </w:r>
    </w:p>
    <w:p>
      <w:pPr>
        <w:pStyle w:val="BodyText"/>
        <w:rPr/>
      </w:pPr>
      <w:r>
        <w:rPr/>
        <w:t>   </w:t>
      </w:r>
      <w:r>
        <w:rPr/>
        <w:t>d) Por votación del comité de seguridad</w:t>
      </w:r>
    </w:p>
    <w:p>
      <w:pPr>
        <w:pStyle w:val="BodyText"/>
        <w:rPr/>
      </w:pPr>
      <w:r>
        <w:rPr>
          <w:b/>
        </w:rPr>
        <w:t>26.</w:t>
      </w:r>
      <w:r>
        <w:rPr/>
        <w:t xml:space="preserve"> Las guías de seguridad CCN-STIC las elabora:</w:t>
      </w:r>
    </w:p>
    <w:p>
      <w:pPr>
        <w:pStyle w:val="BodyText"/>
        <w:rPr/>
      </w:pPr>
      <w:r>
        <w:rPr/>
        <w:t>   </w:t>
      </w:r>
      <w:r>
        <w:rPr/>
        <w:t>a) La AEPD</w:t>
      </w:r>
    </w:p>
    <w:p>
      <w:pPr>
        <w:pStyle w:val="BodyText"/>
        <w:rPr/>
      </w:pPr>
      <w:r>
        <w:rPr/>
        <w:t>   </w:t>
      </w:r>
      <w:r>
        <w:rPr/>
        <w:t>b) El Centro Criptológico Nacional</w:t>
      </w:r>
    </w:p>
    <w:p>
      <w:pPr>
        <w:pStyle w:val="BodyText"/>
        <w:rPr/>
      </w:pPr>
      <w:r>
        <w:rPr/>
        <w:t>   </w:t>
      </w:r>
      <w:r>
        <w:rPr/>
        <w:t>c) El INAP</w:t>
      </w:r>
    </w:p>
    <w:p>
      <w:pPr>
        <w:pStyle w:val="BodyText"/>
        <w:rPr/>
      </w:pPr>
      <w:r>
        <w:rPr/>
        <w:t>   </w:t>
      </w:r>
      <w:r>
        <w:rPr/>
        <w:t>d) Cada ministerio</w:t>
      </w:r>
    </w:p>
    <w:p>
      <w:pPr>
        <w:pStyle w:val="BodyText"/>
        <w:rPr/>
      </w:pPr>
      <w:r>
        <w:rPr>
          <w:b/>
        </w:rPr>
        <w:t>27.</w:t>
      </w:r>
      <w:r>
        <w:rPr/>
        <w:t xml:space="preserve"> La interoperabilidad SEMÁNTICA del ENI garantiza que:</w:t>
      </w:r>
    </w:p>
    <w:p>
      <w:pPr>
        <w:pStyle w:val="BodyText"/>
        <w:rPr/>
      </w:pPr>
      <w:r>
        <w:rPr/>
        <w:t>   </w:t>
      </w:r>
      <w:r>
        <w:rPr/>
        <w:t>a) Las redes estén conectadas</w:t>
      </w:r>
    </w:p>
    <w:p>
      <w:pPr>
        <w:pStyle w:val="BodyText"/>
        <w:rPr/>
      </w:pPr>
      <w:r>
        <w:rPr/>
        <w:t>   </w:t>
      </w:r>
      <w:r>
        <w:rPr/>
        <w:t>b) La información intercambiada sea interpretable de forma automática y con el mismo significado por todas las partes (modelos de datos comunes)</w:t>
      </w:r>
    </w:p>
    <w:p>
      <w:pPr>
        <w:pStyle w:val="BodyText"/>
        <w:rPr/>
      </w:pPr>
      <w:r>
        <w:rPr/>
        <w:t>   </w:t>
      </w:r>
      <w:r>
        <w:rPr/>
        <w:t>c) Los organismos firmen convenios</w:t>
      </w:r>
    </w:p>
    <w:p>
      <w:pPr>
        <w:pStyle w:val="BodyText"/>
        <w:rPr/>
      </w:pPr>
      <w:r>
        <w:rPr/>
        <w:t>   </w:t>
      </w:r>
      <w:r>
        <w:rPr/>
        <w:t>d) Los formatos sean propietarios</w:t>
      </w:r>
    </w:p>
    <w:p>
      <w:pPr>
        <w:pStyle w:val="BodyText"/>
        <w:rPr/>
      </w:pPr>
      <w:r>
        <w:rPr>
          <w:b/>
        </w:rPr>
        <w:t>28.</w:t>
      </w:r>
      <w:r>
        <w:rPr/>
        <w:t xml:space="preserve"> Sobre la Red SARA viajan servicios como:</w:t>
      </w:r>
    </w:p>
    <w:p>
      <w:pPr>
        <w:pStyle w:val="BodyText"/>
        <w:rPr/>
      </w:pPr>
      <w:r>
        <w:rPr/>
        <w:t>   </w:t>
      </w:r>
      <w:r>
        <w:rPr/>
        <w:t>a) Netflix corporativo</w:t>
      </w:r>
    </w:p>
    <w:p>
      <w:pPr>
        <w:pStyle w:val="BodyText"/>
        <w:rPr/>
      </w:pPr>
      <w:r>
        <w:rPr/>
        <w:t>   </w:t>
      </w:r>
      <w:r>
        <w:rPr/>
        <w:t>b) La Plataforma de Intermediación, Notific@, SIR o Cl@ve, interconectando de forma segura a las AAPP</w:t>
      </w:r>
    </w:p>
    <w:p>
      <w:pPr>
        <w:pStyle w:val="BodyText"/>
        <w:rPr/>
      </w:pPr>
      <w:r>
        <w:rPr/>
        <w:t>   </w:t>
      </w:r>
      <w:r>
        <w:rPr/>
        <w:t>c) El correo personal de los funcionarios</w:t>
      </w:r>
    </w:p>
    <w:p>
      <w:pPr>
        <w:pStyle w:val="BodyText"/>
        <w:rPr/>
      </w:pPr>
      <w:r>
        <w:rPr/>
        <w:t>   </w:t>
      </w:r>
      <w:r>
        <w:rPr/>
        <w:t>d) La TDT</w:t>
      </w:r>
    </w:p>
    <w:p>
      <w:pPr>
        <w:pStyle w:val="BodyText"/>
        <w:rPr/>
      </w:pPr>
      <w:r>
        <w:rPr>
          <w:b/>
        </w:rPr>
        <w:t>29.</w:t>
      </w:r>
      <w:r>
        <w:rPr/>
        <w:t xml:space="preserve"> Gracias a la Plataforma de Intermediación de Datos, el ciudadano:</w:t>
      </w:r>
    </w:p>
    <w:p>
      <w:pPr>
        <w:pStyle w:val="BodyText"/>
        <w:rPr/>
      </w:pPr>
      <w:r>
        <w:rPr/>
        <w:t>   </w:t>
      </w:r>
      <w:r>
        <w:rPr/>
        <w:t>a) Paga menos tasas</w:t>
      </w:r>
    </w:p>
    <w:p>
      <w:pPr>
        <w:pStyle w:val="BodyText"/>
        <w:rPr/>
      </w:pPr>
      <w:r>
        <w:rPr/>
        <w:t>   </w:t>
      </w:r>
      <w:r>
        <w:rPr/>
        <w:t>b) No debe aportar documentos que ya obren en poder de las AAPP (art. 28 Ley 39/2015): la Administración los consulta electrónicamente</w:t>
      </w:r>
    </w:p>
    <w:p>
      <w:pPr>
        <w:pStyle w:val="BodyText"/>
        <w:rPr/>
      </w:pPr>
      <w:r>
        <w:rPr/>
        <w:t>   </w:t>
      </w:r>
      <w:r>
        <w:rPr/>
        <w:t>c) Evita identificarse</w:t>
      </w:r>
    </w:p>
    <w:p>
      <w:pPr>
        <w:pStyle w:val="BodyText"/>
        <w:rPr/>
      </w:pPr>
      <w:r>
        <w:rPr/>
        <w:t>   </w:t>
      </w:r>
      <w:r>
        <w:rPr/>
        <w:t>d) Recibe los documentos en papel</w:t>
      </w:r>
    </w:p>
    <w:p>
      <w:pPr>
        <w:pStyle w:val="BodyText"/>
        <w:rPr/>
      </w:pPr>
      <w:r>
        <w:rPr>
          <w:b/>
        </w:rPr>
        <w:t>30.</w:t>
      </w:r>
      <w:r>
        <w:rPr/>
        <w:t xml:space="preserve"> GEISER y ORVE son:</w:t>
      </w:r>
    </w:p>
    <w:p>
      <w:pPr>
        <w:pStyle w:val="BodyText"/>
        <w:rPr/>
      </w:pPr>
      <w:r>
        <w:rPr/>
        <w:t>   </w:t>
      </w:r>
      <w:r>
        <w:rPr/>
        <w:t>a) Satélites de comunicaciones</w:t>
      </w:r>
    </w:p>
    <w:p>
      <w:pPr>
        <w:pStyle w:val="BodyText"/>
        <w:rPr/>
      </w:pPr>
      <w:r>
        <w:rPr/>
        <w:t>   </w:t>
      </w:r>
      <w:r>
        <w:rPr/>
        <w:t>b) Aplicaciones de registro integradas en el Sistema de Interconexión de Registros (SIR)</w:t>
      </w:r>
    </w:p>
    <w:p>
      <w:pPr>
        <w:pStyle w:val="BodyText"/>
        <w:rPr/>
      </w:pPr>
      <w:r>
        <w:rPr/>
        <w:t>   </w:t>
      </w:r>
      <w:r>
        <w:rPr/>
        <w:t>c) Bases de datos policiales</w:t>
      </w:r>
    </w:p>
    <w:p>
      <w:pPr>
        <w:pStyle w:val="BodyText"/>
        <w:rPr/>
      </w:pPr>
      <w:r>
        <w:rPr/>
        <w:t>   </w:t>
      </w:r>
      <w:r>
        <w:rPr/>
        <w:t>d) Certificados electrónicos</w:t>
      </w:r>
    </w:p>
    <w:p>
      <w:pPr>
        <w:pStyle w:val="BodyText"/>
        <w:rPr/>
      </w:pPr>
      <w:r>
        <w:rPr>
          <w:b/>
        </w:rPr>
        <w:t>Bloque II</w:t>
      </w:r>
    </w:p>
    <w:p>
      <w:pPr>
        <w:pStyle w:val="BodyText"/>
        <w:rPr/>
      </w:pPr>
      <w:r>
        <w:rPr>
          <w:b/>
        </w:rPr>
        <w:t>31.</w:t>
      </w:r>
      <w:r>
        <w:rPr/>
        <w:t xml:space="preserve"> 2^16 equivale a:</w:t>
      </w:r>
    </w:p>
    <w:p>
      <w:pPr>
        <w:pStyle w:val="BodyText"/>
        <w:rPr/>
      </w:pPr>
      <w:r>
        <w:rPr/>
        <w:t>   </w:t>
      </w:r>
      <w:r>
        <w:rPr/>
        <w:t>a) 32.768</w:t>
      </w:r>
    </w:p>
    <w:p>
      <w:pPr>
        <w:pStyle w:val="BodyText"/>
        <w:rPr/>
      </w:pPr>
      <w:r>
        <w:rPr/>
        <w:t>   </w:t>
      </w:r>
      <w:r>
        <w:rPr/>
        <w:t>b) 65.536</w:t>
      </w:r>
    </w:p>
    <w:p>
      <w:pPr>
        <w:pStyle w:val="BodyText"/>
        <w:rPr/>
      </w:pPr>
      <w:r>
        <w:rPr/>
        <w:t>   </w:t>
      </w:r>
      <w:r>
        <w:rPr/>
        <w:t>c) 16.384</w:t>
      </w:r>
    </w:p>
    <w:p>
      <w:pPr>
        <w:pStyle w:val="BodyText"/>
        <w:rPr/>
      </w:pPr>
      <w:r>
        <w:rPr/>
        <w:t>   </w:t>
      </w:r>
      <w:r>
        <w:rPr/>
        <w:t>d) 131.072</w:t>
      </w:r>
    </w:p>
    <w:p>
      <w:pPr>
        <w:pStyle w:val="BodyText"/>
        <w:rPr/>
      </w:pPr>
      <w:r>
        <w:rPr>
          <w:b/>
        </w:rPr>
        <w:t>32.</w:t>
      </w:r>
      <w:r>
        <w:rPr/>
        <w:t xml:space="preserve"> En complemento a dos con 8 bits, 10000000 representa:</w:t>
      </w:r>
    </w:p>
    <w:p>
      <w:pPr>
        <w:pStyle w:val="BodyText"/>
        <w:rPr/>
      </w:pPr>
      <w:r>
        <w:rPr/>
        <w:t>   </w:t>
      </w:r>
      <w:r>
        <w:rPr/>
        <w:t>a) 128</w:t>
      </w:r>
    </w:p>
    <w:p>
      <w:pPr>
        <w:pStyle w:val="BodyText"/>
        <w:rPr/>
      </w:pPr>
      <w:r>
        <w:rPr/>
        <w:t>   </w:t>
      </w:r>
      <w:r>
        <w:rPr/>
        <w:t>b) −128</w:t>
      </w:r>
    </w:p>
    <w:p>
      <w:pPr>
        <w:pStyle w:val="BodyText"/>
        <w:rPr/>
      </w:pPr>
      <w:r>
        <w:rPr/>
        <w:t>   </w:t>
      </w:r>
      <w:r>
        <w:rPr/>
        <w:t>c) −0</w:t>
      </w:r>
    </w:p>
    <w:p>
      <w:pPr>
        <w:pStyle w:val="BodyText"/>
        <w:rPr/>
      </w:pPr>
      <w:r>
        <w:rPr/>
        <w:t>   </w:t>
      </w:r>
      <w:r>
        <w:rPr/>
        <w:t>d) −127</w:t>
      </w:r>
    </w:p>
    <w:p>
      <w:pPr>
        <w:pStyle w:val="BodyText"/>
        <w:rPr/>
      </w:pPr>
      <w:r>
        <w:rPr>
          <w:b/>
        </w:rPr>
        <w:t>33.</w:t>
      </w:r>
      <w:r>
        <w:rPr/>
        <w:t xml:space="preserve"> Frente a la BIOS clásica con MBR, UEFI aporta:</w:t>
      </w:r>
    </w:p>
    <w:p>
      <w:pPr>
        <w:pStyle w:val="BodyText"/>
        <w:rPr/>
      </w:pPr>
      <w:r>
        <w:rPr/>
        <w:t>   </w:t>
      </w:r>
      <w:r>
        <w:rPr/>
        <w:t>a) Menor velocidad de arranque</w:t>
      </w:r>
    </w:p>
    <w:p>
      <w:pPr>
        <w:pStyle w:val="BodyText"/>
        <w:rPr/>
      </w:pPr>
      <w:r>
        <w:rPr/>
        <w:t>   </w:t>
      </w:r>
      <w:r>
        <w:rPr/>
        <w:t>b) Arranque seguro (Secure Boot), particionado GPT y soporte de discos de más de 2 TB</w:t>
      </w:r>
    </w:p>
    <w:p>
      <w:pPr>
        <w:pStyle w:val="BodyText"/>
        <w:rPr/>
      </w:pPr>
      <w:r>
        <w:rPr/>
        <w:t>   </w:t>
      </w:r>
      <w:r>
        <w:rPr/>
        <w:t>c) Incompatibilidad con Windows</w:t>
      </w:r>
    </w:p>
    <w:p>
      <w:pPr>
        <w:pStyle w:val="BodyText"/>
        <w:rPr/>
      </w:pPr>
      <w:r>
        <w:rPr/>
        <w:t>   </w:t>
      </w:r>
      <w:r>
        <w:rPr/>
        <w:t>d) Solo interfaz de texto</w:t>
      </w:r>
    </w:p>
    <w:p>
      <w:pPr>
        <w:pStyle w:val="BodyText"/>
        <w:rPr/>
      </w:pPr>
      <w:r>
        <w:rPr>
          <w:b/>
        </w:rPr>
        <w:t>34.</w:t>
      </w:r>
      <w:r>
        <w:rPr/>
        <w:t xml:space="preserve"> Una cola de prioridad se implementa eficientemente con:</w:t>
      </w:r>
    </w:p>
    <w:p>
      <w:pPr>
        <w:pStyle w:val="BodyText"/>
        <w:rPr/>
      </w:pPr>
      <w:r>
        <w:rPr/>
        <w:t>   </w:t>
      </w:r>
      <w:r>
        <w:rPr/>
        <w:t>a) Una lista enlazada simple</w:t>
      </w:r>
    </w:p>
    <w:p>
      <w:pPr>
        <w:pStyle w:val="BodyText"/>
        <w:rPr/>
      </w:pPr>
      <w:r>
        <w:rPr/>
        <w:t>   </w:t>
      </w:r>
      <w:r>
        <w:rPr/>
        <w:t>b) Un montículo (heap)</w:t>
      </w:r>
    </w:p>
    <w:p>
      <w:pPr>
        <w:pStyle w:val="BodyText"/>
        <w:rPr/>
      </w:pPr>
      <w:r>
        <w:rPr/>
        <w:t>   </w:t>
      </w:r>
      <w:r>
        <w:rPr/>
        <w:t>c) Una pila</w:t>
      </w:r>
    </w:p>
    <w:p>
      <w:pPr>
        <w:pStyle w:val="BodyText"/>
        <w:rPr/>
      </w:pPr>
      <w:r>
        <w:rPr/>
        <w:t>   </w:t>
      </w:r>
      <w:r>
        <w:rPr/>
        <w:t>d) Una tabla hash</w:t>
      </w:r>
    </w:p>
    <w:p>
      <w:pPr>
        <w:pStyle w:val="BodyText"/>
        <w:rPr/>
      </w:pPr>
      <w:r>
        <w:rPr>
          <w:b/>
        </w:rPr>
        <w:t>35.</w:t>
      </w:r>
      <w:r>
        <w:rPr/>
        <w:t xml:space="preserve"> Un algoritmo de ordenación ESTABLE es el que:</w:t>
      </w:r>
    </w:p>
    <w:p>
      <w:pPr>
        <w:pStyle w:val="BodyText"/>
        <w:rPr/>
      </w:pPr>
      <w:r>
        <w:rPr/>
        <w:t>   </w:t>
      </w:r>
      <w:r>
        <w:rPr/>
        <w:t>a) Nunca falla</w:t>
      </w:r>
    </w:p>
    <w:p>
      <w:pPr>
        <w:pStyle w:val="BodyText"/>
        <w:rPr/>
      </w:pPr>
      <w:r>
        <w:rPr/>
        <w:t>   </w:t>
      </w:r>
      <w:r>
        <w:rPr/>
        <w:t>b) Mantiene el orden relativo de los elementos con claves iguales (p. ej., Mergesort)</w:t>
      </w:r>
    </w:p>
    <w:p>
      <w:pPr>
        <w:pStyle w:val="BodyText"/>
        <w:rPr/>
      </w:pPr>
      <w:r>
        <w:rPr/>
        <w:t>   </w:t>
      </w:r>
      <w:r>
        <w:rPr/>
        <w:t>c) Usa memoria constante</w:t>
      </w:r>
    </w:p>
    <w:p>
      <w:pPr>
        <w:pStyle w:val="BodyText"/>
        <w:rPr/>
      </w:pPr>
      <w:r>
        <w:rPr/>
        <w:t>   </w:t>
      </w:r>
      <w:r>
        <w:rPr/>
        <w:t>d) Ordena en O(n)</w:t>
      </w:r>
    </w:p>
    <w:p>
      <w:pPr>
        <w:pStyle w:val="BodyText"/>
        <w:rPr/>
      </w:pPr>
      <w:r>
        <w:rPr>
          <w:b/>
        </w:rPr>
        <w:t>36.</w:t>
      </w:r>
      <w:r>
        <w:rPr/>
        <w:t xml:space="preserve"> En Linux, los ficheros de log del sistema se localizan por convención en:</w:t>
      </w:r>
    </w:p>
    <w:p>
      <w:pPr>
        <w:pStyle w:val="BodyText"/>
        <w:rPr/>
      </w:pPr>
      <w:r>
        <w:rPr/>
        <w:t>   </w:t>
      </w:r>
      <w:r>
        <w:rPr/>
        <w:t>a) /etc/logs</w:t>
      </w:r>
    </w:p>
    <w:p>
      <w:pPr>
        <w:pStyle w:val="BodyText"/>
        <w:rPr/>
      </w:pPr>
      <w:r>
        <w:rPr/>
        <w:t>   </w:t>
      </w:r>
      <w:r>
        <w:rPr/>
        <w:t>b) /var/log</w:t>
      </w:r>
    </w:p>
    <w:p>
      <w:pPr>
        <w:pStyle w:val="BodyText"/>
        <w:rPr/>
      </w:pPr>
      <w:r>
        <w:rPr/>
        <w:t>   </w:t>
      </w:r>
      <w:r>
        <w:rPr/>
        <w:t>c) /usr/log</w:t>
      </w:r>
    </w:p>
    <w:p>
      <w:pPr>
        <w:pStyle w:val="BodyText"/>
        <w:rPr/>
      </w:pPr>
      <w:r>
        <w:rPr/>
        <w:t>   </w:t>
      </w:r>
      <w:r>
        <w:rPr/>
        <w:t>d) /home/logs</w:t>
      </w:r>
    </w:p>
    <w:p>
      <w:pPr>
        <w:pStyle w:val="BodyText"/>
        <w:rPr/>
      </w:pPr>
      <w:r>
        <w:rPr>
          <w:b/>
        </w:rPr>
        <w:t>37.</w:t>
      </w:r>
      <w:r>
        <w:rPr/>
        <w:t xml:space="preserve"> El comando kill -9 envía al proceso la señal:</w:t>
      </w:r>
    </w:p>
    <w:p>
      <w:pPr>
        <w:pStyle w:val="BodyText"/>
        <w:rPr/>
      </w:pPr>
      <w:r>
        <w:rPr/>
        <w:t>   </w:t>
      </w:r>
      <w:r>
        <w:rPr/>
        <w:t>a) SIGTERM (terminación ordenada)</w:t>
      </w:r>
    </w:p>
    <w:p>
      <w:pPr>
        <w:pStyle w:val="BodyText"/>
        <w:rPr/>
      </w:pPr>
      <w:r>
        <w:rPr/>
        <w:t>   </w:t>
      </w:r>
      <w:r>
        <w:rPr/>
        <w:t>b) SIGKILL (terminación inmediata no capturable)</w:t>
      </w:r>
    </w:p>
    <w:p>
      <w:pPr>
        <w:pStyle w:val="BodyText"/>
        <w:rPr/>
      </w:pPr>
      <w:r>
        <w:rPr/>
        <w:t>   </w:t>
      </w:r>
      <w:r>
        <w:rPr/>
        <w:t>c) SIGHUP</w:t>
      </w:r>
    </w:p>
    <w:p>
      <w:pPr>
        <w:pStyle w:val="BodyText"/>
        <w:rPr/>
      </w:pPr>
      <w:r>
        <w:rPr/>
        <w:t>   </w:t>
      </w:r>
      <w:r>
        <w:rPr/>
        <w:t>d) SIGSTOP</w:t>
      </w:r>
    </w:p>
    <w:p>
      <w:pPr>
        <w:pStyle w:val="BodyText"/>
        <w:rPr/>
      </w:pPr>
      <w:r>
        <w:rPr>
          <w:b/>
        </w:rPr>
        <w:t>38.</w:t>
      </w:r>
      <w:r>
        <w:rPr/>
        <w:t xml:space="preserve"> Para un pendrive que deba leerse en Windows, macOS y Linux con ficheros de más de 4 GB, el sistema de ficheros adecuado es:</w:t>
      </w:r>
    </w:p>
    <w:p>
      <w:pPr>
        <w:pStyle w:val="BodyText"/>
        <w:rPr/>
      </w:pPr>
      <w:r>
        <w:rPr/>
        <w:t>   </w:t>
      </w:r>
      <w:r>
        <w:rPr/>
        <w:t>a) FAT32</w:t>
      </w:r>
    </w:p>
    <w:p>
      <w:pPr>
        <w:pStyle w:val="BodyText"/>
        <w:rPr/>
      </w:pPr>
      <w:r>
        <w:rPr/>
        <w:t>   </w:t>
      </w:r>
      <w:r>
        <w:rPr/>
        <w:t>b) exFAT</w:t>
      </w:r>
    </w:p>
    <w:p>
      <w:pPr>
        <w:pStyle w:val="BodyText"/>
        <w:rPr/>
      </w:pPr>
      <w:r>
        <w:rPr/>
        <w:t>   </w:t>
      </w:r>
      <w:r>
        <w:rPr/>
        <w:t>c) NTFS</w:t>
      </w:r>
    </w:p>
    <w:p>
      <w:pPr>
        <w:pStyle w:val="BodyText"/>
        <w:rPr/>
      </w:pPr>
      <w:r>
        <w:rPr/>
        <w:t>   </w:t>
      </w:r>
      <w:r>
        <w:rPr/>
        <w:t>d) ext4</w:t>
      </w:r>
    </w:p>
    <w:p>
      <w:pPr>
        <w:pStyle w:val="BodyText"/>
        <w:rPr/>
      </w:pPr>
      <w:r>
        <w:rPr>
          <w:b/>
        </w:rPr>
        <w:t>39.</w:t>
      </w:r>
      <w:r>
        <w:rPr/>
        <w:t xml:space="preserve"> El comando TRIM en un SSD sirve para:</w:t>
      </w:r>
    </w:p>
    <w:p>
      <w:pPr>
        <w:pStyle w:val="BodyText"/>
        <w:rPr/>
      </w:pPr>
      <w:r>
        <w:rPr/>
        <w:t>   </w:t>
      </w:r>
      <w:r>
        <w:rPr/>
        <w:t>a) Desfragmentar como en un HDD</w:t>
      </w:r>
    </w:p>
    <w:p>
      <w:pPr>
        <w:pStyle w:val="BodyText"/>
        <w:rPr/>
      </w:pPr>
      <w:r>
        <w:rPr/>
        <w:t>   </w:t>
      </w:r>
      <w:r>
        <w:rPr/>
        <w:t>b) Informar a la controladora de los bloques ya no usados para optimizar la escritura y el desgaste</w:t>
      </w:r>
    </w:p>
    <w:p>
      <w:pPr>
        <w:pStyle w:val="BodyText"/>
        <w:rPr/>
      </w:pPr>
      <w:r>
        <w:rPr/>
        <w:t>   </w:t>
      </w:r>
      <w:r>
        <w:rPr/>
        <w:t>c) Cifrar la unidad</w:t>
      </w:r>
    </w:p>
    <w:p>
      <w:pPr>
        <w:pStyle w:val="BodyText"/>
        <w:rPr/>
      </w:pPr>
      <w:r>
        <w:rPr/>
        <w:t>   </w:t>
      </w:r>
      <w:r>
        <w:rPr/>
        <w:t>d) Aumentar la capacidad</w:t>
      </w:r>
    </w:p>
    <w:p>
      <w:pPr>
        <w:pStyle w:val="BodyText"/>
        <w:rPr/>
      </w:pPr>
      <w:r>
        <w:rPr>
          <w:b/>
        </w:rPr>
        <w:t>40.</w:t>
      </w:r>
      <w:r>
        <w:rPr/>
        <w:t xml:space="preserve"> Un DVD de doble capa almacena aproximadamente:</w:t>
      </w:r>
    </w:p>
    <w:p>
      <w:pPr>
        <w:pStyle w:val="BodyText"/>
        <w:rPr/>
      </w:pPr>
      <w:r>
        <w:rPr/>
        <w:t>   </w:t>
      </w:r>
      <w:r>
        <w:rPr/>
        <w:t>a) 4,7 GB</w:t>
      </w:r>
    </w:p>
    <w:p>
      <w:pPr>
        <w:pStyle w:val="BodyText"/>
        <w:rPr/>
      </w:pPr>
      <w:r>
        <w:rPr/>
        <w:t>   </w:t>
      </w:r>
      <w:r>
        <w:rPr/>
        <w:t>b) 8,5 GB</w:t>
      </w:r>
    </w:p>
    <w:p>
      <w:pPr>
        <w:pStyle w:val="BodyText"/>
        <w:rPr/>
      </w:pPr>
      <w:r>
        <w:rPr/>
        <w:t>   </w:t>
      </w:r>
      <w:r>
        <w:rPr/>
        <w:t>c) 17 GB</w:t>
      </w:r>
    </w:p>
    <w:p>
      <w:pPr>
        <w:pStyle w:val="BodyText"/>
        <w:rPr/>
      </w:pPr>
      <w:r>
        <w:rPr/>
        <w:t>   </w:t>
      </w:r>
      <w:r>
        <w:rPr/>
        <w:t>d) 25 GB</w:t>
      </w:r>
    </w:p>
    <w:p>
      <w:pPr>
        <w:pStyle w:val="BodyText"/>
        <w:rPr/>
      </w:pPr>
      <w:r>
        <w:rPr>
          <w:b/>
        </w:rPr>
        <w:t>41.</w:t>
      </w:r>
      <w:r>
        <w:rPr/>
        <w:t xml:space="preserve"> La independencia FÍSICA de datos (ANSI/SPARC) permite:</w:t>
      </w:r>
    </w:p>
    <w:p>
      <w:pPr>
        <w:pStyle w:val="BodyText"/>
        <w:rPr/>
      </w:pPr>
      <w:r>
        <w:rPr/>
        <w:t>   </w:t>
      </w:r>
      <w:r>
        <w:rPr/>
        <w:t>a) Cambiar las vistas sin tocar las aplicaciones</w:t>
      </w:r>
    </w:p>
    <w:p>
      <w:pPr>
        <w:pStyle w:val="BodyText"/>
        <w:rPr/>
      </w:pPr>
      <w:r>
        <w:rPr/>
        <w:t>   </w:t>
      </w:r>
      <w:r>
        <w:rPr/>
        <w:t>b) Modificar el almacenamiento interno (índices, organización) sin alterar el esquema conceptual</w:t>
      </w:r>
    </w:p>
    <w:p>
      <w:pPr>
        <w:pStyle w:val="BodyText"/>
        <w:rPr/>
      </w:pPr>
      <w:r>
        <w:rPr/>
        <w:t>   </w:t>
      </w:r>
      <w:r>
        <w:rPr/>
        <w:t>c) Eliminar el nivel conceptual</w:t>
      </w:r>
    </w:p>
    <w:p>
      <w:pPr>
        <w:pStyle w:val="BodyText"/>
        <w:rPr/>
      </w:pPr>
      <w:r>
        <w:rPr/>
        <w:t>   </w:t>
      </w:r>
      <w:r>
        <w:rPr/>
        <w:t>d) Prescindir del DBA</w:t>
      </w:r>
    </w:p>
    <w:p>
      <w:pPr>
        <w:pStyle w:val="BodyText"/>
        <w:rPr/>
      </w:pPr>
      <w:r>
        <w:rPr>
          <w:b/>
        </w:rPr>
        <w:t>42.</w:t>
      </w:r>
      <w:r>
        <w:rPr/>
        <w:t xml:space="preserve"> Redis es un SGBD NoSQL de tipo:</w:t>
      </w:r>
    </w:p>
    <w:p>
      <w:pPr>
        <w:pStyle w:val="BodyText"/>
        <w:rPr/>
      </w:pPr>
      <w:r>
        <w:rPr/>
        <w:t>   </w:t>
      </w:r>
      <w:r>
        <w:rPr/>
        <w:t>a) Documental</w:t>
      </w:r>
    </w:p>
    <w:p>
      <w:pPr>
        <w:pStyle w:val="BodyText"/>
        <w:rPr/>
      </w:pPr>
      <w:r>
        <w:rPr/>
        <w:t>   </w:t>
      </w:r>
      <w:r>
        <w:rPr/>
        <w:t>b) Clave-valor en memoria</w:t>
      </w:r>
    </w:p>
    <w:p>
      <w:pPr>
        <w:pStyle w:val="BodyText"/>
        <w:rPr/>
      </w:pPr>
      <w:r>
        <w:rPr/>
        <w:t>   </w:t>
      </w:r>
      <w:r>
        <w:rPr/>
        <w:t>c) Columnar</w:t>
      </w:r>
    </w:p>
    <w:p>
      <w:pPr>
        <w:pStyle w:val="BodyText"/>
        <w:rPr/>
      </w:pPr>
      <w:r>
        <w:rPr/>
        <w:t>   </w:t>
      </w:r>
      <w:r>
        <w:rPr/>
        <w:t>d) Grafos</w:t>
      </w:r>
    </w:p>
    <w:p>
      <w:pPr>
        <w:pStyle w:val="BodyText"/>
        <w:rPr/>
      </w:pPr>
      <w:r>
        <w:rPr>
          <w:b/>
        </w:rPr>
        <w:t>Bloque III</w:t>
      </w:r>
    </w:p>
    <w:p>
      <w:pPr>
        <w:pStyle w:val="BodyText"/>
        <w:rPr/>
      </w:pPr>
      <w:r>
        <w:rPr>
          <w:b/>
        </w:rPr>
        <w:t>43.</w:t>
      </w:r>
      <w:r>
        <w:rPr/>
        <w:t xml:space="preserve"> La diferencia entre UNION y UNION ALL en SQL es:</w:t>
      </w:r>
    </w:p>
    <w:p>
      <w:pPr>
        <w:pStyle w:val="BodyText"/>
        <w:rPr/>
      </w:pPr>
      <w:r>
        <w:rPr/>
        <w:t>   </w:t>
      </w:r>
      <w:r>
        <w:rPr/>
        <w:t>a) Ninguna</w:t>
      </w:r>
    </w:p>
    <w:p>
      <w:pPr>
        <w:pStyle w:val="BodyText"/>
        <w:rPr/>
      </w:pPr>
      <w:r>
        <w:rPr/>
        <w:t>   </w:t>
      </w:r>
      <w:r>
        <w:rPr/>
        <w:t>b) UNION elimina las filas duplicadas del resultado; UNION ALL las conserva (y es más rápido)</w:t>
      </w:r>
    </w:p>
    <w:p>
      <w:pPr>
        <w:pStyle w:val="BodyText"/>
        <w:rPr/>
      </w:pPr>
      <w:r>
        <w:rPr/>
        <w:t>   </w:t>
      </w:r>
      <w:r>
        <w:rPr/>
        <w:t>c) UNION ALL ordena el resultado</w:t>
      </w:r>
    </w:p>
    <w:p>
      <w:pPr>
        <w:pStyle w:val="BodyText"/>
        <w:rPr/>
      </w:pPr>
      <w:r>
        <w:rPr/>
        <w:t>   </w:t>
      </w:r>
      <w:r>
        <w:rPr/>
        <w:t>d) UNION solo une dos columnas</w:t>
      </w:r>
    </w:p>
    <w:p>
      <w:pPr>
        <w:pStyle w:val="BodyText"/>
        <w:rPr/>
      </w:pPr>
      <w:r>
        <w:rPr>
          <w:b/>
        </w:rPr>
        <w:t>44.</w:t>
      </w:r>
      <w:r>
        <w:rPr/>
        <w:t xml:space="preserve"> Un índice UNIQUE sobre una columna:</w:t>
      </w:r>
    </w:p>
    <w:p>
      <w:pPr>
        <w:pStyle w:val="BodyText"/>
        <w:rPr/>
      </w:pPr>
      <w:r>
        <w:rPr/>
        <w:t>   </w:t>
      </w:r>
      <w:r>
        <w:rPr/>
        <w:t>a) Solo acelera consultas</w:t>
      </w:r>
    </w:p>
    <w:p>
      <w:pPr>
        <w:pStyle w:val="BodyText"/>
        <w:rPr/>
      </w:pPr>
      <w:r>
        <w:rPr/>
        <w:t>   </w:t>
      </w:r>
      <w:r>
        <w:rPr/>
        <w:t>b) Impide valores duplicados en esa columna además de indexarla</w:t>
      </w:r>
    </w:p>
    <w:p>
      <w:pPr>
        <w:pStyle w:val="BodyText"/>
        <w:rPr/>
      </w:pPr>
      <w:r>
        <w:rPr/>
        <w:t>   </w:t>
      </w:r>
      <w:r>
        <w:rPr/>
        <w:t>c) Permite duplicados si son NULL siempre</w:t>
      </w:r>
    </w:p>
    <w:p>
      <w:pPr>
        <w:pStyle w:val="BodyText"/>
        <w:rPr/>
      </w:pPr>
      <w:r>
        <w:rPr/>
        <w:t>   </w:t>
      </w:r>
      <w:r>
        <w:rPr/>
        <w:t>d) Es obligatorio en toda tabla</w:t>
      </w:r>
    </w:p>
    <w:p>
      <w:pPr>
        <w:pStyle w:val="BodyText"/>
        <w:rPr/>
      </w:pPr>
      <w:r>
        <w:rPr>
          <w:b/>
        </w:rPr>
        <w:t>45.</w:t>
      </w:r>
      <w:r>
        <w:rPr/>
        <w:t xml:space="preserve"> Con ON DELETE CASCADE en una clave foránea, al borrar la fila padre:</w:t>
      </w:r>
    </w:p>
    <w:p>
      <w:pPr>
        <w:pStyle w:val="BodyText"/>
        <w:rPr/>
      </w:pPr>
      <w:r>
        <w:rPr/>
        <w:t>   </w:t>
      </w:r>
      <w:r>
        <w:rPr/>
        <w:t>a) Se produce un error</w:t>
      </w:r>
    </w:p>
    <w:p>
      <w:pPr>
        <w:pStyle w:val="BodyText"/>
        <w:rPr/>
      </w:pPr>
      <w:r>
        <w:rPr/>
        <w:t>   </w:t>
      </w:r>
      <w:r>
        <w:rPr/>
        <w:t>b) Se borran automáticamente las filas hijas que la referencian</w:t>
      </w:r>
    </w:p>
    <w:p>
      <w:pPr>
        <w:pStyle w:val="BodyText"/>
        <w:rPr/>
      </w:pPr>
      <w:r>
        <w:rPr/>
        <w:t>   </w:t>
      </w:r>
      <w:r>
        <w:rPr/>
        <w:t>c) Las hijas quedan a NULL</w:t>
      </w:r>
    </w:p>
    <w:p>
      <w:pPr>
        <w:pStyle w:val="BodyText"/>
        <w:rPr/>
      </w:pPr>
      <w:r>
        <w:rPr/>
        <w:t>   </w:t>
      </w:r>
      <w:r>
        <w:rPr/>
        <w:t>d) No pasa nada</w:t>
      </w:r>
    </w:p>
    <w:p>
      <w:pPr>
        <w:pStyle w:val="BodyText"/>
        <w:rPr/>
      </w:pPr>
      <w:r>
        <w:rPr>
          <w:b/>
        </w:rPr>
        <w:t>46.</w:t>
      </w:r>
      <w:r>
        <w:rPr/>
        <w:t xml:space="preserve"> En el modelo E/R, un atributo DERIVADO es el que:</w:t>
      </w:r>
    </w:p>
    <w:p>
      <w:pPr>
        <w:pStyle w:val="BodyText"/>
        <w:rPr/>
      </w:pPr>
      <w:r>
        <w:rPr/>
        <w:t>   </w:t>
      </w:r>
      <w:r>
        <w:rPr/>
        <w:t>a) Tiene varios valores</w:t>
      </w:r>
    </w:p>
    <w:p>
      <w:pPr>
        <w:pStyle w:val="BodyText"/>
        <w:rPr/>
      </w:pPr>
      <w:r>
        <w:rPr/>
        <w:t>   </w:t>
      </w:r>
      <w:r>
        <w:rPr/>
        <w:t>b) Se calcula a partir de otros (p. ej., la edad desde la fecha de nacimiento) y suele no almacenarse</w:t>
      </w:r>
    </w:p>
    <w:p>
      <w:pPr>
        <w:pStyle w:val="BodyText"/>
        <w:rPr/>
      </w:pPr>
      <w:r>
        <w:rPr/>
        <w:t>   </w:t>
      </w:r>
      <w:r>
        <w:rPr/>
        <w:t>c) Identifica la entidad</w:t>
      </w:r>
    </w:p>
    <w:p>
      <w:pPr>
        <w:pStyle w:val="BodyText"/>
        <w:rPr/>
      </w:pPr>
      <w:r>
        <w:rPr/>
        <w:t>   </w:t>
      </w:r>
      <w:r>
        <w:rPr/>
        <w:t>d) Pertenece a una relación</w:t>
      </w:r>
    </w:p>
    <w:p>
      <w:pPr>
        <w:pStyle w:val="BodyText"/>
        <w:rPr/>
      </w:pPr>
      <w:r>
        <w:rPr>
          <w:b/>
        </w:rPr>
        <w:t>47.</w:t>
      </w:r>
      <w:r>
        <w:rPr/>
        <w:t xml:space="preserve"> El diagrama UML que muestra el intercambio de mensajes entre objetos a lo largo del tiempo es el de:</w:t>
      </w:r>
    </w:p>
    <w:p>
      <w:pPr>
        <w:pStyle w:val="BodyText"/>
        <w:rPr/>
      </w:pPr>
      <w:r>
        <w:rPr/>
        <w:t>   </w:t>
      </w:r>
      <w:r>
        <w:rPr/>
        <w:t>a) Clases</w:t>
      </w:r>
    </w:p>
    <w:p>
      <w:pPr>
        <w:pStyle w:val="BodyText"/>
        <w:rPr/>
      </w:pPr>
      <w:r>
        <w:rPr/>
        <w:t>   </w:t>
      </w:r>
      <w:r>
        <w:rPr/>
        <w:t>b) Secuencia</w:t>
      </w:r>
    </w:p>
    <w:p>
      <w:pPr>
        <w:pStyle w:val="BodyText"/>
        <w:rPr/>
      </w:pPr>
      <w:r>
        <w:rPr/>
        <w:t>   </w:t>
      </w:r>
      <w:r>
        <w:rPr/>
        <w:t>c) Despliegue</w:t>
      </w:r>
    </w:p>
    <w:p>
      <w:pPr>
        <w:pStyle w:val="BodyText"/>
        <w:rPr/>
      </w:pPr>
      <w:r>
        <w:rPr/>
        <w:t>   </w:t>
      </w:r>
      <w:r>
        <w:rPr/>
        <w:t>d) Componentes</w:t>
      </w:r>
    </w:p>
    <w:p>
      <w:pPr>
        <w:pStyle w:val="BodyText"/>
        <w:rPr/>
      </w:pPr>
      <w:r>
        <w:rPr>
          <w:b/>
        </w:rPr>
        <w:t>48.</w:t>
      </w:r>
      <w:r>
        <w:rPr/>
        <w:t xml:space="preserve"> En Java, una clase puede:</w:t>
      </w:r>
    </w:p>
    <w:p>
      <w:pPr>
        <w:pStyle w:val="BodyText"/>
        <w:rPr/>
      </w:pPr>
      <w:r>
        <w:rPr/>
        <w:t>   </w:t>
      </w:r>
      <w:r>
        <w:rPr/>
        <w:t>a) Extender varias clases</w:t>
      </w:r>
    </w:p>
    <w:p>
      <w:pPr>
        <w:pStyle w:val="BodyText"/>
        <w:rPr/>
      </w:pPr>
      <w:r>
        <w:rPr/>
        <w:t>   </w:t>
      </w:r>
      <w:r>
        <w:rPr/>
        <w:t>b) Extender una sola clase e implementar múltiples interfaces</w:t>
      </w:r>
    </w:p>
    <w:p>
      <w:pPr>
        <w:pStyle w:val="BodyText"/>
        <w:rPr/>
      </w:pPr>
      <w:r>
        <w:rPr/>
        <w:t>   </w:t>
      </w:r>
      <w:r>
        <w:rPr/>
        <w:t>c) Implementar una sola interfaz</w:t>
      </w:r>
    </w:p>
    <w:p>
      <w:pPr>
        <w:pStyle w:val="BodyText"/>
        <w:rPr/>
      </w:pPr>
      <w:r>
        <w:rPr/>
        <w:t>   </w:t>
      </w:r>
      <w:r>
        <w:rPr/>
        <w:t>d) Ni extender ni implementar</w:t>
      </w:r>
    </w:p>
    <w:p>
      <w:pPr>
        <w:pStyle w:val="BodyText"/>
        <w:rPr/>
      </w:pPr>
      <w:r>
        <w:rPr>
          <w:b/>
        </w:rPr>
        <w:t>49.</w:t>
      </w:r>
      <w:r>
        <w:rPr/>
        <w:t xml:space="preserve"> La diferencia entre JDK y JRE es:</w:t>
      </w:r>
    </w:p>
    <w:p>
      <w:pPr>
        <w:pStyle w:val="BodyText"/>
        <w:rPr/>
      </w:pPr>
      <w:r>
        <w:rPr/>
        <w:t>   </w:t>
      </w:r>
      <w:r>
        <w:rPr/>
        <w:t>a) Ninguna</w:t>
      </w:r>
    </w:p>
    <w:p>
      <w:pPr>
        <w:pStyle w:val="BodyText"/>
        <w:rPr/>
      </w:pPr>
      <w:r>
        <w:rPr/>
        <w:t>   </w:t>
      </w:r>
      <w:r>
        <w:rPr/>
        <w:t>b) El JDK incluye las herramientas de desarrollo (javac…) además del entorno de ejecución JRE</w:t>
      </w:r>
    </w:p>
    <w:p>
      <w:pPr>
        <w:pStyle w:val="BodyText"/>
        <w:rPr/>
      </w:pPr>
      <w:r>
        <w:rPr/>
        <w:t>   </w:t>
      </w:r>
      <w:r>
        <w:rPr/>
        <w:t>c) El JRE compila y el JDK ejecuta</w:t>
      </w:r>
    </w:p>
    <w:p>
      <w:pPr>
        <w:pStyle w:val="BodyText"/>
        <w:rPr/>
      </w:pPr>
      <w:r>
        <w:rPr/>
        <w:t>   </w:t>
      </w:r>
      <w:r>
        <w:rPr/>
        <w:t>d) El JDK es solo para servidores</w:t>
      </w:r>
    </w:p>
    <w:p>
      <w:pPr>
        <w:pStyle w:val="BodyText"/>
        <w:rPr/>
      </w:pPr>
      <w:r>
        <w:rPr>
          <w:b/>
        </w:rPr>
        <w:t>50.</w:t>
      </w:r>
      <w:r>
        <w:rPr/>
        <w:t xml:space="preserve"> El patrón Observer se utiliza para:</w:t>
      </w:r>
    </w:p>
    <w:p>
      <w:pPr>
        <w:pStyle w:val="BodyText"/>
        <w:rPr/>
      </w:pPr>
      <w:r>
        <w:rPr/>
        <w:t>   </w:t>
      </w:r>
      <w:r>
        <w:rPr/>
        <w:t>a) Crear una única instancia</w:t>
      </w:r>
    </w:p>
    <w:p>
      <w:pPr>
        <w:pStyle w:val="BodyText"/>
        <w:rPr/>
      </w:pPr>
      <w:r>
        <w:rPr/>
        <w:t>   </w:t>
      </w:r>
      <w:r>
        <w:rPr/>
        <w:t>b) Notificar automáticamente a múltiples objetos suscritos los cambios de estado de otro (publicador/suscriptores)</w:t>
      </w:r>
    </w:p>
    <w:p>
      <w:pPr>
        <w:pStyle w:val="BodyText"/>
        <w:rPr/>
      </w:pPr>
      <w:r>
        <w:rPr/>
        <w:t>   </w:t>
      </w:r>
      <w:r>
        <w:rPr/>
        <w:t>c) Adaptar interfaces incompatibles</w:t>
      </w:r>
    </w:p>
    <w:p>
      <w:pPr>
        <w:pStyle w:val="BodyText"/>
        <w:rPr/>
      </w:pPr>
      <w:r>
        <w:rPr/>
        <w:t>   </w:t>
      </w:r>
      <w:r>
        <w:rPr/>
        <w:t>d) Simplificar subsistemas</w:t>
      </w:r>
    </w:p>
    <w:p>
      <w:pPr>
        <w:pStyle w:val="BodyText"/>
        <w:rPr/>
      </w:pPr>
      <w:r>
        <w:rPr>
          <w:b/>
        </w:rPr>
        <w:t>51.</w:t>
      </w:r>
      <w:r>
        <w:rPr/>
        <w:t xml:space="preserve"> El método HTTP para modificar PARCIALMENTE un recurso REST es:</w:t>
      </w:r>
    </w:p>
    <w:p>
      <w:pPr>
        <w:pStyle w:val="BodyText"/>
        <w:rPr/>
      </w:pPr>
      <w:r>
        <w:rPr/>
        <w:t>   </w:t>
      </w:r>
      <w:r>
        <w:rPr/>
        <w:t>a) PUT</w:t>
      </w:r>
    </w:p>
    <w:p>
      <w:pPr>
        <w:pStyle w:val="BodyText"/>
        <w:rPr/>
      </w:pPr>
      <w:r>
        <w:rPr/>
        <w:t>   </w:t>
      </w:r>
      <w:r>
        <w:rPr/>
        <w:t>b) PATCH</w:t>
      </w:r>
    </w:p>
    <w:p>
      <w:pPr>
        <w:pStyle w:val="BodyText"/>
        <w:rPr/>
      </w:pPr>
      <w:r>
        <w:rPr/>
        <w:t>   </w:t>
      </w:r>
      <w:r>
        <w:rPr/>
        <w:t>c) POST</w:t>
      </w:r>
    </w:p>
    <w:p>
      <w:pPr>
        <w:pStyle w:val="BodyText"/>
        <w:rPr/>
      </w:pPr>
      <w:r>
        <w:rPr/>
        <w:t>   </w:t>
      </w:r>
      <w:r>
        <w:rPr/>
        <w:t>d) HEAD</w:t>
      </w:r>
    </w:p>
    <w:p>
      <w:pPr>
        <w:pStyle w:val="BodyText"/>
        <w:rPr/>
      </w:pPr>
      <w:r>
        <w:rPr>
          <w:b/>
        </w:rPr>
        <w:t>52.</w:t>
      </w:r>
      <w:r>
        <w:rPr/>
        <w:t xml:space="preserve"> Un usuario autenticado pero SIN permisos sobre un recurso recibe:</w:t>
      </w:r>
    </w:p>
    <w:p>
      <w:pPr>
        <w:pStyle w:val="BodyText"/>
        <w:rPr/>
      </w:pPr>
      <w:r>
        <w:rPr/>
        <w:t>   </w:t>
      </w:r>
      <w:r>
        <w:rPr/>
        <w:t>a) 401 Unauthorized</w:t>
      </w:r>
    </w:p>
    <w:p>
      <w:pPr>
        <w:pStyle w:val="BodyText"/>
        <w:rPr/>
      </w:pPr>
      <w:r>
        <w:rPr/>
        <w:t>   </w:t>
      </w:r>
      <w:r>
        <w:rPr/>
        <w:t>b) 403 Forbidden</w:t>
      </w:r>
    </w:p>
    <w:p>
      <w:pPr>
        <w:pStyle w:val="BodyText"/>
        <w:rPr/>
      </w:pPr>
      <w:r>
        <w:rPr/>
        <w:t>   </w:t>
      </w:r>
      <w:r>
        <w:rPr/>
        <w:t>c) 404 Not Found</w:t>
      </w:r>
    </w:p>
    <w:p>
      <w:pPr>
        <w:pStyle w:val="BodyText"/>
        <w:rPr/>
      </w:pPr>
      <w:r>
        <w:rPr/>
        <w:t>   </w:t>
      </w:r>
      <w:r>
        <w:rPr/>
        <w:t>d) 400 Bad Request</w:t>
      </w:r>
    </w:p>
    <w:p>
      <w:pPr>
        <w:pStyle w:val="BodyText"/>
        <w:rPr/>
      </w:pPr>
      <w:r>
        <w:rPr>
          <w:b/>
        </w:rPr>
        <w:t>53.</w:t>
      </w:r>
      <w:r>
        <w:rPr/>
        <w:t xml:space="preserve"> ¿Cuál es un documento JSON sintácticamente válido?</w:t>
      </w:r>
    </w:p>
    <w:p>
      <w:pPr>
        <w:pStyle w:val="BodyText"/>
        <w:rPr/>
      </w:pPr>
      <w:r>
        <w:rPr/>
        <w:t>   </w:t>
      </w:r>
      <w:r>
        <w:rPr/>
        <w:t>a) {nombre: Ana}</w:t>
      </w:r>
    </w:p>
    <w:p>
      <w:pPr>
        <w:pStyle w:val="BodyText"/>
        <w:rPr/>
      </w:pPr>
      <w:r>
        <w:rPr/>
        <w:t>   </w:t>
      </w:r>
      <w:r>
        <w:rPr/>
        <w:t>b) {“nombre”: “Ana”, “edad”: 30}</w:t>
      </w:r>
    </w:p>
    <w:p>
      <w:pPr>
        <w:pStyle w:val="BodyText"/>
        <w:rPr/>
      </w:pPr>
      <w:r>
        <w:rPr/>
        <w:t>   </w:t>
      </w:r>
      <w:r>
        <w:rPr/>
        <w:t>c) {‘nombre’: ‘Ana’}</w:t>
      </w:r>
    </w:p>
    <w:p>
      <w:pPr>
        <w:pStyle w:val="BodyText"/>
        <w:rPr/>
      </w:pPr>
      <w:r>
        <w:rPr/>
        <w:t>   </w:t>
      </w:r>
      <w:r>
        <w:rPr/>
        <w:t>d) (nombre = “Ana”)</w:t>
      </w:r>
    </w:p>
    <w:p>
      <w:pPr>
        <w:pStyle w:val="BodyText"/>
        <w:rPr/>
      </w:pPr>
      <w:r>
        <w:rPr>
          <w:b/>
        </w:rPr>
        <w:t>54.</w:t>
      </w:r>
      <w:r>
        <w:rPr/>
        <w:t xml:space="preserve"> En un formulario accesible, la etiqueta  se asocia al campo mediante:</w:t>
      </w:r>
    </w:p>
    <w:p>
      <w:pPr>
        <w:pStyle w:val="BodyText"/>
        <w:rPr/>
      </w:pPr>
      <w:r>
        <w:rPr/>
        <w:t>   </w:t>
      </w:r>
      <w:r>
        <w:rPr/>
        <w:t>a) El atributo class</w:t>
      </w:r>
    </w:p>
    <w:p>
      <w:pPr>
        <w:pStyle w:val="BodyText"/>
        <w:rPr/>
      </w:pPr>
      <w:r>
        <w:rPr/>
        <w:t>   </w:t>
      </w:r>
      <w:r>
        <w:rPr/>
        <w:t>b) El atributo for de label apuntando al id del input</w:t>
      </w:r>
    </w:p>
    <w:p>
      <w:pPr>
        <w:pStyle w:val="BodyText"/>
        <w:rPr/>
      </w:pPr>
      <w:r>
        <w:rPr/>
        <w:t>   </w:t>
      </w:r>
      <w:r>
        <w:rPr/>
        <w:t>c) El atributo style</w:t>
      </w:r>
    </w:p>
    <w:p>
      <w:pPr>
        <w:pStyle w:val="BodyText"/>
        <w:rPr/>
      </w:pPr>
      <w:r>
        <w:rPr/>
        <w:t>   </w:t>
      </w:r>
      <w:r>
        <w:rPr/>
        <w:t>d) Un comentario HTML</w:t>
      </w:r>
    </w:p>
    <w:p>
      <w:pPr>
        <w:pStyle w:val="BodyText"/>
        <w:rPr/>
      </w:pPr>
      <w:r>
        <w:rPr>
          <w:b/>
        </w:rPr>
        <w:t>55.</w:t>
      </w:r>
      <w:r>
        <w:rPr/>
        <w:t xml:space="preserve"> La unidad CSS rem es relativa a:</w:t>
      </w:r>
    </w:p>
    <w:p>
      <w:pPr>
        <w:pStyle w:val="BodyText"/>
        <w:rPr/>
      </w:pPr>
      <w:r>
        <w:rPr/>
        <w:t>   </w:t>
      </w:r>
      <w:r>
        <w:rPr/>
        <w:t>a) El elemento padre</w:t>
      </w:r>
    </w:p>
    <w:p>
      <w:pPr>
        <w:pStyle w:val="BodyText"/>
        <w:rPr/>
      </w:pPr>
      <w:r>
        <w:rPr/>
        <w:t>   </w:t>
      </w:r>
      <w:r>
        <w:rPr/>
        <w:t>b) El tamaño de fuente del elemento raíz (html)</w:t>
      </w:r>
    </w:p>
    <w:p>
      <w:pPr>
        <w:pStyle w:val="BodyText"/>
        <w:rPr/>
      </w:pPr>
      <w:r>
        <w:rPr/>
        <w:t>   </w:t>
      </w:r>
      <w:r>
        <w:rPr/>
        <w:t>c) El ancho de la ventana</w:t>
      </w:r>
    </w:p>
    <w:p>
      <w:pPr>
        <w:pStyle w:val="BodyText"/>
        <w:rPr/>
      </w:pPr>
      <w:r>
        <w:rPr/>
        <w:t>   </w:t>
      </w:r>
      <w:r>
        <w:rPr/>
        <w:t>d) La resolución de pantalla</w:t>
      </w:r>
    </w:p>
    <w:p>
      <w:pPr>
        <w:pStyle w:val="BodyText"/>
        <w:rPr/>
      </w:pPr>
      <w:r>
        <w:rPr>
          <w:b/>
        </w:rPr>
        <w:t>56.</w:t>
      </w:r>
      <w:r>
        <w:rPr/>
        <w:t xml:space="preserve"> En JavaScript, el operador === se diferencia de == en que:</w:t>
      </w:r>
    </w:p>
    <w:p>
      <w:pPr>
        <w:pStyle w:val="BodyText"/>
        <w:rPr/>
      </w:pPr>
      <w:r>
        <w:rPr/>
        <w:t>   </w:t>
      </w:r>
      <w:r>
        <w:rPr/>
        <w:t>a) Son idénticos</w:t>
      </w:r>
    </w:p>
    <w:p>
      <w:pPr>
        <w:pStyle w:val="BodyText"/>
        <w:rPr/>
      </w:pPr>
      <w:r>
        <w:rPr/>
        <w:t>   </w:t>
      </w:r>
      <w:r>
        <w:rPr/>
        <w:t>b) Compara valor Y tipo, sin conversión implícita (‘5’ == 5 es true; ‘5’ === 5 es false)</w:t>
      </w:r>
    </w:p>
    <w:p>
      <w:pPr>
        <w:pStyle w:val="BodyText"/>
        <w:rPr/>
      </w:pPr>
      <w:r>
        <w:rPr/>
        <w:t>   </w:t>
      </w:r>
      <w:r>
        <w:rPr/>
        <w:t>c) Solo compara tipos</w:t>
      </w:r>
    </w:p>
    <w:p>
      <w:pPr>
        <w:pStyle w:val="BodyText"/>
        <w:rPr/>
      </w:pPr>
      <w:r>
        <w:rPr/>
        <w:t>   </w:t>
      </w:r>
      <w:r>
        <w:rPr/>
        <w:t>d) Es más lento siempre</w:t>
      </w:r>
    </w:p>
    <w:p>
      <w:pPr>
        <w:pStyle w:val="BodyText"/>
        <w:rPr/>
      </w:pPr>
      <w:r>
        <w:rPr>
          <w:b/>
        </w:rPr>
        <w:t>57.</w:t>
      </w:r>
      <w:r>
        <w:rPr/>
        <w:t xml:space="preserve"> Que toda la funcionalidad esté disponible mediante TECLADO responde al principio WCAG:</w:t>
      </w:r>
    </w:p>
    <w:p>
      <w:pPr>
        <w:pStyle w:val="BodyText"/>
        <w:rPr/>
      </w:pPr>
      <w:r>
        <w:rPr/>
        <w:t>   </w:t>
      </w:r>
      <w:r>
        <w:rPr/>
        <w:t>a) Perceptible</w:t>
      </w:r>
    </w:p>
    <w:p>
      <w:pPr>
        <w:pStyle w:val="BodyText"/>
        <w:rPr/>
      </w:pPr>
      <w:r>
        <w:rPr/>
        <w:t>   </w:t>
      </w:r>
      <w:r>
        <w:rPr/>
        <w:t>b) Operable</w:t>
      </w:r>
    </w:p>
    <w:p>
      <w:pPr>
        <w:pStyle w:val="BodyText"/>
        <w:rPr/>
      </w:pPr>
      <w:r>
        <w:rPr/>
        <w:t>   </w:t>
      </w:r>
      <w:r>
        <w:rPr/>
        <w:t>c) Comprensible</w:t>
      </w:r>
    </w:p>
    <w:p>
      <w:pPr>
        <w:pStyle w:val="BodyText"/>
        <w:rPr/>
      </w:pPr>
      <w:r>
        <w:rPr/>
        <w:t>   </w:t>
      </w:r>
      <w:r>
        <w:rPr/>
        <w:t>d) Robusto</w:t>
      </w:r>
    </w:p>
    <w:p>
      <w:pPr>
        <w:pStyle w:val="BodyText"/>
        <w:rPr/>
      </w:pPr>
      <w:r>
        <w:rPr>
          <w:b/>
        </w:rPr>
        <w:t>58.</w:t>
      </w:r>
      <w:r>
        <w:rPr/>
        <w:t xml:space="preserve"> El comando git clone:</w:t>
      </w:r>
    </w:p>
    <w:p>
      <w:pPr>
        <w:pStyle w:val="BodyText"/>
        <w:rPr/>
      </w:pPr>
      <w:r>
        <w:rPr/>
        <w:t>   </w:t>
      </w:r>
      <w:r>
        <w:rPr/>
        <w:t>a) Crea una rama</w:t>
      </w:r>
    </w:p>
    <w:p>
      <w:pPr>
        <w:pStyle w:val="BodyText"/>
        <w:rPr/>
      </w:pPr>
      <w:r>
        <w:rPr/>
        <w:t>   </w:t>
      </w:r>
      <w:r>
        <w:rPr/>
        <w:t>b) Copia un repositorio remoto completo (con su historial) en local</w:t>
      </w:r>
    </w:p>
    <w:p>
      <w:pPr>
        <w:pStyle w:val="BodyText"/>
        <w:rPr/>
      </w:pPr>
      <w:r>
        <w:rPr/>
        <w:t>   </w:t>
      </w:r>
      <w:r>
        <w:rPr/>
        <w:t>c) Sube cambios al remoto</w:t>
      </w:r>
    </w:p>
    <w:p>
      <w:pPr>
        <w:pStyle w:val="BodyText"/>
        <w:rPr/>
      </w:pPr>
      <w:r>
        <w:rPr/>
        <w:t>   </w:t>
      </w:r>
      <w:r>
        <w:rPr/>
        <w:t>d) Borra el repositorio</w:t>
      </w:r>
    </w:p>
    <w:p>
      <w:pPr>
        <w:pStyle w:val="BodyText"/>
        <w:rPr/>
      </w:pPr>
      <w:r>
        <w:rPr>
          <w:b/>
        </w:rPr>
        <w:t>59.</w:t>
      </w:r>
      <w:r>
        <w:rPr/>
        <w:t xml:space="preserve"> La reunión diaria de Scrum (daily) dura como máximo:</w:t>
      </w:r>
    </w:p>
    <w:p>
      <w:pPr>
        <w:pStyle w:val="BodyText"/>
        <w:rPr/>
      </w:pPr>
      <w:r>
        <w:rPr/>
        <w:t>   </w:t>
      </w:r>
      <w:r>
        <w:rPr/>
        <w:t>a) 1 hora</w:t>
      </w:r>
    </w:p>
    <w:p>
      <w:pPr>
        <w:pStyle w:val="BodyText"/>
        <w:rPr/>
      </w:pPr>
      <w:r>
        <w:rPr/>
        <w:t>   </w:t>
      </w:r>
      <w:r>
        <w:rPr/>
        <w:t>b) 15 minutos</w:t>
      </w:r>
    </w:p>
    <w:p>
      <w:pPr>
        <w:pStyle w:val="BodyText"/>
        <w:rPr/>
      </w:pPr>
      <w:r>
        <w:rPr/>
        <w:t>   </w:t>
      </w:r>
      <w:r>
        <w:rPr/>
        <w:t>c) 30 minutos</w:t>
      </w:r>
    </w:p>
    <w:p>
      <w:pPr>
        <w:pStyle w:val="BodyText"/>
        <w:rPr/>
      </w:pPr>
      <w:r>
        <w:rPr/>
        <w:t>   </w:t>
      </w:r>
      <w:r>
        <w:rPr/>
        <w:t>d) No tiene límite</w:t>
      </w:r>
    </w:p>
    <w:p>
      <w:pPr>
        <w:pStyle w:val="BodyText"/>
        <w:rPr/>
      </w:pPr>
      <w:r>
        <w:rPr>
          <w:b/>
        </w:rPr>
        <w:t>60.</w:t>
      </w:r>
      <w:r>
        <w:rPr/>
        <w:t xml:space="preserve"> Las pruebas de REGRESIÓN verifican que:</w:t>
      </w:r>
    </w:p>
    <w:p>
      <w:pPr>
        <w:pStyle w:val="BodyText"/>
        <w:rPr/>
      </w:pPr>
      <w:r>
        <w:rPr/>
        <w:t>   </w:t>
      </w:r>
      <w:r>
        <w:rPr/>
        <w:t>a) El código nuevo es rápido</w:t>
      </w:r>
    </w:p>
    <w:p>
      <w:pPr>
        <w:pStyle w:val="BodyText"/>
        <w:rPr/>
      </w:pPr>
      <w:r>
        <w:rPr/>
        <w:t>   </w:t>
      </w:r>
      <w:r>
        <w:rPr/>
        <w:t>b) Los cambios no han roto funcionalidades que antes funcionaban</w:t>
      </w:r>
    </w:p>
    <w:p>
      <w:pPr>
        <w:pStyle w:val="BodyText"/>
        <w:rPr/>
      </w:pPr>
      <w:r>
        <w:rPr/>
        <w:t>   </w:t>
      </w:r>
      <w:r>
        <w:rPr/>
        <w:t>c) La interfaz es bonita</w:t>
      </w:r>
    </w:p>
    <w:p>
      <w:pPr>
        <w:pStyle w:val="BodyText"/>
        <w:rPr/>
      </w:pPr>
      <w:r>
        <w:rPr/>
        <w:t>   </w:t>
      </w:r>
      <w:r>
        <w:rPr/>
        <w:t>d) El usuario acepta el producto</w:t>
      </w:r>
    </w:p>
    <w:p>
      <w:pPr>
        <w:pStyle w:val="BodyText"/>
        <w:rPr/>
      </w:pPr>
      <w:r>
        <w:rPr>
          <w:b/>
        </w:rPr>
        <w:t>Bloque IV</w:t>
      </w:r>
    </w:p>
    <w:p>
      <w:pPr>
        <w:pStyle w:val="BodyText"/>
        <w:rPr/>
      </w:pPr>
      <w:r>
        <w:rPr>
          <w:b/>
        </w:rPr>
        <w:t>61.</w:t>
      </w:r>
      <w:r>
        <w:rPr/>
        <w:t xml:space="preserve"> El puerto 22 corresponde a:</w:t>
      </w:r>
    </w:p>
    <w:p>
      <w:pPr>
        <w:pStyle w:val="BodyText"/>
        <w:rPr/>
      </w:pPr>
      <w:r>
        <w:rPr/>
        <w:t>   </w:t>
      </w:r>
      <w:r>
        <w:rPr/>
        <w:t>a) Telnet</w:t>
      </w:r>
    </w:p>
    <w:p>
      <w:pPr>
        <w:pStyle w:val="BodyText"/>
        <w:rPr/>
      </w:pPr>
      <w:r>
        <w:rPr/>
        <w:t>   </w:t>
      </w:r>
      <w:r>
        <w:rPr/>
        <w:t>b) SSH</w:t>
      </w:r>
    </w:p>
    <w:p>
      <w:pPr>
        <w:pStyle w:val="BodyText"/>
        <w:rPr/>
      </w:pPr>
      <w:r>
        <w:rPr/>
        <w:t>   </w:t>
      </w:r>
      <w:r>
        <w:rPr/>
        <w:t>c) FTP</w:t>
      </w:r>
    </w:p>
    <w:p>
      <w:pPr>
        <w:pStyle w:val="BodyText"/>
        <w:rPr/>
      </w:pPr>
      <w:r>
        <w:rPr/>
        <w:t>   </w:t>
      </w:r>
      <w:r>
        <w:rPr/>
        <w:t>d) SMTP</w:t>
      </w:r>
    </w:p>
    <w:p>
      <w:pPr>
        <w:pStyle w:val="BodyText"/>
        <w:rPr/>
      </w:pPr>
      <w:r>
        <w:rPr>
          <w:b/>
        </w:rPr>
        <w:t>62.</w:t>
      </w:r>
      <w:r>
        <w:rPr/>
        <w:t xml:space="preserve"> El registro DNS para la resolución INVERSA (IP → nombre) es:</w:t>
      </w:r>
    </w:p>
    <w:p>
      <w:pPr>
        <w:pStyle w:val="BodyText"/>
        <w:rPr/>
      </w:pPr>
      <w:r>
        <w:rPr/>
        <w:t>   </w:t>
      </w:r>
      <w:r>
        <w:rPr/>
        <w:t>a) A</w:t>
      </w:r>
    </w:p>
    <w:p>
      <w:pPr>
        <w:pStyle w:val="BodyText"/>
        <w:rPr/>
      </w:pPr>
      <w:r>
        <w:rPr/>
        <w:t>   </w:t>
      </w:r>
      <w:r>
        <w:rPr/>
        <w:t>b) PTR</w:t>
      </w:r>
    </w:p>
    <w:p>
      <w:pPr>
        <w:pStyle w:val="BodyText"/>
        <w:rPr/>
      </w:pPr>
      <w:r>
        <w:rPr/>
        <w:t>   </w:t>
      </w:r>
      <w:r>
        <w:rPr/>
        <w:t>c) MX</w:t>
      </w:r>
    </w:p>
    <w:p>
      <w:pPr>
        <w:pStyle w:val="BodyText"/>
        <w:rPr/>
      </w:pPr>
      <w:r>
        <w:rPr/>
        <w:t>   </w:t>
      </w:r>
      <w:r>
        <w:rPr/>
        <w:t>d) CNAME</w:t>
      </w:r>
    </w:p>
    <w:p>
      <w:pPr>
        <w:pStyle w:val="BodyText"/>
        <w:rPr/>
      </w:pPr>
      <w:r>
        <w:rPr>
          <w:b/>
        </w:rPr>
        <w:t>63.</w:t>
      </w:r>
      <w:r>
        <w:rPr/>
        <w:t xml:space="preserve"> El «lease» de DHCP es:</w:t>
      </w:r>
    </w:p>
    <w:p>
      <w:pPr>
        <w:pStyle w:val="BodyText"/>
        <w:rPr/>
      </w:pPr>
      <w:r>
        <w:rPr/>
        <w:t>   </w:t>
      </w:r>
      <w:r>
        <w:rPr/>
        <w:t>a) El contrato del proveedor</w:t>
      </w:r>
    </w:p>
    <w:p>
      <w:pPr>
        <w:pStyle w:val="BodyText"/>
        <w:rPr/>
      </w:pPr>
      <w:r>
        <w:rPr/>
        <w:t>   </w:t>
      </w:r>
      <w:r>
        <w:rPr/>
        <w:t>b) El tiempo de concesión de la IP asignada, renovable por el cliente</w:t>
      </w:r>
    </w:p>
    <w:p>
      <w:pPr>
        <w:pStyle w:val="BodyText"/>
        <w:rPr/>
      </w:pPr>
      <w:r>
        <w:rPr/>
        <w:t>   </w:t>
      </w:r>
      <w:r>
        <w:rPr/>
        <w:t>c) La lista de MAC bloqueadas</w:t>
      </w:r>
    </w:p>
    <w:p>
      <w:pPr>
        <w:pStyle w:val="BodyText"/>
        <w:rPr/>
      </w:pPr>
      <w:r>
        <w:rPr/>
        <w:t>   </w:t>
      </w:r>
      <w:r>
        <w:rPr/>
        <w:t>d) El rango excluido</w:t>
      </w:r>
    </w:p>
    <w:p>
      <w:pPr>
        <w:pStyle w:val="BodyText"/>
        <w:rPr/>
      </w:pPr>
      <w:r>
        <w:rPr>
          <w:b/>
        </w:rPr>
        <w:t>64.</w:t>
      </w:r>
      <w:r>
        <w:rPr/>
        <w:t xml:space="preserve"> Un puerto de switch en modo TRUNK:</w:t>
      </w:r>
    </w:p>
    <w:p>
      <w:pPr>
        <w:pStyle w:val="BodyText"/>
        <w:rPr/>
      </w:pPr>
      <w:r>
        <w:rPr/>
        <w:t>   </w:t>
      </w:r>
      <w:r>
        <w:rPr/>
        <w:t>a) Solo transporta una VLAN</w:t>
      </w:r>
    </w:p>
    <w:p>
      <w:pPr>
        <w:pStyle w:val="BodyText"/>
        <w:rPr/>
      </w:pPr>
      <w:r>
        <w:rPr/>
        <w:t>   </w:t>
      </w:r>
      <w:r>
        <w:rPr/>
        <w:t>b) Transporta tráfico de múltiples VLANs etiquetado con 802.1Q (típico entre switches)</w:t>
      </w:r>
    </w:p>
    <w:p>
      <w:pPr>
        <w:pStyle w:val="BodyText"/>
        <w:rPr/>
      </w:pPr>
      <w:r>
        <w:rPr/>
        <w:t>   </w:t>
      </w:r>
      <w:r>
        <w:rPr/>
        <w:t>c) Desactiva el puerto</w:t>
      </w:r>
    </w:p>
    <w:p>
      <w:pPr>
        <w:pStyle w:val="BodyText"/>
        <w:rPr/>
      </w:pPr>
      <w:r>
        <w:rPr/>
        <w:t>   </w:t>
      </w:r>
      <w:r>
        <w:rPr/>
        <w:t>d) Elimina las etiquetas</w:t>
      </w:r>
    </w:p>
    <w:p>
      <w:pPr>
        <w:pStyle w:val="BodyText"/>
        <w:rPr/>
      </w:pPr>
      <w:r>
        <w:rPr>
          <w:b/>
        </w:rPr>
        <w:t>65.</w:t>
      </w:r>
      <w:r>
        <w:rPr/>
        <w:t xml:space="preserve"> La dirección de red de 192.168.5.130/25 es:</w:t>
      </w:r>
    </w:p>
    <w:p>
      <w:pPr>
        <w:pStyle w:val="BodyText"/>
        <w:rPr/>
      </w:pPr>
      <w:r>
        <w:rPr/>
        <w:t>   </w:t>
      </w:r>
      <w:r>
        <w:rPr/>
        <w:t>a) 192.168.5.0</w:t>
      </w:r>
    </w:p>
    <w:p>
      <w:pPr>
        <w:pStyle w:val="BodyText"/>
        <w:rPr/>
      </w:pPr>
      <w:r>
        <w:rPr/>
        <w:t>   </w:t>
      </w:r>
      <w:r>
        <w:rPr/>
        <w:t>b) 192.168.5.128</w:t>
      </w:r>
    </w:p>
    <w:p>
      <w:pPr>
        <w:pStyle w:val="BodyText"/>
        <w:rPr/>
      </w:pPr>
      <w:r>
        <w:rPr/>
        <w:t>   </w:t>
      </w:r>
      <w:r>
        <w:rPr/>
        <w:t>c) 192.168.5.130</w:t>
      </w:r>
    </w:p>
    <w:p>
      <w:pPr>
        <w:pStyle w:val="BodyText"/>
        <w:rPr/>
      </w:pPr>
      <w:r>
        <w:rPr/>
        <w:t>   </w:t>
      </w:r>
      <w:r>
        <w:rPr/>
        <w:t>d) 192.168.5.64</w:t>
      </w:r>
    </w:p>
    <w:p>
      <w:pPr>
        <w:pStyle w:val="BodyText"/>
        <w:rPr/>
      </w:pPr>
      <w:r>
        <w:rPr>
          <w:b/>
        </w:rPr>
        <w:t>66.</w:t>
      </w:r>
      <w:r>
        <w:rPr/>
        <w:t xml:space="preserve"> Una subred /27 admite:</w:t>
      </w:r>
    </w:p>
    <w:p>
      <w:pPr>
        <w:pStyle w:val="BodyText"/>
        <w:rPr/>
      </w:pPr>
      <w:r>
        <w:rPr/>
        <w:t>   </w:t>
      </w:r>
      <w:r>
        <w:rPr/>
        <w:t>a) 32 hosts útiles</w:t>
      </w:r>
    </w:p>
    <w:p>
      <w:pPr>
        <w:pStyle w:val="BodyText"/>
        <w:rPr/>
      </w:pPr>
      <w:r>
        <w:rPr/>
        <w:t>   </w:t>
      </w:r>
      <w:r>
        <w:rPr/>
        <w:t>b) 30 hosts útiles</w:t>
      </w:r>
    </w:p>
    <w:p>
      <w:pPr>
        <w:pStyle w:val="BodyText"/>
        <w:rPr/>
      </w:pPr>
      <w:r>
        <w:rPr/>
        <w:t>   </w:t>
      </w:r>
      <w:r>
        <w:rPr/>
        <w:t>c) 62 hosts útiles</w:t>
      </w:r>
    </w:p>
    <w:p>
      <w:pPr>
        <w:pStyle w:val="BodyText"/>
        <w:rPr/>
      </w:pPr>
      <w:r>
        <w:rPr/>
        <w:t>   </w:t>
      </w:r>
      <w:r>
        <w:rPr/>
        <w:t>d) 14 hosts útiles</w:t>
      </w:r>
    </w:p>
    <w:p>
      <w:pPr>
        <w:pStyle w:val="BodyText"/>
        <w:rPr/>
      </w:pPr>
      <w:r>
        <w:rPr>
          <w:b/>
        </w:rPr>
        <w:t>67.</w:t>
      </w:r>
      <w:r>
        <w:rPr/>
        <w:t xml:space="preserve"> La dirección de loopback en IPv6 es:</w:t>
      </w:r>
    </w:p>
    <w:p>
      <w:pPr>
        <w:pStyle w:val="BodyText"/>
        <w:rPr/>
      </w:pPr>
      <w:r>
        <w:rPr/>
        <w:t>   </w:t>
      </w:r>
      <w:r>
        <w:rPr/>
        <w:t>a) 127.0.0.1</w:t>
      </w:r>
    </w:p>
    <w:p>
      <w:pPr>
        <w:pStyle w:val="BodyText"/>
        <w:rPr/>
      </w:pPr>
      <w:r>
        <w:rPr/>
        <w:t>   </w:t>
      </w:r>
      <w:r>
        <w:rPr/>
        <w:t>b) ::1</w:t>
      </w:r>
    </w:p>
    <w:p>
      <w:pPr>
        <w:pStyle w:val="BodyText"/>
        <w:rPr/>
      </w:pPr>
      <w:r>
        <w:rPr/>
        <w:t>   </w:t>
      </w:r>
      <w:r>
        <w:rPr/>
        <w:t>c) fe80::1</w:t>
      </w:r>
    </w:p>
    <w:p>
      <w:pPr>
        <w:pStyle w:val="BodyText"/>
        <w:rPr/>
      </w:pPr>
      <w:r>
        <w:rPr/>
        <w:t>   </w:t>
      </w:r>
      <w:r>
        <w:rPr/>
        <w:t>d) ff00::1</w:t>
      </w:r>
    </w:p>
    <w:p>
      <w:pPr>
        <w:pStyle w:val="BodyText"/>
        <w:rPr/>
      </w:pPr>
      <w:r>
        <w:rPr>
          <w:b/>
        </w:rPr>
        <w:t>68.</w:t>
      </w:r>
      <w:r>
        <w:rPr/>
        <w:t xml:space="preserve"> Una conexión TCP queda identificada unívocamente por:</w:t>
      </w:r>
    </w:p>
    <w:p>
      <w:pPr>
        <w:pStyle w:val="BodyText"/>
        <w:rPr/>
      </w:pPr>
      <w:r>
        <w:rPr/>
        <w:t>   </w:t>
      </w:r>
      <w:r>
        <w:rPr/>
        <w:t>a) Solo el puerto destino</w:t>
      </w:r>
    </w:p>
    <w:p>
      <w:pPr>
        <w:pStyle w:val="BodyText"/>
        <w:rPr/>
      </w:pPr>
      <w:r>
        <w:rPr/>
        <w:t>   </w:t>
      </w:r>
      <w:r>
        <w:rPr/>
        <w:t>b) El par de sockets: IP origen + puerto origen e IP destino + puerto destino</w:t>
      </w:r>
    </w:p>
    <w:p>
      <w:pPr>
        <w:pStyle w:val="BodyText"/>
        <w:rPr/>
      </w:pPr>
      <w:r>
        <w:rPr/>
        <w:t>   </w:t>
      </w:r>
      <w:r>
        <w:rPr/>
        <w:t>c) La dirección MAC</w:t>
      </w:r>
    </w:p>
    <w:p>
      <w:pPr>
        <w:pStyle w:val="BodyText"/>
        <w:rPr/>
      </w:pPr>
      <w:r>
        <w:rPr/>
        <w:t>   </w:t>
      </w:r>
      <w:r>
        <w:rPr/>
        <w:t>d) El TTL</w:t>
      </w:r>
    </w:p>
    <w:p>
      <w:pPr>
        <w:pStyle w:val="BodyText"/>
        <w:rPr/>
      </w:pPr>
      <w:r>
        <w:rPr>
          <w:b/>
        </w:rPr>
        <w:t>69.</w:t>
      </w:r>
      <w:r>
        <w:rPr/>
        <w:t xml:space="preserve"> traceroute descubre la ruta hacia un destino manipulando:</w:t>
      </w:r>
    </w:p>
    <w:p>
      <w:pPr>
        <w:pStyle w:val="BodyText"/>
        <w:rPr/>
      </w:pPr>
      <w:r>
        <w:rPr/>
        <w:t>   </w:t>
      </w:r>
      <w:r>
        <w:rPr/>
        <w:t>a) El puerto de origen</w:t>
      </w:r>
    </w:p>
    <w:p>
      <w:pPr>
        <w:pStyle w:val="BodyText"/>
        <w:rPr/>
      </w:pPr>
      <w:r>
        <w:rPr/>
        <w:t>   </w:t>
      </w:r>
      <w:r>
        <w:rPr/>
        <w:t>b) El campo TTL de los paquetes, provocando mensajes ICMP Time Exceeded de cada salto</w:t>
      </w:r>
    </w:p>
    <w:p>
      <w:pPr>
        <w:pStyle w:val="BodyText"/>
        <w:rPr/>
      </w:pPr>
      <w:r>
        <w:rPr/>
        <w:t>   </w:t>
      </w:r>
      <w:r>
        <w:rPr/>
        <w:t>c) La máscara de subred</w:t>
      </w:r>
    </w:p>
    <w:p>
      <w:pPr>
        <w:pStyle w:val="BodyText"/>
        <w:rPr/>
      </w:pPr>
      <w:r>
        <w:rPr/>
        <w:t>   </w:t>
      </w:r>
      <w:r>
        <w:rPr/>
        <w:t>d) El tamaño de ventana TCP</w:t>
      </w:r>
    </w:p>
    <w:p>
      <w:pPr>
        <w:pStyle w:val="BodyText"/>
        <w:rPr/>
      </w:pPr>
      <w:r>
        <w:rPr>
          <w:b/>
        </w:rPr>
        <w:t>70.</w:t>
      </w:r>
      <w:r>
        <w:rPr/>
        <w:t xml:space="preserve"> El estándar de seguridad WiFi más robusto actualmente es:</w:t>
      </w:r>
    </w:p>
    <w:p>
      <w:pPr>
        <w:pStyle w:val="BodyText"/>
        <w:rPr/>
      </w:pPr>
      <w:r>
        <w:rPr/>
        <w:t>   </w:t>
      </w:r>
      <w:r>
        <w:rPr/>
        <w:t>a) WEP</w:t>
      </w:r>
    </w:p>
    <w:p>
      <w:pPr>
        <w:pStyle w:val="BodyText"/>
        <w:rPr/>
      </w:pPr>
      <w:r>
        <w:rPr/>
        <w:t>   </w:t>
      </w:r>
      <w:r>
        <w:rPr/>
        <w:t>b) WPA</w:t>
      </w:r>
    </w:p>
    <w:p>
      <w:pPr>
        <w:pStyle w:val="BodyText"/>
        <w:rPr/>
      </w:pPr>
      <w:r>
        <w:rPr/>
        <w:t>   </w:t>
      </w:r>
      <w:r>
        <w:rPr/>
        <w:t>c) WPA2</w:t>
      </w:r>
    </w:p>
    <w:p>
      <w:pPr>
        <w:pStyle w:val="BodyText"/>
        <w:rPr/>
      </w:pPr>
      <w:r>
        <w:rPr/>
        <w:t>   </w:t>
      </w:r>
      <w:r>
        <w:rPr/>
        <w:t>d) WPA3</w:t>
      </w:r>
    </w:p>
    <w:p>
      <w:pPr>
        <w:pStyle w:val="BodyText"/>
        <w:rPr/>
      </w:pPr>
      <w:r>
        <w:rPr>
          <w:b/>
        </w:rPr>
        <w:t>71.</w:t>
      </w:r>
      <w:r>
        <w:rPr/>
        <w:t xml:space="preserve"> En una red totalmente conmutada con full-dúplex:</w:t>
      </w:r>
    </w:p>
    <w:p>
      <w:pPr>
        <w:pStyle w:val="BodyText"/>
        <w:rPr/>
      </w:pPr>
      <w:r>
        <w:rPr/>
        <w:t>   </w:t>
      </w:r>
      <w:r>
        <w:rPr/>
        <w:t>a) Las colisiones son frecuentes</w:t>
      </w:r>
    </w:p>
    <w:p>
      <w:pPr>
        <w:pStyle w:val="BodyText"/>
        <w:rPr/>
      </w:pPr>
      <w:r>
        <w:rPr/>
        <w:t>   </w:t>
      </w:r>
      <w:r>
        <w:rPr/>
        <w:t>b) No hay colisiones: cada puerto es un dominio de colisión propio y CSMA/CD resulta innecesario</w:t>
      </w:r>
    </w:p>
    <w:p>
      <w:pPr>
        <w:pStyle w:val="BodyText"/>
        <w:rPr/>
      </w:pPr>
      <w:r>
        <w:rPr/>
        <w:t>   </w:t>
      </w:r>
      <w:r>
        <w:rPr/>
        <w:t>c) Se necesita un hub central</w:t>
      </w:r>
    </w:p>
    <w:p>
      <w:pPr>
        <w:pStyle w:val="BodyText"/>
        <w:rPr/>
      </w:pPr>
      <w:r>
        <w:rPr/>
        <w:t>   </w:t>
      </w:r>
      <w:r>
        <w:rPr/>
        <w:t>d) Solo funciona a 10 Mbps</w:t>
      </w:r>
    </w:p>
    <w:p>
      <w:pPr>
        <w:pStyle w:val="BodyText"/>
        <w:rPr/>
      </w:pPr>
      <w:r>
        <w:rPr>
          <w:b/>
        </w:rPr>
        <w:t>72.</w:t>
      </w:r>
      <w:r>
        <w:rPr/>
        <w:t xml:space="preserve"> Con copia completa el domingo y DIFERENCIALES diarias, restaurar el jueves requiere:</w:t>
      </w:r>
    </w:p>
    <w:p>
      <w:pPr>
        <w:pStyle w:val="BodyText"/>
        <w:rPr/>
      </w:pPr>
      <w:r>
        <w:rPr/>
        <w:t>   </w:t>
      </w:r>
      <w:r>
        <w:rPr/>
        <w:t>a) Todas las diferenciales de la semana</w:t>
      </w:r>
    </w:p>
    <w:p>
      <w:pPr>
        <w:pStyle w:val="BodyText"/>
        <w:rPr/>
      </w:pPr>
      <w:r>
        <w:rPr/>
        <w:t>   </w:t>
      </w:r>
      <w:r>
        <w:rPr/>
        <w:t>b) La completa del domingo + la última diferencial (la del miércoles)</w:t>
      </w:r>
    </w:p>
    <w:p>
      <w:pPr>
        <w:pStyle w:val="BodyText"/>
        <w:rPr/>
      </w:pPr>
      <w:r>
        <w:rPr/>
        <w:t>   </w:t>
      </w:r>
      <w:r>
        <w:rPr/>
        <w:t>c) Solo la diferencial del miércoles</w:t>
      </w:r>
    </w:p>
    <w:p>
      <w:pPr>
        <w:pStyle w:val="BodyText"/>
        <w:rPr/>
      </w:pPr>
      <w:r>
        <w:rPr/>
        <w:t>   </w:t>
      </w:r>
      <w:r>
        <w:rPr/>
        <w:t>d) La completa + todas las incrementales</w:t>
      </w:r>
    </w:p>
    <w:p>
      <w:pPr>
        <w:pStyle w:val="BodyText"/>
        <w:rPr/>
      </w:pPr>
      <w:r>
        <w:rPr>
          <w:b/>
        </w:rPr>
        <w:t>73.</w:t>
      </w:r>
      <w:r>
        <w:rPr/>
        <w:t xml:space="preserve"> RAID 6 se caracteriza por:</w:t>
      </w:r>
    </w:p>
    <w:p>
      <w:pPr>
        <w:pStyle w:val="BodyText"/>
        <w:rPr/>
      </w:pPr>
      <w:r>
        <w:rPr/>
        <w:t>   </w:t>
      </w:r>
      <w:r>
        <w:rPr/>
        <w:t>a) Espejo simple</w:t>
      </w:r>
    </w:p>
    <w:p>
      <w:pPr>
        <w:pStyle w:val="BodyText"/>
        <w:rPr/>
      </w:pPr>
      <w:r>
        <w:rPr/>
        <w:t>   </w:t>
      </w:r>
      <w:r>
        <w:rPr/>
        <w:t>b) Doble paridad distribuida: mínimo 4 discos y tolerancia al fallo simultáneo de 2</w:t>
      </w:r>
    </w:p>
    <w:p>
      <w:pPr>
        <w:pStyle w:val="BodyText"/>
        <w:rPr/>
      </w:pPr>
      <w:r>
        <w:rPr/>
        <w:t>   </w:t>
      </w:r>
      <w:r>
        <w:rPr/>
        <w:t>c) Bandas sin paridad</w:t>
      </w:r>
    </w:p>
    <w:p>
      <w:pPr>
        <w:pStyle w:val="BodyText"/>
        <w:rPr/>
      </w:pPr>
      <w:r>
        <w:rPr/>
        <w:t>   </w:t>
      </w:r>
      <w:r>
        <w:rPr/>
        <w:t>d) Necesitar número impar de discos</w:t>
      </w:r>
    </w:p>
    <w:p>
      <w:pPr>
        <w:pStyle w:val="BodyText"/>
        <w:rPr/>
      </w:pPr>
      <w:r>
        <w:rPr>
          <w:b/>
        </w:rPr>
        <w:t>74.</w:t>
      </w:r>
      <w:r>
        <w:rPr/>
        <w:t xml:space="preserve"> Ante un corte eléctrico en el CPD, la secuencia correcta es:</w:t>
      </w:r>
    </w:p>
    <w:p>
      <w:pPr>
        <w:pStyle w:val="BodyText"/>
        <w:rPr/>
      </w:pPr>
      <w:r>
        <w:rPr/>
        <w:t>   </w:t>
      </w:r>
      <w:r>
        <w:rPr/>
        <w:t>a) El generador arranca instantáneamente</w:t>
      </w:r>
    </w:p>
    <w:p>
      <w:pPr>
        <w:pStyle w:val="BodyText"/>
        <w:rPr/>
      </w:pPr>
      <w:r>
        <w:rPr/>
        <w:t>   </w:t>
      </w:r>
      <w:r>
        <w:rPr/>
        <w:t>b) El SAI mantiene la carga con baterías los segundos/minutos necesarios hasta que entra el grupo electrógeno</w:t>
      </w:r>
    </w:p>
    <w:p>
      <w:pPr>
        <w:pStyle w:val="BodyText"/>
        <w:rPr/>
      </w:pPr>
      <w:r>
        <w:rPr/>
        <w:t>   </w:t>
      </w:r>
      <w:r>
        <w:rPr/>
        <w:t>c) Se apagan los servidores siempre</w:t>
      </w:r>
    </w:p>
    <w:p>
      <w:pPr>
        <w:pStyle w:val="BodyText"/>
        <w:rPr/>
      </w:pPr>
      <w:r>
        <w:rPr/>
        <w:t>   </w:t>
      </w:r>
      <w:r>
        <w:rPr/>
        <w:t>d) El PoE alimenta los servidores</w:t>
      </w:r>
    </w:p>
    <w:p>
      <w:pPr>
        <w:pStyle w:val="BodyText"/>
        <w:rPr/>
      </w:pPr>
      <w:r>
        <w:rPr>
          <w:b/>
        </w:rPr>
        <w:t>75.</w:t>
      </w:r>
      <w:r>
        <w:rPr/>
        <w:t xml:space="preserve"> En IPsec, el protocolo que proporciona CIFRADO de los datos es:</w:t>
      </w:r>
    </w:p>
    <w:p>
      <w:pPr>
        <w:pStyle w:val="BodyText"/>
        <w:rPr/>
      </w:pPr>
      <w:r>
        <w:rPr/>
        <w:t>   </w:t>
      </w:r>
      <w:r>
        <w:rPr/>
        <w:t>a) AH</w:t>
      </w:r>
    </w:p>
    <w:p>
      <w:pPr>
        <w:pStyle w:val="BodyText"/>
        <w:rPr/>
      </w:pPr>
      <w:r>
        <w:rPr/>
        <w:t>   </w:t>
      </w:r>
      <w:r>
        <w:rPr/>
        <w:t>b) ESP</w:t>
      </w:r>
    </w:p>
    <w:p>
      <w:pPr>
        <w:pStyle w:val="BodyText"/>
        <w:rPr/>
      </w:pPr>
      <w:r>
        <w:rPr/>
        <w:t>   </w:t>
      </w:r>
      <w:r>
        <w:rPr/>
        <w:t>c) IKE solamente</w:t>
      </w:r>
    </w:p>
    <w:p>
      <w:pPr>
        <w:pStyle w:val="BodyText"/>
        <w:rPr/>
      </w:pPr>
      <w:r>
        <w:rPr/>
        <w:t>   </w:t>
      </w:r>
      <w:r>
        <w:rPr/>
        <w:t>d) GRE</w:t>
      </w:r>
    </w:p>
    <w:p>
      <w:pPr>
        <w:pStyle w:val="BodyText"/>
        <w:rPr/>
      </w:pPr>
      <w:r>
        <w:rPr>
          <w:b/>
        </w:rPr>
        <w:t>76.</w:t>
      </w:r>
      <w:r>
        <w:rPr/>
        <w:t xml:space="preserve"> Un WAF (Web Application Firewall) protege específicamente frente a:</w:t>
      </w:r>
    </w:p>
    <w:p>
      <w:pPr>
        <w:pStyle w:val="BodyText"/>
        <w:rPr/>
      </w:pPr>
      <w:r>
        <w:rPr/>
        <w:t>   </w:t>
      </w:r>
      <w:r>
        <w:rPr/>
        <w:t>a) Cortes de fibra</w:t>
      </w:r>
    </w:p>
    <w:p>
      <w:pPr>
        <w:pStyle w:val="BodyText"/>
        <w:rPr/>
      </w:pPr>
      <w:r>
        <w:rPr/>
        <w:t>   </w:t>
      </w:r>
      <w:r>
        <w:rPr/>
        <w:t>b) Ataques a aplicaciones web como inyección SQL o XSS, inspeccionando el tráfico HTTP/HTTPS</w:t>
      </w:r>
    </w:p>
    <w:p>
      <w:pPr>
        <w:pStyle w:val="BodyText"/>
        <w:rPr/>
      </w:pPr>
      <w:r>
        <w:rPr/>
        <w:t>   </w:t>
      </w:r>
      <w:r>
        <w:rPr/>
        <w:t>c) Robo físico de servidores</w:t>
      </w:r>
    </w:p>
    <w:p>
      <w:pPr>
        <w:pStyle w:val="BodyText"/>
        <w:rPr/>
      </w:pPr>
      <w:r>
        <w:rPr/>
        <w:t>   </w:t>
      </w:r>
      <w:r>
        <w:rPr/>
        <w:t>d) Spam telefónico</w:t>
      </w:r>
    </w:p>
    <w:p>
      <w:pPr>
        <w:pStyle w:val="BodyText"/>
        <w:rPr/>
      </w:pPr>
      <w:r>
        <w:rPr>
          <w:b/>
        </w:rPr>
        <w:t>77.</w:t>
      </w:r>
      <w:r>
        <w:rPr/>
        <w:t xml:space="preserve"> El phishing consiste en:</w:t>
      </w:r>
    </w:p>
    <w:p>
      <w:pPr>
        <w:pStyle w:val="BodyText"/>
        <w:rPr/>
      </w:pPr>
      <w:r>
        <w:rPr/>
        <w:t>   </w:t>
      </w:r>
      <w:r>
        <w:rPr/>
        <w:t>a) Saturar un servidor con tráfico</w:t>
      </w:r>
    </w:p>
    <w:p>
      <w:pPr>
        <w:pStyle w:val="BodyText"/>
        <w:rPr/>
      </w:pPr>
      <w:r>
        <w:rPr/>
        <w:t>   </w:t>
      </w:r>
      <w:r>
        <w:rPr/>
        <w:t>b) Engañar al usuario suplantando una entidad legítima (correo, web falsa) para robar credenciales o datos</w:t>
      </w:r>
    </w:p>
    <w:p>
      <w:pPr>
        <w:pStyle w:val="BodyText"/>
        <w:rPr/>
      </w:pPr>
      <w:r>
        <w:rPr/>
        <w:t>   </w:t>
      </w:r>
      <w:r>
        <w:rPr/>
        <w:t>c) Cifrar archivos y pedir rescate</w:t>
      </w:r>
    </w:p>
    <w:p>
      <w:pPr>
        <w:pStyle w:val="BodyText"/>
        <w:rPr/>
      </w:pPr>
      <w:r>
        <w:rPr/>
        <w:t>   </w:t>
      </w:r>
      <w:r>
        <w:rPr/>
        <w:t>d) Escanear puertos</w:t>
      </w:r>
    </w:p>
    <w:p>
      <w:pPr>
        <w:pStyle w:val="BodyText"/>
        <w:rPr/>
      </w:pPr>
      <w:r>
        <w:rPr>
          <w:b/>
        </w:rPr>
        <w:t>78.</w:t>
      </w:r>
      <w:r>
        <w:rPr/>
        <w:t xml:space="preserve"> La autenticación multifactor (MFA) combina factores de tipo:</w:t>
      </w:r>
    </w:p>
    <w:p>
      <w:pPr>
        <w:pStyle w:val="BodyText"/>
        <w:rPr/>
      </w:pPr>
      <w:r>
        <w:rPr/>
        <w:t>   </w:t>
      </w:r>
      <w:r>
        <w:rPr/>
        <w:t>a) Dos contraseñas distintas</w:t>
      </w:r>
    </w:p>
    <w:p>
      <w:pPr>
        <w:pStyle w:val="BodyText"/>
        <w:rPr/>
      </w:pPr>
      <w:r>
        <w:rPr/>
        <w:t>   </w:t>
      </w:r>
      <w:r>
        <w:rPr/>
        <w:t>b) Algo que sé (contraseña) + algo que tengo (token/móvil) + algo que soy (biometría)</w:t>
      </w:r>
    </w:p>
    <w:p>
      <w:pPr>
        <w:pStyle w:val="BodyText"/>
        <w:rPr/>
      </w:pPr>
      <w:r>
        <w:rPr/>
        <w:t>   </w:t>
      </w:r>
      <w:r>
        <w:rPr/>
        <w:t>c) Usuario y correo</w:t>
      </w:r>
    </w:p>
    <w:p>
      <w:pPr>
        <w:pStyle w:val="BodyText"/>
        <w:rPr/>
      </w:pPr>
      <w:r>
        <w:rPr/>
        <w:t>   </w:t>
      </w:r>
      <w:r>
        <w:rPr/>
        <w:t>d) PIN y pregunta secreta</w:t>
      </w:r>
    </w:p>
    <w:p>
      <w:pPr>
        <w:pStyle w:val="BodyText"/>
        <w:rPr/>
      </w:pPr>
      <w:r>
        <w:rPr>
          <w:b/>
        </w:rPr>
        <w:t>79.</w:t>
      </w:r>
      <w:r>
        <w:rPr/>
        <w:t xml:space="preserve"> Un switch aprende a qué puerto enviar cada trama consultando:</w:t>
      </w:r>
    </w:p>
    <w:p>
      <w:pPr>
        <w:pStyle w:val="BodyText"/>
        <w:rPr/>
      </w:pPr>
      <w:r>
        <w:rPr/>
        <w:t>   </w:t>
      </w:r>
      <w:r>
        <w:rPr/>
        <w:t>a) Su tabla de enrutamiento IP</w:t>
      </w:r>
    </w:p>
    <w:p>
      <w:pPr>
        <w:pStyle w:val="BodyText"/>
        <w:rPr/>
      </w:pPr>
      <w:r>
        <w:rPr/>
        <w:t>   </w:t>
      </w:r>
      <w:r>
        <w:rPr/>
        <w:t>b) Su tabla de direcciones MAC (CAM), construida observando el origen de las tramas</w:t>
      </w:r>
    </w:p>
    <w:p>
      <w:pPr>
        <w:pStyle w:val="BodyText"/>
        <w:rPr/>
      </w:pPr>
      <w:r>
        <w:rPr/>
        <w:t>   </w:t>
      </w:r>
      <w:r>
        <w:rPr/>
        <w:t>c) El servidor DNS</w:t>
      </w:r>
    </w:p>
    <w:p>
      <w:pPr>
        <w:pStyle w:val="BodyText"/>
        <w:rPr/>
      </w:pPr>
      <w:r>
        <w:rPr/>
        <w:t>   </w:t>
      </w:r>
      <w:r>
        <w:rPr/>
        <w:t>d) El árbol STP</w:t>
      </w:r>
    </w:p>
    <w:p>
      <w:pPr>
        <w:pStyle w:val="BodyText"/>
        <w:rPr/>
      </w:pPr>
      <w:r>
        <w:rPr>
          <w:b/>
        </w:rPr>
        <w:t>80.</w:t>
      </w:r>
      <w:r>
        <w:rPr/>
        <w:t xml:space="preserve"> Para llevar 10 Gbps a 100 metros sobre cobre se necesita como mínimo:</w:t>
      </w:r>
    </w:p>
    <w:p>
      <w:pPr>
        <w:pStyle w:val="BodyText"/>
        <w:rPr/>
      </w:pPr>
      <w:r>
        <w:rPr/>
        <w:t>   </w:t>
      </w:r>
      <w:r>
        <w:rPr/>
        <w:t>a) Cat 5e</w:t>
      </w:r>
    </w:p>
    <w:p>
      <w:pPr>
        <w:pStyle w:val="BodyText"/>
        <w:rPr/>
      </w:pPr>
      <w:r>
        <w:rPr/>
        <w:t>   </w:t>
      </w:r>
      <w:r>
        <w:rPr/>
        <w:t>b) Cat 6</w:t>
      </w:r>
    </w:p>
    <w:p>
      <w:pPr>
        <w:pStyle w:val="BodyText"/>
        <w:rPr/>
      </w:pPr>
      <w:r>
        <w:rPr/>
        <w:t>   </w:t>
      </w:r>
      <w:r>
        <w:rPr/>
        <w:t>c) Cat 6A</w:t>
      </w:r>
    </w:p>
    <w:p>
      <w:pPr>
        <w:pStyle w:val="BodyText"/>
        <w:rPr/>
      </w:pPr>
      <w:r>
        <w:rPr/>
        <w:t>   </w:t>
      </w:r>
      <w:r>
        <w:rPr/>
        <w:t>d) Coaxial RG-58</w:t>
      </w:r>
    </w:p>
    <w:p>
      <w:pPr>
        <w:pStyle w:val="Heading2"/>
        <w:rPr/>
      </w:pPr>
      <w:bookmarkStart w:id="2" w:name="soluciones-razonadas"/>
      <w:r>
        <w:rPr/>
        <w:t>Soluciones razonadas</w:t>
      </w:r>
      <w:bookmarkEnd w:id="2"/>
    </w:p>
    <w:p>
      <w:pPr>
        <w:pStyle w:val="FirstParagraph"/>
        <w:rPr/>
      </w:pPr>
      <w:r>
        <w:rPr>
          <w:b/>
        </w:rPr>
        <w:t>1. b) Art. 29.</w:t>
      </w:r>
      <w:r>
        <w:rPr/>
        <w:t xml:space="preserve"> Art. 29, último de la Sección 1.ª: petición individual y colectiva por escrito; los miembros de Fuerzas Armadas, solo individualmente.</w:t>
      </w:r>
    </w:p>
    <w:p>
      <w:pPr>
        <w:pStyle w:val="BodyText"/>
        <w:rPr/>
      </w:pPr>
      <w:r>
        <w:rPr>
          <w:b/>
        </w:rPr>
        <w:t>2. b) El Gobierno por real decreto, máximo 15 días, prorrogable con autorización del Congreso.</w:t>
      </w:r>
      <w:r>
        <w:rPr/>
        <w:t xml:space="preserve"> Art. 116: alarma = Gobierno (15 días, prórroga con autorización del Congreso); excepción = Gobierno con autorización previa del Congreso (30 días); sitio = Congreso por mayoría absoluta a propuesta del Gobierno.</w:t>
      </w:r>
    </w:p>
    <w:p>
      <w:pPr>
        <w:pStyle w:val="BodyText"/>
        <w:rPr/>
      </w:pPr>
      <w:r>
        <w:rPr>
          <w:b/>
        </w:rPr>
        <w:t>3. a) Eficacia, jerarquía, descentralización, desconcentración y coordinación, con sometimiento pleno a la ley y al Derecho.</w:t>
      </w:r>
      <w:r>
        <w:rPr/>
        <w:t xml:space="preserve"> Lista literal del 103.1, de memorización obligada; el 103.3 añade el acceso a la función pública según mérito y capacidad.</w:t>
      </w:r>
    </w:p>
    <w:p>
      <w:pPr>
        <w:pStyle w:val="BodyText"/>
        <w:rPr/>
      </w:pPr>
      <w:r>
        <w:rPr>
          <w:b/>
        </w:rPr>
        <w:t>4. b) 20 vocales más el Presidente del Tribunal Supremo, por 5 años.</w:t>
      </w:r>
      <w:r>
        <w:rPr/>
        <w:t xml:space="preserve"> Art. 122.3 CE: 20 vocales (12 entre jueces y magistrados, 8 entre juristas elegidos 4 por el Congreso y 4 por el Senado por 3/5) + el Presidente del TS que lo preside; mandato 5 años.</w:t>
      </w:r>
    </w:p>
    <w:p>
      <w:pPr>
        <w:pStyle w:val="BodyText"/>
        <w:rPr/>
      </w:pPr>
      <w:r>
        <w:rPr>
          <w:b/>
        </w:rPr>
        <w:t>5. c) La iniciativa legislativa popular.</w:t>
      </w:r>
      <w:r>
        <w:rPr/>
        <w:t xml:space="preserve"> El art. 166 remite al 87.1 y 87.2, excluyendo la iniciativa popular del 87.3: no cabe reforma constitucional por iniciativa ciudadana.</w:t>
      </w:r>
    </w:p>
    <w:p>
      <w:pPr>
        <w:pStyle w:val="BodyText"/>
        <w:rPr/>
      </w:pPr>
      <w:r>
        <w:rPr>
          <w:b/>
        </w:rPr>
        <w:t>6. b) 30 días desde su promulgación.</w:t>
      </w:r>
      <w:r>
        <w:rPr/>
        <w:t xml:space="preserve"> Art. 86.2: 30 días para convalidarlo o derogarlo en totalidad; el Senado no interviene.</w:t>
      </w:r>
    </w:p>
    <w:p>
      <w:pPr>
        <w:pStyle w:val="BodyText"/>
        <w:rPr/>
      </w:pPr>
      <w:r>
        <w:rPr>
          <w:b/>
        </w:rPr>
        <w:t>7. a) Mayoría absoluta del Senado.</w:t>
      </w:r>
      <w:r>
        <w:rPr/>
        <w:t xml:space="preserve"> El 155 (incumplimiento grave de una CCAA) exige requerimiento previo a su Presidente y aprobación por mayoría absoluta del SENADO — una de sus pocas competencias exclusivas.</w:t>
      </w:r>
    </w:p>
    <w:p>
      <w:pPr>
        <w:pStyle w:val="BodyText"/>
        <w:rPr/>
      </w:pPr>
      <w:r>
        <w:rPr>
          <w:b/>
        </w:rPr>
        <w:t>8. a) El Consejo de Estado.</w:t>
      </w:r>
      <w:r>
        <w:rPr/>
        <w:t xml:space="preserve"> Art. 107 CE. El Tribunal de Cuentas (art. 136) fiscaliza las cuentas públicas y depende de las Cortes — ambos órganos se preguntan cruzados.</w:t>
      </w:r>
    </w:p>
    <w:p>
      <w:pPr>
        <w:pStyle w:val="BodyText"/>
        <w:rPr/>
      </w:pPr>
      <w:r>
        <w:rPr>
          <w:b/>
        </w:rPr>
        <w:t>9. c) 3 años.</w:t>
      </w:r>
      <w:r>
        <w:rPr/>
        <w:t xml:space="preserve"> TREBEP art. 97: faltas muy graves 3 años, graves 2, leves 6 meses (sanciones: 3, 2, 1). La escalera 3-2-6meses es dato duro clásico.</w:t>
      </w:r>
    </w:p>
    <w:p>
      <w:pPr>
        <w:pStyle w:val="BodyText"/>
        <w:rPr/>
      </w:pPr>
      <w:r>
        <w:rPr>
          <w:b/>
        </w:rPr>
        <w:t>10. c) C1 (título de Bachiller o Técnico).</w:t>
      </w:r>
      <w:r>
        <w:rPr/>
        <w:t xml:space="preserve"> Clasificación TREBEP art. 76: A1/A2 (universitarios), B (Técnico Superior), C1 (Bachiller o Técnico), C2 (ESO). Tu propio cuerpo es pregunta recurrente.</w:t>
      </w:r>
    </w:p>
    <w:p>
      <w:pPr>
        <w:pStyle w:val="BodyText"/>
        <w:rPr/>
      </w:pPr>
      <w:r>
        <w:rPr>
          <w:b/>
        </w:rPr>
        <w:t>11. b) El Consejo de Transparencia y Buen Gobierno, en el plazo de 1 mes, con carácter potestativo.</w:t>
      </w:r>
      <w:r>
        <w:rPr/>
        <w:t xml:space="preserve"> Reclamación potestativa ante el CTBG (sustitutiva del recurso administrativo) en 1 mes; contra su resolución queda la vía contencioso-administrativa.</w:t>
      </w:r>
    </w:p>
    <w:p>
      <w:pPr>
        <w:pStyle w:val="BodyText"/>
        <w:rPr/>
      </w:pPr>
      <w:r>
        <w:rPr>
          <w:b/>
        </w:rPr>
        <w:t>12. a) La seguridad nacional, la defensa, las relaciones exteriores y la prevención e investigación de ilícitos.</w:t>
      </w:r>
      <w:r>
        <w:rPr/>
        <w:t xml:space="preserve"> Límites tasados que se aplican de forma justificada y proporcionada, con posibilidad de acceso parcial; los datos personales tienen su régimen propio en el art. 15.</w:t>
      </w:r>
    </w:p>
    <w:p>
      <w:pPr>
        <w:pStyle w:val="BodyText"/>
        <w:rPr/>
      </w:pPr>
      <w:r>
        <w:rPr>
          <w:b/>
        </w:rPr>
        <w:t>13. b) Cualquier comportamiento, verbal o físico, de naturaleza sexual que atente contra la dignidad, en particular creando un entorno intimidatorio, degradante u ofensivo.</w:t>
      </w:r>
      <w:r>
        <w:rPr/>
        <w:t xml:space="preserve"> Art. 7.1; el acoso POR RAZÓN DE SEXO (7.2) es el realizado en función del sexo de la persona con el mismo propósito o efecto — la distinción entre ambos es la pregunta típica.</w:t>
      </w:r>
    </w:p>
    <w:p>
      <w:pPr>
        <w:pStyle w:val="BodyText"/>
        <w:rPr/>
      </w:pPr>
      <w:r>
        <w:rPr>
          <w:b/>
        </w:rPr>
        <w:t>14. b) Excepcional: los servicios tienen carácter prioritario.</w:t>
      </w:r>
      <w:r>
        <w:rPr/>
        <w:t xml:space="preserve"> El catálogo de SERVICIOS es prioritario; la prestación por cuidados familiares se reserva a condiciones excepcionales (art. 14.4 y 18).</w:t>
      </w:r>
    </w:p>
    <w:p>
      <w:pPr>
        <w:pStyle w:val="BodyText"/>
        <w:rPr/>
      </w:pPr>
      <w:r>
        <w:rPr>
          <w:b/>
        </w:rPr>
        <w:t>15. b) Modificaciones del entorno que no impongan carga desproporcionada, para garantizar la igualdad de las personas con discapacidad.</w:t>
      </w:r>
      <w:r>
        <w:rPr/>
        <w:t xml:space="preserve"> Concepto clave junto a «accesibilidad universal» y «diseño para todas las personas»; su denegación injustificada constituye discriminación.</w:t>
      </w:r>
    </w:p>
    <w:p>
      <w:pPr>
        <w:pStyle w:val="BodyText"/>
        <w:rPr/>
      </w:pPr>
      <w:r>
        <w:rPr>
          <w:b/>
        </w:rPr>
        <w:t>16. b) Presunción de exactitud de la fecha y hora y de integridad de los datos vinculados.</w:t>
      </w:r>
      <w:r>
        <w:rPr/>
        <w:t xml:space="preserve"> Art. 41 eIDAS: presunción legal — por eso el sellado de tiempo cualificado se usa en registro electrónico y notificaciones.</w:t>
      </w:r>
    </w:p>
    <w:p>
      <w:pPr>
        <w:pStyle w:val="BodyText"/>
        <w:rPr/>
      </w:pPr>
      <w:r>
        <w:rPr>
          <w:b/>
        </w:rPr>
        <w:t>17. b) 5 años.</w:t>
      </w:r>
      <w:r>
        <w:rPr/>
        <w:t xml:space="preserve"> Art. 6 Ley 6/2020: no superior a 5 años. La vigencia del certificado es independiente de la del soporte (el DNIe físico dura 10 años o más).</w:t>
      </w:r>
    </w:p>
    <w:p>
      <w:pPr>
        <w:pStyle w:val="BodyText"/>
        <w:rPr/>
      </w:pPr>
      <w:r>
        <w:rPr>
          <w:b/>
        </w:rPr>
        <w:t>18. b) Los datos seudonimizados pueden reatribuirse con información adicional, por lo que SIGUEN siendo datos personales; los anónimos no.</w:t>
      </w:r>
      <w:r>
        <w:rPr/>
        <w:t xml:space="preserve"> El dato seudonimizado sigue sujeto al RGPD (es una medida de seguridad); el verdaderamente anónimo queda fuera de su ámbito.</w:t>
      </w:r>
    </w:p>
    <w:p>
      <w:pPr>
        <w:pStyle w:val="BodyText"/>
        <w:rPr/>
      </w:pPr>
      <w:r>
        <w:rPr>
          <w:b/>
        </w:rPr>
        <w:t>19. b) Origen étnico, opiniones políticas, convicciones religiosas, afiliación sindical, datos genéticos, biométricos para identificación, salud, vida y orientación sexual.</w:t>
      </w:r>
      <w:r>
        <w:rPr/>
        <w:t xml:space="preserve"> Tratamiento prohibido salvo excepciones tasadas (consentimiento explícito, interés público esencial…). La lista literal cae con frecuencia.</w:t>
      </w:r>
    </w:p>
    <w:p>
      <w:pPr>
        <w:pStyle w:val="BodyText"/>
        <w:rPr/>
      </w:pPr>
      <w:r>
        <w:rPr>
          <w:b/>
        </w:rPr>
        <w:t>20. b) 14 años (LO 3/2018).</w:t>
      </w:r>
      <w:r>
        <w:rPr/>
        <w:t xml:space="preserve"> El RGPD fija 16 por defecto pero permite a los Estados bajar hasta 13; España eligió 14 (art. 7 LOPDGDD).</w:t>
      </w:r>
    </w:p>
    <w:p>
      <w:pPr>
        <w:pStyle w:val="BodyText"/>
        <w:rPr/>
      </w:pPr>
      <w:r>
        <w:rPr>
          <w:b/>
        </w:rPr>
        <w:t>21. b) Existe una decisión de adecuación de la Comisión Europea sobre ese país.</w:t>
      </w:r>
      <w:r>
        <w:rPr/>
        <w:t xml:space="preserve"> Sin decisión de adecuación se requieren garantías adecuadas (cláusulas contractuales tipo, normas corporativas vinculantes) o excepciones del art. 49.</w:t>
      </w:r>
    </w:p>
    <w:p>
      <w:pPr>
        <w:pStyle w:val="BodyText"/>
        <w:rPr/>
      </w:pPr>
      <w:r>
        <w:rPr>
          <w:b/>
        </w:rPr>
        <w:t>22. b) Por razones justificadas de necesidad y urgencia, para funciones propias de funcionarios de carrera, en los supuestos tasados del TREBEP.</w:t>
      </w:r>
      <w:r>
        <w:rPr/>
        <w:t xml:space="preserve"> Art. 10 TREBEP: vacantes, sustituciones, programas temporales (máx. 3 años) y acumulación de tareas (9 meses en 18). Su selección también respeta igualdad, mérito y capacidad.</w:t>
      </w:r>
    </w:p>
    <w:p>
      <w:pPr>
        <w:pStyle w:val="BodyText"/>
        <w:rPr/>
      </w:pPr>
      <w:r>
        <w:rPr>
          <w:b/>
        </w:rPr>
        <w:t>23. b) Es válida; además, toda notificación se pone también a disposición en la sede/DEHú.</w:t>
      </w:r>
      <w:r>
        <w:rPr/>
        <w:t xml:space="preserve"> Las personas físicas no obligadas eligen canal y pueden cambiarlo; aun notificando en papel, la Administración pone la notificación a disposición electrónica (art. 42.1 Ley 39/2015).</w:t>
      </w:r>
    </w:p>
    <w:p>
      <w:pPr>
        <w:pStyle w:val="BodyText"/>
        <w:rPr/>
      </w:pPr>
      <w:r>
        <w:rPr>
          <w:b/>
        </w:rPr>
        <w:t>24. b) Días hábiles, excluyendo sábados, domingos y festivos.</w:t>
      </w:r>
      <w:r>
        <w:rPr/>
        <w:t xml:space="preserve"> Art. 30: por defecto días HÁBILES (el sábado es inhábil); cuando la norma dice «naturales» debe advertirlo expresamente — como los 10 naturales del rechazo de la notificación.</w:t>
      </w:r>
    </w:p>
    <w:p>
      <w:pPr>
        <w:pStyle w:val="BodyText"/>
        <w:rPr/>
      </w:pPr>
      <w:r>
        <w:rPr>
          <w:b/>
        </w:rPr>
        <w:t>25. b) Por el mayor nivel de impacto (bajo/medio/alto) en cualquiera de las cinco dimensiones de seguridad.</w:t>
      </w:r>
      <w:r>
        <w:rPr/>
        <w:t xml:space="preserve"> Anexo I RD 311/2022: se valora el perjuicio de un incidente en cada dimensión ACIDT y la categoría (básica/media/alta) la fija el máximo.</w:t>
      </w:r>
    </w:p>
    <w:p>
      <w:pPr>
        <w:pStyle w:val="BodyText"/>
        <w:rPr/>
      </w:pPr>
      <w:r>
        <w:rPr>
          <w:b/>
        </w:rPr>
        <w:t>26. b) El Centro Criptológico Nacional.</w:t>
      </w:r>
      <w:r>
        <w:rPr/>
        <w:t xml:space="preserve"> El CCN (adscrito al CNI) desarrolla las guías STIC y opera el CCN-CERT, el CERT gubernamental — apoyo operativo del ENS.</w:t>
      </w:r>
    </w:p>
    <w:p>
      <w:pPr>
        <w:pStyle w:val="BodyText"/>
        <w:rPr/>
      </w:pPr>
      <w:r>
        <w:rPr>
          <w:b/>
        </w:rPr>
        <w:t>27. b) La información intercambiada sea interpretable de forma automática y con el mismo significado por todas las partes (modelos de datos comunes).</w:t>
      </w:r>
      <w:r>
        <w:rPr/>
        <w:t xml:space="preserve"> Organizativa = procesos y acuerdos; TÉCNICA = estándares y protocolos; SEMÁNTICA = significado común de los datos (Centro de Interoperabilidad Semántica).</w:t>
      </w:r>
    </w:p>
    <w:p>
      <w:pPr>
        <w:pStyle w:val="BodyText"/>
        <w:rPr/>
      </w:pPr>
      <w:r>
        <w:rPr>
          <w:b/>
        </w:rPr>
        <w:t>28. b) La Plataforma de Intermediación, Notific@, SIR o Cl@ve, interconectando de forma segura a las AAPP.</w:t>
      </w:r>
      <w:r>
        <w:rPr/>
        <w:t xml:space="preserve"> SARA es el transporte común de los servicios compartidos de administración electrónica y enlaza con Europa vía sTESTA.</w:t>
      </w:r>
    </w:p>
    <w:p>
      <w:pPr>
        <w:pStyle w:val="BodyText"/>
        <w:rPr/>
      </w:pPr>
      <w:r>
        <w:rPr>
          <w:b/>
        </w:rPr>
        <w:t>29. b) No debe aportar documentos que ya obren en poder de las AAPP (art. 28 Ley 39/2015): la Administración los consulta electrónicamente.</w:t>
      </w:r>
      <w:r>
        <w:rPr/>
        <w:t xml:space="preserve"> Verificación de identidad, residencia, títulos, desempleo… con amparo legal o consentimiento; es el fin del «certificado en papel entre ventanillas».</w:t>
      </w:r>
    </w:p>
    <w:p>
      <w:pPr>
        <w:pStyle w:val="BodyText"/>
        <w:rPr/>
      </w:pPr>
      <w:r>
        <w:rPr>
          <w:b/>
        </w:rPr>
        <w:t>30. b) Aplicaciones de registro integradas en el Sistema de Interconexión de Registros (SIR).</w:t>
      </w:r>
      <w:r>
        <w:rPr/>
        <w:t xml:space="preserve"> GEISER: gestión integral de registro para organismos; ORVE: oficina de registro virtual. Ambas intercambian asientos por SIR en formato electrónico interoperable.</w:t>
      </w:r>
    </w:p>
    <w:p>
      <w:pPr>
        <w:pStyle w:val="BodyText"/>
        <w:rPr/>
      </w:pPr>
      <w:r>
        <w:rPr>
          <w:b/>
        </w:rPr>
        <w:t>31. b) 65.536.</w:t>
      </w:r>
      <w:r>
        <w:rPr/>
        <w:t xml:space="preserve"> Potencia imprescindible: 2^10=1.024, 2^16=65.536 (rango de puertos, direccionamiento de 16 bits).</w:t>
      </w:r>
    </w:p>
    <w:p>
      <w:pPr>
        <w:pStyle w:val="BodyText"/>
        <w:rPr/>
      </w:pPr>
      <w:r>
        <w:rPr>
          <w:b/>
        </w:rPr>
        <w:t>32. b) −128.</w:t>
      </w:r>
      <w:r>
        <w:rPr/>
        <w:t xml:space="preserve"> El patrón con solo el bit de signo es el mínimo del rango: −2^(n−1) = −128; el +128 no existe en 8 bits (asimetría del rango).</w:t>
      </w:r>
    </w:p>
    <w:p>
      <w:pPr>
        <w:pStyle w:val="BodyText"/>
        <w:rPr/>
      </w:pPr>
      <w:r>
        <w:rPr>
          <w:b/>
        </w:rPr>
        <w:t>33. b) Arranque seguro (Secure Boot), particionado GPT y soporte de discos de más de 2 TB.</w:t>
      </w:r>
      <w:r>
        <w:rPr/>
        <w:t xml:space="preserve"> UEFI+GPT supera los límites de MBR (4 particiones primarias, 2 TB) y añade Secure Boot contra malware de arranque.</w:t>
      </w:r>
    </w:p>
    <w:p>
      <w:pPr>
        <w:pStyle w:val="BodyText"/>
        <w:rPr/>
      </w:pPr>
      <w:r>
        <w:rPr>
          <w:b/>
        </w:rPr>
        <w:t>34. b) Un montículo (heap).</w:t>
      </w:r>
      <w:r>
        <w:rPr/>
        <w:t xml:space="preserve"> El heap binario da inserción y extracción del máximo/mínimo en O(log n); es también la base de Heapsort.</w:t>
      </w:r>
    </w:p>
    <w:p>
      <w:pPr>
        <w:pStyle w:val="BodyText"/>
        <w:rPr/>
      </w:pPr>
      <w:r>
        <w:rPr>
          <w:b/>
        </w:rPr>
        <w:t>35. b) Mantiene el orden relativo de los elementos con claves iguales (p. ej., Mergesort).</w:t>
      </w:r>
      <w:r>
        <w:rPr/>
        <w:t xml:space="preserve"> Mergesort e inserción son estables; Quicksort y Heapsort, en general, no. La estabilidad importa al ordenar por claves múltiples.</w:t>
      </w:r>
    </w:p>
    <w:p>
      <w:pPr>
        <w:pStyle w:val="BodyText"/>
        <w:rPr/>
      </w:pPr>
      <w:r>
        <w:rPr>
          <w:b/>
        </w:rPr>
        <w:t>36. b) /var/log.</w:t>
      </w:r>
      <w:r>
        <w:rPr/>
        <w:t xml:space="preserve"> /var alberga datos variables; journalctl consulta el diario de systemd. FHS otra vez: rentabilísimo.</w:t>
      </w:r>
    </w:p>
    <w:p>
      <w:pPr>
        <w:pStyle w:val="BodyText"/>
        <w:rPr/>
      </w:pPr>
      <w:r>
        <w:rPr>
          <w:b/>
        </w:rPr>
        <w:t>37. b) SIGKILL (terminación inmediata no capturable).</w:t>
      </w:r>
      <w:r>
        <w:rPr/>
        <w:t xml:space="preserve"> kill por defecto envía SIGTERM (15, permite limpieza); -9/SIGKILL mata sin contemplaciones y el proceso no puede ignorarla.</w:t>
      </w:r>
    </w:p>
    <w:p>
      <w:pPr>
        <w:pStyle w:val="BodyText"/>
        <w:rPr/>
      </w:pPr>
      <w:r>
        <w:rPr>
          <w:b/>
        </w:rPr>
        <w:t>38. b) exFAT.</w:t>
      </w:r>
      <w:r>
        <w:rPr/>
        <w:t xml:space="preserve"> FAT32 limita el fichero a 4 GB; NTFS y ext4 tienen soporte desigual fuera de su ecosistema; exFAT es el estándar de intercambio.</w:t>
      </w:r>
    </w:p>
    <w:p>
      <w:pPr>
        <w:pStyle w:val="BodyText"/>
        <w:rPr/>
      </w:pPr>
      <w:r>
        <w:rPr>
          <w:b/>
        </w:rPr>
        <w:t>39. b) Informar a la controladora de los bloques ya no usados para optimizar la escritura y el desgaste.</w:t>
      </w:r>
      <w:r>
        <w:rPr/>
        <w:t xml:space="preserve"> Los SSD no se desfragmentan (desgasta sin beneficio); TRIM + nivelación de desgaste mantienen el rendimiento de la flash.</w:t>
      </w:r>
    </w:p>
    <w:p>
      <w:pPr>
        <w:pStyle w:val="BodyText"/>
        <w:rPr/>
      </w:pPr>
      <w:r>
        <w:rPr>
          <w:b/>
        </w:rPr>
        <w:t>40. b) 8,5 GB.</w:t>
      </w:r>
      <w:r>
        <w:rPr/>
        <w:t xml:space="preserve"> DVD-5 = 4,7 GB (capa simple); DVD-9 = 8,5 GB (doble capa); Blu-ray 25/50 GB.</w:t>
      </w:r>
    </w:p>
    <w:p>
      <w:pPr>
        <w:pStyle w:val="BodyText"/>
        <w:rPr/>
      </w:pPr>
      <w:r>
        <w:rPr>
          <w:b/>
        </w:rPr>
        <w:t>41. b) Modificar el almacenamiento interno (índices, organización) sin alterar el esquema conceptual.</w:t>
      </w:r>
      <w:r>
        <w:rPr/>
        <w:t xml:space="preserve"> Física: interno↔conceptual; lógica: conceptual↔externo. Saber cuál es cuál resuelve la pregunta en segundos.</w:t>
      </w:r>
    </w:p>
    <w:p>
      <w:pPr>
        <w:pStyle w:val="BodyText"/>
        <w:rPr/>
      </w:pPr>
      <w:r>
        <w:rPr>
          <w:b/>
        </w:rPr>
        <w:t>42. b) Clave-valor en memoria.</w:t>
      </w:r>
      <w:r>
        <w:rPr/>
        <w:t xml:space="preserve"> Redis guarda pares clave-valor en RAM (caché, sesiones, colas). MongoDB documental, Cassandra columnar, Neo4j grafos.</w:t>
      </w:r>
    </w:p>
    <w:p>
      <w:pPr>
        <w:pStyle w:val="BodyText"/>
        <w:rPr/>
      </w:pPr>
      <w:r>
        <w:rPr>
          <w:b/>
        </w:rPr>
        <w:t>43. b) UNION elimina las filas duplicadas del resultado; UNION ALL las conserva (y es más rápido).</w:t>
      </w:r>
      <w:r>
        <w:rPr/>
        <w:t xml:space="preserve"> Ambas exigen igual número y tipos compatibles de columnas; el des-duplicado de UNION tiene coste — matiz típico.</w:t>
      </w:r>
    </w:p>
    <w:p>
      <w:pPr>
        <w:pStyle w:val="BodyText"/>
        <w:rPr/>
      </w:pPr>
      <w:r>
        <w:rPr>
          <w:b/>
        </w:rPr>
        <w:t>44. b) Impide valores duplicados en esa columna además de indexarla.</w:t>
      </w:r>
      <w:r>
        <w:rPr/>
        <w:t xml:space="preserve"> Es la implementación habitual de las restricciones UNIQUE y de clave primaria; el tratamiento de múltiples NULL varía por SGBD.</w:t>
      </w:r>
    </w:p>
    <w:p>
      <w:pPr>
        <w:pStyle w:val="BodyText"/>
        <w:rPr/>
      </w:pPr>
      <w:r>
        <w:rPr>
          <w:b/>
        </w:rPr>
        <w:t>45. b) Se borran automáticamente las filas hijas que la referencian.</w:t>
      </w:r>
      <w:r>
        <w:rPr/>
        <w:t xml:space="preserve"> CASCADE propaga; SET NULL anula la FK; RESTRICT/NO ACTION impide el borrado si hay hijas. Las tres acciones son pregunta fija.</w:t>
      </w:r>
    </w:p>
    <w:p>
      <w:pPr>
        <w:pStyle w:val="BodyText"/>
        <w:rPr/>
      </w:pPr>
      <w:r>
        <w:rPr>
          <w:b/>
        </w:rPr>
        <w:t>46. b) Se calcula a partir de otros (p. ej., la edad desde la fecha de nacimiento) y suele no almacenarse.</w:t>
      </w:r>
      <w:r>
        <w:rPr/>
        <w:t xml:space="preserve"> Se representa con línea discontinua; almacenarlo introduce redundancia (anomalías de actualización).</w:t>
      </w:r>
    </w:p>
    <w:p>
      <w:pPr>
        <w:pStyle w:val="BodyText"/>
        <w:rPr/>
      </w:pPr>
      <w:r>
        <w:rPr>
          <w:b/>
        </w:rPr>
        <w:t>47. b) Secuencia.</w:t>
      </w:r>
      <w:r>
        <w:rPr/>
        <w:t xml:space="preserve"> Líneas de vida verticales y mensajes horizontales ordenados temporalmente; es de comportamiento, frente a los estructurales.</w:t>
      </w:r>
    </w:p>
    <w:p>
      <w:pPr>
        <w:pStyle w:val="BodyText"/>
        <w:rPr/>
      </w:pPr>
      <w:r>
        <w:rPr>
          <w:b/>
        </w:rPr>
        <w:t>48. b) Extender una sola clase e implementar múltiples interfaces.</w:t>
      </w:r>
      <w:r>
        <w:rPr/>
        <w:t xml:space="preserve"> extends único + implements múltiple: la respuesta de Java al problema del diamante.</w:t>
      </w:r>
    </w:p>
    <w:p>
      <w:pPr>
        <w:pStyle w:val="BodyText"/>
        <w:rPr/>
      </w:pPr>
      <w:r>
        <w:rPr>
          <w:b/>
        </w:rPr>
        <w:t>49. b) El JDK incluye las herramientas de desarrollo (javac…) además del entorno de ejecución JRE.</w:t>
      </w:r>
      <w:r>
        <w:rPr/>
        <w:t xml:space="preserve"> JDK ⊃ JRE ⊃ JVM: para desarrollar hace falta el JDK; para solo ejecutar bastaba el JRE.</w:t>
      </w:r>
    </w:p>
    <w:p>
      <w:pPr>
        <w:pStyle w:val="BodyText"/>
        <w:rPr/>
      </w:pPr>
      <w:r>
        <w:rPr>
          <w:b/>
        </w:rPr>
        <w:t>50. b) Notificar automáticamente a múltiples objetos suscritos los cambios de estado de otro (publicador/suscriptores).</w:t>
      </w:r>
      <w:r>
        <w:rPr/>
        <w:t xml:space="preserve"> Patrón de comportamiento: base de los sistemas de eventos y del data binding. Singleton crea única instancia (creacional), Adapter adapta y Facade simplifica (estructurales).</w:t>
      </w:r>
    </w:p>
    <w:p>
      <w:pPr>
        <w:pStyle w:val="BodyText"/>
        <w:rPr/>
      </w:pPr>
      <w:r>
        <w:rPr>
          <w:b/>
        </w:rPr>
        <w:t>51. b) PATCH.</w:t>
      </w:r>
      <w:r>
        <w:rPr/>
        <w:t xml:space="preserve"> PATCH envía solo los campos a cambiar; PUT reemplaza la representación completa (idempotente).</w:t>
      </w:r>
    </w:p>
    <w:p>
      <w:pPr>
        <w:pStyle w:val="BodyText"/>
        <w:rPr/>
      </w:pPr>
      <w:r>
        <w:rPr>
          <w:b/>
        </w:rPr>
        <w:t>52. b) 403 Forbidden.</w:t>
      </w:r>
      <w:r>
        <w:rPr/>
        <w:t xml:space="preserve"> 401 = falta autenticación (o es inválida); 403 = autenticado pero prohibido. La pareja trampa por excelencia de los códigos HTTP.</w:t>
      </w:r>
    </w:p>
    <w:p>
      <w:pPr>
        <w:pStyle w:val="BodyText"/>
        <w:rPr/>
      </w:pPr>
      <w:r>
        <w:rPr>
          <w:b/>
        </w:rPr>
        <w:t>53. b) {“nombre”: “Ana”, “edad”: 30}.</w:t>
      </w:r>
      <w:r>
        <w:rPr/>
        <w:t xml:space="preserve"> JSON exige claves y cadenas entre comillas DOBLES; sin comillas simples ni claves desnudas (eso es un objeto JavaScript, no JSON).</w:t>
      </w:r>
    </w:p>
    <w:p>
      <w:pPr>
        <w:pStyle w:val="BodyText"/>
        <w:rPr/>
      </w:pPr>
      <w:r>
        <w:rPr>
          <w:b/>
        </w:rPr>
        <w:t>54. b) El atributo for de label apuntando al id del input.</w:t>
      </w:r>
      <w:r>
        <w:rPr/>
        <w:t xml:space="preserve"> label for=“email” + input id=“email”: los lectores de pantalla anuncian la etiqueta al enfocar el campo y el clic en la etiqueta activa el control (criterio WCAG de formularios).</w:t>
      </w:r>
    </w:p>
    <w:p>
      <w:pPr>
        <w:pStyle w:val="BodyText"/>
        <w:rPr/>
      </w:pPr>
      <w:r>
        <w:rPr>
          <w:b/>
        </w:rPr>
        <w:t>55. b) El tamaño de fuente del elemento raíz (html).</w:t>
      </w:r>
      <w:r>
        <w:rPr/>
        <w:t xml:space="preserve"> em = relativo al padre/elemento; REM = root em (html). Las unidades relativas favorecen la accesibilidad (el texto escala) frente a los px fijos.</w:t>
      </w:r>
    </w:p>
    <w:p>
      <w:pPr>
        <w:pStyle w:val="BodyText"/>
        <w:rPr/>
      </w:pPr>
      <w:r>
        <w:rPr>
          <w:b/>
        </w:rPr>
        <w:t>56. b) Compara valor Y tipo, sin conversión implícita (‘5’ == 5 es true; ‘5’ === 5 es false).</w:t>
      </w:r>
      <w:r>
        <w:rPr/>
        <w:t xml:space="preserve"> La igualdad estricta evita las sorpresas de la coerción de tipos; es la recomendada y la que pregunta el tribunal.</w:t>
      </w:r>
    </w:p>
    <w:p>
      <w:pPr>
        <w:pStyle w:val="BodyText"/>
        <w:rPr/>
      </w:pPr>
      <w:r>
        <w:rPr>
          <w:b/>
        </w:rPr>
        <w:t>57. b) Operable.</w:t>
      </w:r>
      <w:r>
        <w:rPr/>
        <w:t xml:space="preserve"> Operable (pauta 2.1): usuarios sin ratón (motrices, lectores de pantalla). El alt es Perceptible; el lenguaje claro, Comprensible; la compatibilidad, Robusto.</w:t>
      </w:r>
    </w:p>
    <w:p>
      <w:pPr>
        <w:pStyle w:val="BodyText"/>
        <w:rPr/>
      </w:pPr>
      <w:r>
        <w:rPr>
          <w:b/>
        </w:rPr>
        <w:t>58. b) Copia un repositorio remoto completo (con su historial) en local.</w:t>
      </w:r>
      <w:r>
        <w:rPr/>
        <w:t xml:space="preserve"> Clonar trae todo el historial (Git es distribuido); después el ciclo es add → commit → push.</w:t>
      </w:r>
    </w:p>
    <w:p>
      <w:pPr>
        <w:pStyle w:val="BodyText"/>
        <w:rPr/>
      </w:pPr>
      <w:r>
        <w:rPr>
          <w:b/>
        </w:rPr>
        <w:t>59. b) 15 minutos.</w:t>
      </w:r>
      <w:r>
        <w:rPr/>
        <w:t xml:space="preserve"> Timebox de 15 minutos para los Developers: sincronizar y detectar impedimentos, no resolver problemas.</w:t>
      </w:r>
    </w:p>
    <w:p>
      <w:pPr>
        <w:pStyle w:val="BodyText"/>
        <w:rPr/>
      </w:pPr>
      <w:r>
        <w:rPr>
          <w:b/>
        </w:rPr>
        <w:t>60. b) Los cambios no han roto funcionalidades que antes funcionaban.</w:t>
      </w:r>
      <w:r>
        <w:rPr/>
        <w:t xml:space="preserve"> Se automatizan en el pipeline de CI para ejecutarse en cada cambio: es su razón de ser.</w:t>
      </w:r>
    </w:p>
    <w:p>
      <w:pPr>
        <w:pStyle w:val="BodyText"/>
        <w:rPr/>
      </w:pPr>
      <w:r>
        <w:rPr>
          <w:b/>
        </w:rPr>
        <w:t>61. b) SSH.</w:t>
      </w:r>
      <w:r>
        <w:rPr/>
        <w:t xml:space="preserve"> SSH: administración remota cifrada (y base de SFTP/SCP). Telnet (23) es su predecesor inseguro.</w:t>
      </w:r>
    </w:p>
    <w:p>
      <w:pPr>
        <w:pStyle w:val="BodyText"/>
        <w:rPr/>
      </w:pPr>
      <w:r>
        <w:rPr>
          <w:b/>
        </w:rPr>
        <w:t>62. b) PTR.</w:t>
      </w:r>
      <w:r>
        <w:rPr/>
        <w:t xml:space="preserve"> Los PTR viven en zonas in-addr.arpa (IPv4) e ip6.arpa; los usan antispam y logs para verificar el nombre de una IP.</w:t>
      </w:r>
    </w:p>
    <w:p>
      <w:pPr>
        <w:pStyle w:val="BodyText"/>
        <w:rPr/>
      </w:pPr>
      <w:r>
        <w:rPr>
          <w:b/>
        </w:rPr>
        <w:t>63. b) El tiempo de concesión de la IP asignada, renovable por el cliente.</w:t>
      </w:r>
      <w:r>
        <w:rPr/>
        <w:t xml:space="preserve"> El cliente intenta renovar a la mitad del plazo (T1); si el servidor no responde, reintenta (T2) y finalmente pierde la dirección.</w:t>
      </w:r>
    </w:p>
    <w:p>
      <w:pPr>
        <w:pStyle w:val="BodyText"/>
        <w:rPr/>
      </w:pPr>
      <w:r>
        <w:rPr>
          <w:b/>
        </w:rPr>
        <w:t>64. b) Transporta tráfico de múltiples VLANs etiquetado con 802.1Q (típico entre switches).</w:t>
      </w:r>
      <w:r>
        <w:rPr/>
        <w:t xml:space="preserve"> Acceso = una VLAN sin etiqueta (hacia el PC); trunk = varias VLANs etiquetadas (entre switches y hacia el router).</w:t>
      </w:r>
    </w:p>
    <w:p>
      <w:pPr>
        <w:pStyle w:val="BodyText"/>
        <w:rPr/>
      </w:pPr>
      <w:r>
        <w:rPr>
          <w:b/>
        </w:rPr>
        <w:t>65. b) 192.168.5.128.</w:t>
      </w:r>
      <w:r>
        <w:rPr/>
        <w:t xml:space="preserve"> /25 divide en .0-.127 y .128-.255; el 130 cae en la segunda: red .128, difusión .255, útiles .129-.254.</w:t>
      </w:r>
    </w:p>
    <w:p>
      <w:pPr>
        <w:pStyle w:val="BodyText"/>
        <w:rPr/>
      </w:pPr>
      <w:r>
        <w:rPr>
          <w:b/>
        </w:rPr>
        <w:t>66. b) 30 hosts útiles.</w:t>
      </w:r>
      <w:r>
        <w:rPr/>
        <w:t xml:space="preserve"> 2^5 − 2 = 30. La tabla /24→254, /25→126, /26→62, /27→30, /28→14 debe salir de memoria.</w:t>
      </w:r>
    </w:p>
    <w:p>
      <w:pPr>
        <w:pStyle w:val="BodyText"/>
        <w:rPr/>
      </w:pPr>
      <w:r>
        <w:rPr>
          <w:b/>
        </w:rPr>
        <w:t>67. b) ::1.</w:t>
      </w:r>
      <w:r>
        <w:rPr/>
        <w:t xml:space="preserve"> ::1 equivale al 127.0.0.1 de IPv4; fe80::/10 son las link-local y ff00::/8 multicast.</w:t>
      </w:r>
    </w:p>
    <w:p>
      <w:pPr>
        <w:pStyle w:val="BodyText"/>
        <w:rPr/>
      </w:pPr>
      <w:r>
        <w:rPr>
          <w:b/>
        </w:rPr>
        <w:t>68. b) El par de sockets: IP origen + puerto origen e IP destino + puerto destino.</w:t>
      </w:r>
      <w:r>
        <w:rPr/>
        <w:t xml:space="preserve"> Por eso un servidor atiende miles de conexiones al mismo puerto 443: cada cliente aporta IP/puerto de origen distintos.</w:t>
      </w:r>
    </w:p>
    <w:p>
      <w:pPr>
        <w:pStyle w:val="BodyText"/>
        <w:rPr/>
      </w:pPr>
      <w:r>
        <w:rPr>
          <w:b/>
        </w:rPr>
        <w:t>69. b) El campo TTL de los paquetes, provocando mensajes ICMP Time Exceeded de cada salto.</w:t>
      </w:r>
      <w:r>
        <w:rPr/>
        <w:t xml:space="preserve"> TTL=1, 2, 3…: cada router que lo agota se delata con su ICMP. Elegante y muy preguntado.</w:t>
      </w:r>
    </w:p>
    <w:p>
      <w:pPr>
        <w:pStyle w:val="BodyText"/>
        <w:rPr/>
      </w:pPr>
      <w:r>
        <w:rPr>
          <w:b/>
        </w:rPr>
        <w:t>70. d) WPA3.</w:t>
      </w:r>
      <w:r>
        <w:rPr/>
        <w:t xml:space="preserve"> WPA3 (SAE frente a ataques de diccionario); WPA2 sigue siendo común; WEP está roto desde hace dos décadas.</w:t>
      </w:r>
    </w:p>
    <w:p>
      <w:pPr>
        <w:pStyle w:val="BodyText"/>
        <w:rPr/>
      </w:pPr>
      <w:r>
        <w:rPr>
          <w:b/>
        </w:rPr>
        <w:t>71. b) No hay colisiones: cada puerto es un dominio de colisión propio y CSMA/CD resulta innecesario.</w:t>
      </w:r>
      <w:r>
        <w:rPr/>
        <w:t xml:space="preserve"> El switch aísla dominios de colisión (aunque la VLAN sigue siendo el dominio de DIFUSIÓN — no confundir ambos dominios).</w:t>
      </w:r>
    </w:p>
    <w:p>
      <w:pPr>
        <w:pStyle w:val="BodyText"/>
        <w:rPr/>
      </w:pPr>
      <w:r>
        <w:rPr>
          <w:b/>
        </w:rPr>
        <w:t>72. b) La completa del domingo + la última diferencial (la del miércoles).</w:t>
      </w:r>
      <w:r>
        <w:rPr/>
        <w:t xml:space="preserve"> La diferencial acumula todo desde la completa: bastan 2 piezas. Compárala con la cadena incremental — el contraste es la pregunta.</w:t>
      </w:r>
    </w:p>
    <w:p>
      <w:pPr>
        <w:pStyle w:val="BodyText"/>
        <w:rPr/>
      </w:pPr>
      <w:r>
        <w:rPr>
          <w:b/>
        </w:rPr>
        <w:t>73. b) Doble paridad distribuida: mínimo 4 discos y tolerancia al fallo simultáneo de 2.</w:t>
      </w:r>
      <w:r>
        <w:rPr/>
        <w:t xml:space="preserve"> Es el RAID 5 con una paridad extra: capacidad útil n−2. Pensado para discos grandes donde una reconstrucción larga arriesga un segundo fallo.</w:t>
      </w:r>
    </w:p>
    <w:p>
      <w:pPr>
        <w:pStyle w:val="BodyText"/>
        <w:rPr/>
      </w:pPr>
      <w:r>
        <w:rPr>
          <w:b/>
        </w:rPr>
        <w:t>74. b) El SAI mantiene la carga con baterías los segundos/minutos necesarios hasta que entra el grupo electrógeno.</w:t>
      </w:r>
      <w:r>
        <w:rPr/>
        <w:t xml:space="preserve"> SAI = puente inmediato (además filtra picos); generador = autonomía prolongada. Roles complementarios, pregunta directa.</w:t>
      </w:r>
    </w:p>
    <w:p>
      <w:pPr>
        <w:pStyle w:val="BodyText"/>
        <w:rPr/>
      </w:pPr>
      <w:r>
        <w:rPr>
          <w:b/>
        </w:rPr>
        <w:t>75. b) ESP.</w:t>
      </w:r>
      <w:r>
        <w:rPr/>
        <w:t xml:space="preserve"> ESP cifra (y autentica); AH solo autentica/integridad; IKE negocia las claves. Modos: túnel (sitio-a-sitio) y transporte.</w:t>
      </w:r>
    </w:p>
    <w:p>
      <w:pPr>
        <w:pStyle w:val="BodyText"/>
        <w:rPr/>
      </w:pPr>
      <w:r>
        <w:rPr>
          <w:b/>
        </w:rPr>
        <w:t>76. b) Ataques a aplicaciones web como inyección SQL o XSS, inspeccionando el tráfico HTTP/HTTPS.</w:t>
      </w:r>
      <w:r>
        <w:rPr/>
        <w:t xml:space="preserve"> Opera en capa de aplicación (a menudo integrado en el proxy inverso), complementando al firewall de red; cubre el OWASP Top 10 que conoces del Bloque III.</w:t>
      </w:r>
    </w:p>
    <w:p>
      <w:pPr>
        <w:pStyle w:val="BodyText"/>
        <w:rPr/>
      </w:pPr>
      <w:r>
        <w:rPr>
          <w:b/>
        </w:rPr>
        <w:t>77. b) Engañar al usuario suplantando una entidad legítima (correo, web falsa) para robar credenciales o datos.</w:t>
      </w:r>
      <w:r>
        <w:rPr/>
        <w:t xml:space="preserve"> Ingeniería social pura: la variante dirigida es spear phishing y por SMS, smishing. El rescate de la c) es el ransomware y la saturación de la a), un DoS.</w:t>
      </w:r>
    </w:p>
    <w:p>
      <w:pPr>
        <w:pStyle w:val="BodyText"/>
        <w:rPr/>
      </w:pPr>
      <w:r>
        <w:rPr>
          <w:b/>
        </w:rPr>
        <w:t>78. b) Algo que sé (contraseña) + algo que tengo (token/móvil) + algo que soy (biometría).</w:t>
      </w:r>
      <w:r>
        <w:rPr/>
        <w:t xml:space="preserve"> Deben ser factores de CATEGORÍAS distintas: dos contraseñas no son MFA — exactamente el matiz de la opción a) y d).</w:t>
      </w:r>
    </w:p>
    <w:p>
      <w:pPr>
        <w:pStyle w:val="BodyText"/>
        <w:rPr/>
      </w:pPr>
      <w:r>
        <w:rPr>
          <w:b/>
        </w:rPr>
        <w:t>79. b) Su tabla de direcciones MAC (CAM), construida observando el origen de las tramas.</w:t>
      </w:r>
      <w:r>
        <w:rPr/>
        <w:t xml:space="preserve"> Aprende MAC de origen → puerto; si desconoce el destino, inunda (flooding). El router usa tabla de RUTAS IP: capa 2 frente a capa 3.</w:t>
      </w:r>
    </w:p>
    <w:p>
      <w:pPr>
        <w:pStyle w:val="BodyText"/>
        <w:rPr/>
      </w:pPr>
      <w:r>
        <w:rPr>
          <w:b/>
        </w:rPr>
        <w:t>80. c) Cat 6A.</w:t>
      </w:r>
      <w:r>
        <w:rPr/>
        <w:t xml:space="preserve"> Cat 6 solo llega a 10G hasta ~55 m; Cat 6A lo garantiza a 100 m. Cat 5e se queda en 1 Gbps.</w:t>
      </w:r>
    </w:p>
    <w:p>
      <w:pPr>
        <w:pStyle w:val="Heading1"/>
        <w:rPr/>
      </w:pPr>
      <w:bookmarkStart w:id="3" w:name="Xa4863f455bf65e7a315ba78b0c0d94de15009f0"/>
      <w:r>
        <w:rPr/>
        <w:t>SUPUESTO A (Bloque III · Desarrollo) — «REGISTRA-2»</w:t>
      </w:r>
      <w:bookmarkEnd w:id="3"/>
    </w:p>
    <w:p>
      <w:pPr>
        <w:pStyle w:val="FirstParagraph"/>
        <w:rPr/>
      </w:pPr>
      <w:r>
        <w:rPr>
          <w:b/>
        </w:rPr>
        <w:t>Escenario.</w:t>
      </w:r>
      <w:r>
        <w:rPr/>
        <w:t xml:space="preserve"> Un ministerio moderniza REGISTRA-2, su aplicación de registro de entrada de documentos: back-end </w:t>
      </w:r>
      <w:r>
        <w:rPr>
          <w:b/>
        </w:rPr>
        <w:t>Java/Spring Boot</w:t>
      </w:r>
      <w:r>
        <w:rPr/>
        <w:t xml:space="preserve"> con </w:t>
      </w:r>
      <w:r>
        <w:rPr>
          <w:b/>
        </w:rPr>
        <w:t>JPA</w:t>
      </w:r>
      <w:r>
        <w:rPr/>
        <w:t xml:space="preserve"> sobre Oracle, API </w:t>
      </w:r>
      <w:r>
        <w:rPr>
          <w:b/>
        </w:rPr>
        <w:t>REST</w:t>
      </w:r>
      <w:r>
        <w:rPr/>
        <w:t xml:space="preserve">/JSON, front HTML5/CSS/JS conforme a </w:t>
      </w:r>
      <w:r>
        <w:rPr>
          <w:b/>
        </w:rPr>
        <w:t>WCAG AA</w:t>
      </w:r>
      <w:r>
        <w:rPr/>
        <w:t>, código en GitLab con CI. Esquema:</w:t>
      </w:r>
    </w:p>
    <w:p>
      <w:pPr>
        <w:pStyle w:val="SourceCode"/>
        <w:rPr/>
      </w:pPr>
      <w:r>
        <w:rPr>
          <w:rStyle w:val="VerbatimChar"/>
        </w:rPr>
        <w:t>ASIENTO(num_asiento PK, fecha_hora, tipo, dni_presentador FK, ofi_id FK)</w:t>
      </w:r>
      <w:r>
        <w:rPr/>
        <w:br/>
      </w:r>
      <w:r>
        <w:rPr>
          <w:rStyle w:val="VerbatimChar"/>
        </w:rPr>
        <w:t>PRESENTADOR(dni PK, nombre, email)</w:t>
      </w:r>
      <w:r>
        <w:rPr/>
        <w:br/>
      </w:r>
      <w:r>
        <w:rPr>
          <w:rStyle w:val="VerbatimChar"/>
        </w:rPr>
        <w:t>OFICINA(ofi_id PK, nombre, unidad_tramitadora)</w:t>
      </w:r>
      <w:r>
        <w:rPr/>
        <w:br/>
      </w:r>
      <w:r>
        <w:rPr>
          <w:rStyle w:val="VerbatimChar"/>
        </w:rPr>
        <w:t>DOCUMENTO(doc_id PK, num_asiento FK, nombre_fichero, hash_sha256, formato)</w:t>
      </w:r>
    </w:p>
    <w:p>
      <w:pPr>
        <w:pStyle w:val="FirstParagraph"/>
        <w:rPr/>
      </w:pPr>
      <w:r>
        <w:rPr>
          <w:b/>
        </w:rPr>
        <w:t>Preguntas</w:t>
      </w:r>
      <w:r>
        <w:rPr/>
        <w:t xml:space="preserve"> (respuestas al final):</w:t>
      </w:r>
    </w:p>
    <w:p>
      <w:pPr>
        <w:pStyle w:val="BodyText"/>
        <w:rPr/>
      </w:pPr>
      <w:r>
        <w:rPr>
          <w:b/>
        </w:rPr>
        <w:t>A1.</w:t>
      </w:r>
      <w:r>
        <w:rPr/>
        <w:t xml:space="preserve"> La relación ASIENTO-DOCUMENTO es 1:N. En el modelo relacional esto se implementa con: a) tabla intermedia · b) la FK num_asiento en DOCUMENTO · c) un trigger · d) una vista</w:t>
      </w:r>
    </w:p>
    <w:p>
      <w:pPr>
        <w:pStyle w:val="BodyText"/>
        <w:rPr/>
      </w:pPr>
      <w:r>
        <w:rPr>
          <w:b/>
        </w:rPr>
        <w:t>A2.</w:t>
      </w:r>
      <w:r>
        <w:rPr/>
        <w:t xml:space="preserve"> SQL: asientos de hoy de la oficina 5, ordenados por hora: a) </w:t>
      </w:r>
      <w:r>
        <w:rPr>
          <w:rStyle w:val="VerbatimChar"/>
        </w:rPr>
        <w:t>SELECT * FROM ASIENTO WHERE ofi_id=5 AND fecha_hora&gt;=TRUNC(SYSDATE) ORDER BY fecha_hora</w:t>
      </w:r>
      <w:r>
        <w:rPr/>
        <w:t xml:space="preserve"> · b) </w:t>
      </w:r>
      <w:r>
        <w:rPr>
          <w:rStyle w:val="VerbatimChar"/>
        </w:rPr>
        <w:t>...GROUP BY fecha_hora</w:t>
      </w:r>
      <w:r>
        <w:rPr/>
        <w:t xml:space="preserve"> · c) </w:t>
      </w:r>
      <w:r>
        <w:rPr>
          <w:rStyle w:val="VerbatimChar"/>
        </w:rPr>
        <w:t>...HAVING ofi_id=5</w:t>
      </w:r>
      <w:r>
        <w:rPr/>
        <w:t xml:space="preserve"> · d) </w:t>
      </w:r>
      <w:r>
        <w:rPr>
          <w:rStyle w:val="VerbatimChar"/>
        </w:rPr>
        <w:t>SELECT * FROM OFICINA WHERE asiento=HOY</w:t>
      </w:r>
    </w:p>
    <w:p>
      <w:pPr>
        <w:pStyle w:val="BodyText"/>
        <w:rPr/>
      </w:pPr>
      <w:r>
        <w:rPr>
          <w:b/>
        </w:rPr>
        <w:t>A3.</w:t>
      </w:r>
      <w:r>
        <w:rPr/>
        <w:t xml:space="preserve"> SQL: número de documentos por formato, solo formatos con más de 100: a) WHERE COUNT&gt;100 · b) </w:t>
      </w:r>
      <w:r>
        <w:rPr>
          <w:rStyle w:val="VerbatimChar"/>
        </w:rPr>
        <w:t>SELECT formato, COUNT(*) FROM DOCUMENTO GROUP BY formato HAVING COUNT(*)&gt;100</w:t>
      </w:r>
      <w:r>
        <w:rPr/>
        <w:t xml:space="preserve"> · c) ORDER BY COUNT · d) DISTINCT formato</w:t>
      </w:r>
    </w:p>
    <w:p>
      <w:pPr>
        <w:pStyle w:val="BodyText"/>
        <w:rPr/>
      </w:pPr>
      <w:r>
        <w:rPr>
          <w:b/>
        </w:rPr>
        <w:t>A4.</w:t>
      </w:r>
      <w:r>
        <w:rPr/>
        <w:t xml:space="preserve"> SQL: presentadores sin ningún asiento: a) INNER JOIN · b) </w:t>
      </w:r>
      <w:r>
        <w:rPr>
          <w:rStyle w:val="VerbatimChar"/>
        </w:rPr>
        <w:t>LEFT JOIN ASIENTO ... WHERE ASIENTO.dni_presentador IS NULL</w:t>
      </w:r>
      <w:r>
        <w:rPr/>
        <w:t xml:space="preserve"> · c) </w:t>
      </w:r>
      <w:r>
        <w:rPr>
          <w:rStyle w:val="VerbatimChar"/>
        </w:rPr>
        <w:t>WHERE dni NOT NULL</w:t>
      </w:r>
      <w:r>
        <w:rPr/>
        <w:t xml:space="preserve"> · d) UNION ALL</w:t>
      </w:r>
    </w:p>
    <w:p>
      <w:pPr>
        <w:pStyle w:val="BodyText"/>
        <w:rPr/>
      </w:pPr>
      <w:r>
        <w:rPr>
          <w:b/>
        </w:rPr>
        <w:t>A5.</w:t>
      </w:r>
      <w:r>
        <w:rPr/>
        <w:t xml:space="preserve"> El campo hash_sha256 de DOCUMENTO sirve para: a) cifrar el fichero · b) verificar la integridad del documento presentado · c) comprimirlo · d) firmarlo con DNIe</w:t>
      </w:r>
    </w:p>
    <w:p>
      <w:pPr>
        <w:pStyle w:val="BodyText"/>
        <w:rPr/>
      </w:pPr>
      <w:r>
        <w:rPr>
          <w:b/>
        </w:rPr>
        <w:t>A6.</w:t>
      </w:r>
      <w:r>
        <w:rPr/>
        <w:t xml:space="preserve"> La entidad JPA para ASIENTO requiere las anotaciones mínimas: a) @Servlet y @Get · b) @Entity y @Id · c) @Autowired · d) @RestController</w:t>
      </w:r>
    </w:p>
    <w:p>
      <w:pPr>
        <w:pStyle w:val="BodyText"/>
        <w:rPr/>
      </w:pPr>
      <w:r>
        <w:rPr>
          <w:b/>
        </w:rPr>
        <w:t>A7.</w:t>
      </w:r>
      <w:r>
        <w:rPr/>
        <w:t xml:space="preserve"> </w:t>
      </w:r>
      <w:r>
        <w:rPr>
          <w:rStyle w:val="VerbatimChar"/>
        </w:rPr>
        <w:t>List&lt;Asiento&gt; findByOfiId(Long id)</w:t>
      </w:r>
      <w:r>
        <w:rPr/>
        <w:t xml:space="preserve"> en un repositorio Spring Data: a) hay que implementarlo a mano siempre · b) Spring genera la consulta a partir del nombre del método · c) es un trigger · d) solo funciona con SQL Server</w:t>
      </w:r>
    </w:p>
    <w:p>
      <w:pPr>
        <w:pStyle w:val="BodyText"/>
        <w:rPr/>
      </w:pPr>
      <w:r>
        <w:rPr>
          <w:b/>
        </w:rPr>
        <w:t>A8.</w:t>
      </w:r>
      <w:r>
        <w:rPr/>
        <w:t xml:space="preserve"> Registrar un asiento nuevo por la API: a) </w:t>
      </w:r>
      <w:r>
        <w:rPr>
          <w:rStyle w:val="VerbatimChar"/>
        </w:rPr>
        <w:t>GET /api/asientos/nuevo</w:t>
      </w:r>
      <w:r>
        <w:rPr/>
        <w:t xml:space="preserve"> · b) </w:t>
      </w:r>
      <w:r>
        <w:rPr>
          <w:rStyle w:val="VerbatimChar"/>
        </w:rPr>
        <w:t>POST /api/asientos</w:t>
      </w:r>
      <w:r>
        <w:rPr/>
        <w:t xml:space="preserve"> con el asiento en el cuerpo (JSON) y respuesta 201 · c) </w:t>
      </w:r>
      <w:r>
        <w:rPr>
          <w:rStyle w:val="VerbatimChar"/>
        </w:rPr>
        <w:t>PUT /api/asientos</w:t>
      </w:r>
      <w:r>
        <w:rPr/>
        <w:t xml:space="preserve"> sin cuerpo · d) </w:t>
      </w:r>
      <w:r>
        <w:rPr>
          <w:rStyle w:val="VerbatimChar"/>
        </w:rPr>
        <w:t>DELETE</w:t>
      </w:r>
      <w:r>
        <w:rPr/>
        <w:t xml:space="preserve"> + </w:t>
      </w:r>
      <w:r>
        <w:rPr>
          <w:rStyle w:val="VerbatimChar"/>
        </w:rPr>
        <w:t>POST</w:t>
      </w:r>
    </w:p>
    <w:p>
      <w:pPr>
        <w:pStyle w:val="BodyText"/>
        <w:rPr/>
      </w:pPr>
      <w:r>
        <w:rPr>
          <w:b/>
        </w:rPr>
        <w:t>A9.</w:t>
      </w:r>
      <w:r>
        <w:rPr/>
        <w:t xml:space="preserve"> La API exige token en cada petición porque es stateless. El token viaja en la cabecera: a) Content-Type · b) Authorization (Bearer) · c) Accept · d) Cookie obligatoriamente</w:t>
      </w:r>
    </w:p>
    <w:p>
      <w:pPr>
        <w:pStyle w:val="BodyText"/>
        <w:rPr/>
      </w:pPr>
      <w:r>
        <w:rPr>
          <w:b/>
        </w:rPr>
        <w:t>A10.</w:t>
      </w:r>
      <w:r>
        <w:rPr/>
        <w:t xml:space="preserve"> Un consumidor recibe 400 Bad Request. Significa: a) error del servidor · b) la petición del cliente es incorrecta (formato/validación) · c) no autenticado · d) recurso movido</w:t>
      </w:r>
    </w:p>
    <w:p>
      <w:pPr>
        <w:pStyle w:val="BodyText"/>
        <w:rPr/>
      </w:pPr>
      <w:r>
        <w:rPr>
          <w:b/>
        </w:rPr>
        <w:t>A11.</w:t>
      </w:r>
      <w:r>
        <w:rPr/>
        <w:t xml:space="preserve"> El front construye el listado insertando en el DOM el texto que llega de los usuarios sin escapar. Riesgo: a) inyección SQL · b) XSS (cross-site scripting); se previene escapando/saneando la salida · c) CSRF inevitable · d) ninguno</w:t>
      </w:r>
    </w:p>
    <w:p>
      <w:pPr>
        <w:pStyle w:val="BodyText"/>
        <w:rPr/>
      </w:pPr>
      <w:r>
        <w:rPr>
          <w:b/>
        </w:rPr>
        <w:t>A12.</w:t>
      </w:r>
      <w:r>
        <w:rPr/>
        <w:t xml:space="preserve"> Además, el back construye SQL concatenando el DNI recibido. Corrección: a) validar en el front · b) consultas parametrizadas/PreparedStatement · c) usar GET · d) acortar el campo</w:t>
      </w:r>
    </w:p>
    <w:p>
      <w:pPr>
        <w:pStyle w:val="BodyText"/>
        <w:rPr/>
      </w:pPr>
      <w:r>
        <w:rPr>
          <w:b/>
        </w:rPr>
        <w:t>A13.</w:t>
      </w:r>
      <w:r>
        <w:rPr/>
        <w:t xml:space="preserve"> Para WCAG AA, las imágenes informativas del front llevan: a) title opcional · b) alt descriptivo · c) alt="" siempre · d) formato PNG</w:t>
      </w:r>
    </w:p>
    <w:p>
      <w:pPr>
        <w:pStyle w:val="BodyText"/>
        <w:rPr/>
      </w:pPr>
      <w:r>
        <w:rPr>
          <w:b/>
        </w:rPr>
        <w:t>A14.</w:t>
      </w:r>
      <w:r>
        <w:rPr/>
        <w:t xml:space="preserve"> El contraste del texto normal debe ser al menos: a) 3:1 · b) 4,5:1 · c) 7:1 · d) 2:1</w:t>
      </w:r>
    </w:p>
    <w:p>
      <w:pPr>
        <w:pStyle w:val="BodyText"/>
        <w:rPr/>
      </w:pPr>
      <w:r>
        <w:rPr>
          <w:b/>
        </w:rPr>
        <w:t>A15.</w:t>
      </w:r>
      <w:r>
        <w:rPr/>
        <w:t xml:space="preserve"> El formulario de alta debe poder completarse íntegramente con teclado. Es el principio WCAG: a) Perceptible · b) Operable · c) Comprensible · d) Robusto</w:t>
      </w:r>
    </w:p>
    <w:p>
      <w:pPr>
        <w:pStyle w:val="BodyText"/>
        <w:rPr/>
      </w:pPr>
      <w:r>
        <w:rPr>
          <w:b/>
        </w:rPr>
        <w:t>A16.</w:t>
      </w:r>
      <w:r>
        <w:rPr/>
        <w:t xml:space="preserve"> Cada funcionalidad se desarrolla en una rama y se integra vía: a) push directo a main · b) merge request con revisión y pipeline verde · c) correo con el diff · d) copia manual</w:t>
      </w:r>
    </w:p>
    <w:p>
      <w:pPr>
        <w:pStyle w:val="BodyText"/>
        <w:rPr/>
      </w:pPr>
      <w:r>
        <w:rPr>
          <w:b/>
        </w:rPr>
        <w:t>A17.</w:t>
      </w:r>
      <w:r>
        <w:rPr/>
        <w:t xml:space="preserve"> El pipeline ejecuta JUnit sobre los servicios en cada push. Son pruebas: a) de aceptación · b) unitarias automatizadas (integración continua) · c) de estrés · d) manuales</w:t>
      </w:r>
    </w:p>
    <w:p>
      <w:pPr>
        <w:pStyle w:val="BodyText"/>
        <w:rPr/>
      </w:pPr>
      <w:r>
        <w:rPr>
          <w:b/>
        </w:rPr>
        <w:t>A18.</w:t>
      </w:r>
      <w:r>
        <w:rPr/>
        <w:t xml:space="preserve"> El equipo trabaja en sprints de 2 semanas con daily y retrospectiva. La metodología es: a) cascada · b) Scrum · c) Métrica v3 pura · d) CMMI</w:t>
      </w:r>
    </w:p>
    <w:p>
      <w:pPr>
        <w:pStyle w:val="BodyText"/>
        <w:rPr/>
      </w:pPr>
      <w:r>
        <w:rPr>
          <w:b/>
        </w:rPr>
        <w:t>A19.</w:t>
      </w:r>
      <w:r>
        <w:rPr/>
        <w:t xml:space="preserve"> Para que el índice del expediente electrónico garantice su integridad (NTI), se debe: a) guardar en Excel · b) firmar/sellar electrónicamente el índice (foliado) · c) imprimirlo · d) enviarlo por correo</w:t>
      </w:r>
    </w:p>
    <w:p>
      <w:pPr>
        <w:pStyle w:val="BodyText"/>
        <w:rPr/>
      </w:pPr>
      <w:r>
        <w:rPr>
          <w:b/>
        </w:rPr>
        <w:t>A20.</w:t>
      </w:r>
      <w:r>
        <w:rPr/>
        <w:t xml:space="preserve"> El nombre de método </w:t>
      </w:r>
      <w:r>
        <w:rPr>
          <w:rStyle w:val="VerbatimChar"/>
        </w:rPr>
        <w:t>guardarAsiento(Asiento a)</w:t>
      </w:r>
      <w:r>
        <w:rPr/>
        <w:t xml:space="preserve"> y </w:t>
      </w:r>
      <w:r>
        <w:rPr>
          <w:rStyle w:val="VerbatimChar"/>
        </w:rPr>
        <w:t>guardarAsiento(Asiento a, boolean urgente)</w:t>
      </w:r>
      <w:r>
        <w:rPr/>
        <w:t xml:space="preserve"> en la misma clase es: a) sobreescritura · b) sobrecarga · c) polimorfismo dinámico · d) error de compilación</w:t>
      </w:r>
    </w:p>
    <w:p>
      <w:pPr>
        <w:pStyle w:val="Heading1"/>
        <w:rPr/>
      </w:pPr>
      <w:bookmarkStart w:id="4" w:name="Xcdc5da8334b70d2e6fb31bee62098a1938d95be"/>
      <w:r>
        <w:rPr/>
        <w:t>SUPUESTO B (Bloque IV · Sistemas) — «Delegación provincial»</w:t>
      </w:r>
      <w:bookmarkEnd w:id="4"/>
    </w:p>
    <w:p>
      <w:pPr>
        <w:pStyle w:val="FirstParagraph"/>
        <w:rPr/>
      </w:pPr>
      <w:r>
        <w:rPr>
          <w:b/>
        </w:rPr>
        <w:t>Escenario.</w:t>
      </w:r>
      <w:r>
        <w:rPr/>
        <w:t xml:space="preserve"> Montas la red de una nueva delegación (120 puestos, 2 plantas): direccionamiento </w:t>
      </w:r>
      <w:r>
        <w:rPr>
          <w:b/>
        </w:rPr>
        <w:t>172.16.0.0/16</w:t>
      </w:r>
      <w:r>
        <w:rPr/>
        <w:t xml:space="preserve">; VLANs: usuarios 172.16.10.0/24, VoIP 172.16.20.0/24, servidores 172.16.30.0/26, gestión 172.16.99.0/27. </w:t>
      </w:r>
      <w:r>
        <w:rPr>
          <w:b/>
        </w:rPr>
        <w:t>DMZ</w:t>
      </w:r>
      <w:r>
        <w:rPr/>
        <w:t xml:space="preserve"> tras el firewall stateful para el portal y el relay SMTP. </w:t>
      </w:r>
      <w:r>
        <w:rPr>
          <w:b/>
        </w:rPr>
        <w:t>VPN IPsec sitio-a-sitio</w:t>
      </w:r>
      <w:r>
        <w:rPr/>
        <w:t xml:space="preserve"> con los servicios centrales y SSL-VPN para teletrabajo. WiFi corporativa </w:t>
      </w:r>
      <w:r>
        <w:rPr>
          <w:b/>
        </w:rPr>
        <w:t>WPA3-Enterprise con RADIUS</w:t>
      </w:r>
      <w:r>
        <w:rPr/>
        <w:t xml:space="preserve"> y SSID de invitados aislado. AD + DHCP + DNS internos, monitorización SNMP, syslog y NTP. Backup: completa viernes + </w:t>
      </w:r>
      <w:r>
        <w:rPr>
          <w:b/>
        </w:rPr>
        <w:t>diferenciales</w:t>
      </w:r>
      <w:r>
        <w:rPr/>
        <w:t xml:space="preserve"> diarias, réplica al CPD central.</w:t>
      </w:r>
    </w:p>
    <w:p>
      <w:pPr>
        <w:pStyle w:val="BodyText"/>
        <w:rPr/>
      </w:pPr>
      <w:r>
        <w:rPr>
          <w:b/>
        </w:rPr>
        <w:t>Preguntas:</w:t>
      </w:r>
    </w:p>
    <w:p>
      <w:pPr>
        <w:pStyle w:val="BodyText"/>
        <w:rPr/>
      </w:pPr>
      <w:r>
        <w:rPr>
          <w:b/>
        </w:rPr>
        <w:t>B1.</w:t>
      </w:r>
      <w:r>
        <w:rPr/>
        <w:t xml:space="preserve"> Hosts útiles de la VLAN de servidores (/26): a) 64 · b) 62 · c) 30 · d) 126</w:t>
      </w:r>
    </w:p>
    <w:p>
      <w:pPr>
        <w:pStyle w:val="BodyText"/>
        <w:rPr/>
      </w:pPr>
      <w:r>
        <w:rPr>
          <w:b/>
        </w:rPr>
        <w:t>B2.</w:t>
      </w:r>
      <w:r>
        <w:rPr/>
        <w:t xml:space="preserve"> Dirección de difusión de la VLAN de gestión 172.16.99.0/27: a) .31 → 172.16.99.31 · b) 172.16.99.255 · c) 172.16.99.30 · d) 172.16.99.32</w:t>
      </w:r>
    </w:p>
    <w:p>
      <w:pPr>
        <w:pStyle w:val="BodyText"/>
        <w:rPr/>
      </w:pPr>
      <w:r>
        <w:rPr>
          <w:b/>
        </w:rPr>
        <w:t>B3.</w:t>
      </w:r>
      <w:r>
        <w:rPr/>
        <w:t xml:space="preserve"> Un puesto de usuarios (172.16.10.55/24) debe llegar a un servidor (172.16.30.10). El tráfico: a) se conmuta en capa 2 · b) se enruta en el equipo de capa 3 entre VLANs · c) es imposible · d) requiere NAT interno</w:t>
      </w:r>
    </w:p>
    <w:p>
      <w:pPr>
        <w:pStyle w:val="BodyText"/>
        <w:rPr/>
      </w:pPr>
      <w:r>
        <w:rPr>
          <w:b/>
        </w:rPr>
        <w:t>B4.</w:t>
      </w:r>
      <w:r>
        <w:rPr/>
        <w:t xml:space="preserve"> El enlace switch-switch que transporta todas las VLANs es un puerto: a) de acceso · b) trunk 802.1Q · c) espejo · d) PoE</w:t>
      </w:r>
    </w:p>
    <w:p>
      <w:pPr>
        <w:pStyle w:val="BodyText"/>
        <w:rPr/>
      </w:pPr>
      <w:r>
        <w:rPr>
          <w:b/>
        </w:rPr>
        <w:t>B5.</w:t>
      </w:r>
      <w:r>
        <w:rPr/>
        <w:t xml:space="preserve"> Los teléfonos IP se alimentan por el cable de red gracias a: a) QoS · b) PoE (802.3af/at) · c) STP · d) DHCP</w:t>
      </w:r>
    </w:p>
    <w:p>
      <w:pPr>
        <w:pStyle w:val="BodyText"/>
        <w:rPr/>
      </w:pPr>
      <w:r>
        <w:rPr>
          <w:b/>
        </w:rPr>
        <w:t>B6.</w:t>
      </w:r>
      <w:r>
        <w:rPr/>
        <w:t xml:space="preserve"> Para priorizar la voz sobre los datos se aplica: a) más VLANs · b) QoS · c) jumbo frames · d) NAT</w:t>
      </w:r>
    </w:p>
    <w:p>
      <w:pPr>
        <w:pStyle w:val="BodyText"/>
        <w:rPr/>
      </w:pPr>
      <w:r>
        <w:rPr>
          <w:b/>
        </w:rPr>
        <w:t>B7.</w:t>
      </w:r>
      <w:r>
        <w:rPr/>
        <w:t xml:space="preserve"> El proceso por el que un puesto obtiene IP del DHCP: a) SYN/ACK · b) DORA · c) ARP flood · d) consulta MX</w:t>
      </w:r>
    </w:p>
    <w:p>
      <w:pPr>
        <w:pStyle w:val="BodyText"/>
        <w:rPr/>
      </w:pPr>
      <w:r>
        <w:rPr>
          <w:b/>
        </w:rPr>
        <w:t>B8.</w:t>
      </w:r>
      <w:r>
        <w:rPr/>
        <w:t xml:space="preserve"> El relay SMTP en la DMZ enviará a los servidores centrales por el puerto entre servidores: a) 110 · b) 25 · c) 143 · d) 993</w:t>
      </w:r>
    </w:p>
    <w:p>
      <w:pPr>
        <w:pStyle w:val="BodyText"/>
        <w:rPr/>
      </w:pPr>
      <w:r>
        <w:rPr>
          <w:b/>
        </w:rPr>
        <w:t>B9.</w:t>
      </w:r>
      <w:r>
        <w:rPr/>
        <w:t xml:space="preserve"> El acceso de los administradores a los switches debe hacerse por: a) Telnet (23) · b) SSH (22), nunca Telnet, y desde la VLAN de gestión · c) HTTP · d) FTP</w:t>
      </w:r>
    </w:p>
    <w:p>
      <w:pPr>
        <w:pStyle w:val="BodyText"/>
        <w:rPr/>
      </w:pPr>
      <w:r>
        <w:rPr>
          <w:b/>
        </w:rPr>
        <w:t>B10.</w:t>
      </w:r>
      <w:r>
        <w:rPr/>
        <w:t xml:space="preserve"> La VPN sitio-a-sitio con los servicios centrales usa IPsec en modo: a) transporte · b) túnel, con ESP para cifrado · c) AH solo, que cifra · d) PPTP moderno</w:t>
      </w:r>
    </w:p>
    <w:p>
      <w:pPr>
        <w:pStyle w:val="BodyText"/>
        <w:rPr/>
      </w:pPr>
      <w:r>
        <w:rPr>
          <w:b/>
        </w:rPr>
        <w:t>B11.</w:t>
      </w:r>
      <w:r>
        <w:rPr/>
        <w:t xml:space="preserve"> El acceso WiFi corporativo WPA3-Enterprise autentica a cada usuario mediante: a) clave compartida única · b) 802.1X contra un servidor RADIUS (credenciales/certificados individuales) · c) filtrado MAC solamente · d) portal cautivo sin cifrado</w:t>
      </w:r>
    </w:p>
    <w:p>
      <w:pPr>
        <w:pStyle w:val="BodyText"/>
        <w:rPr/>
      </w:pPr>
      <w:r>
        <w:rPr>
          <w:b/>
        </w:rPr>
        <w:t>B12.</w:t>
      </w:r>
      <w:r>
        <w:rPr/>
        <w:t xml:space="preserve"> El SSID de invitados debe: a) compartir VLAN con usuarios · b) mapearse a una VLAN aislada con salida solo a Internet (reglas de firewall) · c) desactivarse de noche · d) usar WEP para compatibilidad</w:t>
      </w:r>
    </w:p>
    <w:p>
      <w:pPr>
        <w:pStyle w:val="BodyText"/>
        <w:rPr/>
      </w:pPr>
      <w:r>
        <w:rPr>
          <w:b/>
        </w:rPr>
        <w:t>B13.</w:t>
      </w:r>
      <w:r>
        <w:rPr/>
        <w:t xml:space="preserve"> Los servidores sincronizan hora con NTP. Puerto: a) 161 · b) 123 · c) 514 · d) 53</w:t>
      </w:r>
    </w:p>
    <w:p>
      <w:pPr>
        <w:pStyle w:val="BodyText"/>
        <w:rPr/>
      </w:pPr>
      <w:r>
        <w:rPr>
          <w:b/>
        </w:rPr>
        <w:t>B14.</w:t>
      </w:r>
      <w:r>
        <w:rPr/>
        <w:t xml:space="preserve"> El syslog centralizado recibe los logs de red típicamente por el puerto: a) 514 · b) 80 · c) 22 · d) 443</w:t>
      </w:r>
    </w:p>
    <w:p>
      <w:pPr>
        <w:pStyle w:val="BodyText"/>
        <w:rPr/>
      </w:pPr>
      <w:r>
        <w:rPr>
          <w:b/>
        </w:rPr>
        <w:t>B15.</w:t>
      </w:r>
      <w:r>
        <w:rPr/>
        <w:t xml:space="preserve"> Restaurar el miércoles con completa del viernes + diferenciales diarias requiere: a) viernes + todas las diferenciales · b) la completa del viernes + la diferencial del martes (la última) · c) solo la del martes · d) viernes + lunes + martes</w:t>
      </w:r>
    </w:p>
    <w:p>
      <w:pPr>
        <w:pStyle w:val="BodyText"/>
        <w:rPr/>
      </w:pPr>
      <w:r>
        <w:rPr>
          <w:b/>
        </w:rPr>
        <w:t>B16.</w:t>
      </w:r>
      <w:r>
        <w:rPr/>
        <w:t xml:space="preserve"> La réplica al CPD central cumple: a) el «1» externo de la regla 3-2-1 · b) la QoS · c) el RTO=0 · d) el ENS categoría alta automáticamente</w:t>
      </w:r>
    </w:p>
    <w:p>
      <w:pPr>
        <w:pStyle w:val="BodyText"/>
        <w:rPr/>
      </w:pPr>
      <w:r>
        <w:rPr>
          <w:b/>
        </w:rPr>
        <w:t>B17.</w:t>
      </w:r>
      <w:r>
        <w:rPr/>
        <w:t xml:space="preserve"> Para detectar (y bloquear en línea) intentos de intrusión en el perímetro se despliega: a) un hub · b) un IPS · c) un proxy directo · d) más VLANs</w:t>
      </w:r>
    </w:p>
    <w:p>
      <w:pPr>
        <w:pStyle w:val="BodyText"/>
        <w:rPr/>
      </w:pPr>
      <w:r>
        <w:rPr>
          <w:b/>
        </w:rPr>
        <w:t>B18.</w:t>
      </w:r>
      <w:r>
        <w:rPr/>
        <w:t xml:space="preserve"> El portal de la DMZ recibe HTTPS. El certificado del servidor sirve para: a) cifrar el disco · b) autenticar el servidor ante los clientes y establecer el canal TLS · c) firmar documentos · d) evitar el spam</w:t>
      </w:r>
    </w:p>
    <w:p>
      <w:pPr>
        <w:pStyle w:val="BodyText"/>
        <w:rPr/>
      </w:pPr>
      <w:r>
        <w:rPr>
          <w:b/>
        </w:rPr>
        <w:t>B19.</w:t>
      </w:r>
      <w:r>
        <w:rPr/>
        <w:t xml:space="preserve"> ¿Qué equipo separa dominios de DIFUSIÓN? a) el hub · b) el router (o las VLANs en el switch) · c) el repetidor · d) el cable cruzado</w:t>
      </w:r>
    </w:p>
    <w:p>
      <w:pPr>
        <w:pStyle w:val="BodyText"/>
        <w:rPr/>
      </w:pPr>
      <w:r>
        <w:rPr>
          <w:b/>
        </w:rPr>
        <w:t>B20.</w:t>
      </w:r>
      <w:r>
        <w:rPr/>
        <w:t xml:space="preserve"> La delegación pertenece al sector público: su sistema debe categorizarse y adecuarse conforme al: a) RGPD solamente · b) ENS (RD 311/2022) · c) ISO 9001 · d) RD 1112/2018</w:t>
      </w:r>
    </w:p>
    <w:p>
      <w:pPr>
        <w:pStyle w:val="Heading1"/>
        <w:rPr/>
      </w:pPr>
      <w:bookmarkStart w:id="5" w:name="soluciones-de-los-supuestos"/>
      <w:r>
        <w:rPr/>
        <w:t>Soluciones de los supuestos</w:t>
      </w:r>
      <w:bookmarkEnd w:id="5"/>
    </w:p>
    <w:p>
      <w:pPr>
        <w:pStyle w:val="Heading2"/>
        <w:rPr/>
      </w:pPr>
      <w:bookmarkStart w:id="6" w:name="supuesto-a-iii"/>
      <w:r>
        <w:rPr/>
        <w:t>Supuesto A (III)</w:t>
      </w:r>
      <w:bookmarkEnd w:id="6"/>
    </w:p>
    <w:p>
      <w:pPr>
        <w:pStyle w:val="FirstParagraph"/>
        <w:rPr/>
      </w:pPr>
      <w:r>
        <w:rPr>
          <w:b/>
        </w:rPr>
        <w:t>A1 b</w:t>
      </w:r>
      <w:r>
        <w:rPr/>
        <w:t xml:space="preserve"> — 1:N = FK en el lado N; la tabla intermedia es para N:M. </w:t>
      </w:r>
      <w:r>
        <w:rPr>
          <w:b/>
        </w:rPr>
        <w:t>A2 a</w:t>
      </w:r>
      <w:r>
        <w:rPr/>
        <w:t xml:space="preserve"> — filtro en WHERE + ORDER BY; el resto es SQL sin sentido. </w:t>
      </w:r>
      <w:r>
        <w:rPr>
          <w:b/>
        </w:rPr>
        <w:t>A3 b</w:t>
      </w:r>
      <w:r>
        <w:rPr/>
        <w:t xml:space="preserve"> — condición sobre agregado → HAVING tras GROUP BY. </w:t>
      </w:r>
      <w:r>
        <w:rPr>
          <w:b/>
        </w:rPr>
        <w:t>A4 b</w:t>
      </w:r>
      <w:r>
        <w:rPr/>
        <w:t xml:space="preserve"> — patrón «los que NO»: LEFT JOIN + IS NULL. </w:t>
      </w:r>
      <w:r>
        <w:rPr>
          <w:b/>
        </w:rPr>
        <w:t>A5 b</w:t>
      </w:r>
      <w:r>
        <w:rPr/>
        <w:t xml:space="preserve"> — el hash verifica integridad (unidireccional, no cifra). </w:t>
      </w:r>
      <w:r>
        <w:rPr>
          <w:b/>
        </w:rPr>
        <w:t>A6 b</w:t>
      </w:r>
      <w:r>
        <w:rPr/>
        <w:t xml:space="preserve"> — @Entity marca la clase y @Id su clave. </w:t>
      </w:r>
      <w:r>
        <w:rPr>
          <w:b/>
        </w:rPr>
        <w:t>A7 b</w:t>
      </w:r>
      <w:r>
        <w:rPr/>
        <w:t xml:space="preserve"> — Spring Data deriva la query del nombre del método (query methods). </w:t>
      </w:r>
      <w:r>
        <w:rPr>
          <w:b/>
        </w:rPr>
        <w:t>A8 b</w:t>
      </w:r>
      <w:r>
        <w:rPr/>
        <w:t xml:space="preserve"> — POST a la colección + 201 Created. </w:t>
      </w:r>
      <w:r>
        <w:rPr>
          <w:b/>
        </w:rPr>
        <w:t>A9 b</w:t>
      </w:r>
      <w:r>
        <w:rPr/>
        <w:t xml:space="preserve"> — token Bearer en Authorization; stateless = sin sesión en servidor. </w:t>
      </w:r>
      <w:r>
        <w:rPr>
          <w:b/>
        </w:rPr>
        <w:t>A10 b</w:t>
      </w:r>
      <w:r>
        <w:rPr/>
        <w:t xml:space="preserve"> — 4xx = error del cliente; 400 = petición malformada/no válida. </w:t>
      </w:r>
      <w:r>
        <w:rPr>
          <w:b/>
        </w:rPr>
        <w:t>A11 b</w:t>
      </w:r>
      <w:r>
        <w:rPr/>
        <w:t xml:space="preserve"> — insertar entrada de usuario sin escapar = XSS; se sanea la SALIDA. </w:t>
      </w:r>
      <w:r>
        <w:rPr>
          <w:b/>
        </w:rPr>
        <w:t>A12 b</w:t>
      </w:r>
      <w:r>
        <w:rPr/>
        <w:t xml:space="preserve"> — inyección SQL → consultas parametrizadas (la validación en front no protege). </w:t>
      </w:r>
      <w:r>
        <w:rPr>
          <w:b/>
        </w:rPr>
        <w:t>A13 b</w:t>
      </w:r>
      <w:r>
        <w:rPr/>
        <w:t xml:space="preserve"> — alt descriptivo en informativas (vacío solo en decorativas). </w:t>
      </w:r>
      <w:r>
        <w:rPr>
          <w:b/>
        </w:rPr>
        <w:t>A14 b</w:t>
      </w:r>
      <w:r>
        <w:rPr/>
        <w:t xml:space="preserve"> — 4,5:1 texto normal AA (3:1 grande, 7:1 AAA). </w:t>
      </w:r>
      <w:r>
        <w:rPr>
          <w:b/>
        </w:rPr>
        <w:t>A15 b</w:t>
      </w:r>
      <w:r>
        <w:rPr/>
        <w:t xml:space="preserve"> — teclado = Operable (pauta 2.1). </w:t>
      </w:r>
      <w:r>
        <w:rPr>
          <w:b/>
        </w:rPr>
        <w:t>A16 b</w:t>
      </w:r>
      <w:r>
        <w:rPr/>
        <w:t xml:space="preserve"> — flujo GitLab: rama → MR → revisión + CI → merge. </w:t>
      </w:r>
      <w:r>
        <w:rPr>
          <w:b/>
        </w:rPr>
        <w:t>A17 b</w:t>
      </w:r>
      <w:r>
        <w:rPr/>
        <w:t xml:space="preserve"> — JUnit sobre unidades + pipeline = unitarias en CI. </w:t>
      </w:r>
      <w:r>
        <w:rPr>
          <w:b/>
        </w:rPr>
        <w:t>A18 b</w:t>
      </w:r>
      <w:r>
        <w:rPr/>
        <w:t xml:space="preserve"> — sprints, daily, retro = Scrum. </w:t>
      </w:r>
      <w:r>
        <w:rPr>
          <w:b/>
        </w:rPr>
        <w:t>A19 b</w:t>
      </w:r>
      <w:r>
        <w:rPr/>
        <w:t xml:space="preserve"> — la NTI de expediente-e exige índice electrónico firmado (foliado). </w:t>
      </w:r>
      <w:r>
        <w:rPr>
          <w:b/>
        </w:rPr>
        <w:t>A20 b</w:t>
      </w:r>
      <w:r>
        <w:rPr/>
        <w:t xml:space="preserve"> — misma clase + distinta firma = sobrecarga.</w:t>
      </w:r>
    </w:p>
    <w:p>
      <w:pPr>
        <w:pStyle w:val="Heading2"/>
        <w:rPr/>
      </w:pPr>
      <w:bookmarkStart w:id="7" w:name="supuesto-b-iv"/>
      <w:r>
        <w:rPr/>
        <w:t>Supuesto B (IV)</w:t>
      </w:r>
      <w:bookmarkEnd w:id="7"/>
    </w:p>
    <w:p>
      <w:pPr>
        <w:pStyle w:val="FirstParagraph"/>
        <w:rPr/>
      </w:pPr>
      <w:r>
        <w:rPr>
          <w:b/>
        </w:rPr>
        <w:t>B1 b</w:t>
      </w:r>
      <w:r>
        <w:rPr/>
        <w:t xml:space="preserve"> — /26 → 62 útiles. </w:t>
      </w:r>
      <w:r>
        <w:rPr>
          <w:b/>
        </w:rPr>
        <w:t>B2 a</w:t>
      </w:r>
      <w:r>
        <w:rPr/>
        <w:t xml:space="preserve"> — /27 → bloques de 32: red .0, difusión </w:t>
      </w:r>
      <w:r>
        <w:rPr>
          <w:b/>
        </w:rPr>
        <w:t>.31</w:t>
      </w:r>
      <w:r>
        <w:rPr/>
        <w:t xml:space="preserve">. </w:t>
      </w:r>
      <w:r>
        <w:rPr>
          <w:b/>
        </w:rPr>
        <w:t>B3 b</w:t>
      </w:r>
      <w:r>
        <w:rPr/>
        <w:t xml:space="preserve"> — VLANs distintas → enrutamiento inter-VLAN (capa 3). </w:t>
      </w:r>
      <w:r>
        <w:rPr>
          <w:b/>
        </w:rPr>
        <w:t>B4 b</w:t>
      </w:r>
      <w:r>
        <w:rPr/>
        <w:t xml:space="preserve"> — múltiples VLANs etiquetadas = trunk 802.1Q. </w:t>
      </w:r>
      <w:r>
        <w:rPr>
          <w:b/>
        </w:rPr>
        <w:t>B5 b</w:t>
      </w:r>
      <w:r>
        <w:rPr/>
        <w:t xml:space="preserve"> — PoE alimenta por el par trenzado. </w:t>
      </w:r>
      <w:r>
        <w:rPr>
          <w:b/>
        </w:rPr>
        <w:t>B6 b</w:t>
      </w:r>
      <w:r>
        <w:rPr/>
        <w:t xml:space="preserve"> — QoS prioriza el tráfico sensible a latencia. </w:t>
      </w:r>
      <w:r>
        <w:rPr>
          <w:b/>
        </w:rPr>
        <w:t>B7 b</w:t>
      </w:r>
      <w:r>
        <w:rPr/>
        <w:t xml:space="preserve"> — Discover, Offer, Request, Ack. </w:t>
      </w:r>
      <w:r>
        <w:rPr>
          <w:b/>
        </w:rPr>
        <w:t>B8 b</w:t>
      </w:r>
      <w:r>
        <w:rPr/>
        <w:t xml:space="preserve"> — 25 entre servidores (587 es para clientes autenticados). </w:t>
      </w:r>
      <w:r>
        <w:rPr>
          <w:b/>
        </w:rPr>
        <w:t>B9 b</w:t>
      </w:r>
      <w:r>
        <w:rPr/>
        <w:t xml:space="preserve"> — SSH cifrado desde la VLAN de gestión; Telnet va en claro. </w:t>
      </w:r>
      <w:r>
        <w:rPr>
          <w:b/>
        </w:rPr>
        <w:t>B10 b</w:t>
      </w:r>
      <w:r>
        <w:rPr/>
        <w:t xml:space="preserve"> — sitio-a-sitio = modo túnel; ESP cifra (AH solo autentica). </w:t>
      </w:r>
      <w:r>
        <w:rPr>
          <w:b/>
        </w:rPr>
        <w:t>B11 b</w:t>
      </w:r>
      <w:r>
        <w:rPr/>
        <w:t xml:space="preserve"> — Enterprise = 802.1X + RADIUS, credenciales por usuario (PSK es el modo Personal). </w:t>
      </w:r>
      <w:r>
        <w:rPr>
          <w:b/>
        </w:rPr>
        <w:t>B12 b</w:t>
      </w:r>
      <w:r>
        <w:rPr/>
        <w:t xml:space="preserve"> — aislamiento por VLAN + política de firewall: invitados solo a Internet. </w:t>
      </w:r>
      <w:r>
        <w:rPr>
          <w:b/>
        </w:rPr>
        <w:t>B13 b</w:t>
      </w:r>
      <w:r>
        <w:rPr/>
        <w:t xml:space="preserve"> — NTP = 123 (161 SNMP, 514 syslog, 53 DNS). </w:t>
      </w:r>
      <w:r>
        <w:rPr>
          <w:b/>
        </w:rPr>
        <w:t>B14 a</w:t>
      </w:r>
      <w:r>
        <w:rPr/>
        <w:t xml:space="preserve"> — syslog = UDP 514. </w:t>
      </w:r>
      <w:r>
        <w:rPr>
          <w:b/>
        </w:rPr>
        <w:t>B15 b</w:t>
      </w:r>
      <w:r>
        <w:rPr/>
        <w:t xml:space="preserve"> — diferencial: completa + LA ÚLTIMA diferencial, 2 piezas. </w:t>
      </w:r>
      <w:r>
        <w:rPr>
          <w:b/>
        </w:rPr>
        <w:t>B16 a</w:t>
      </w:r>
      <w:r>
        <w:rPr/>
        <w:t xml:space="preserve"> — copia externa = el «1» del 3-2-1. </w:t>
      </w:r>
      <w:r>
        <w:rPr>
          <w:b/>
        </w:rPr>
        <w:t>B17 b</w:t>
      </w:r>
      <w:r>
        <w:rPr/>
        <w:t xml:space="preserve"> — IPS: en línea y bloquea (el IDS solo alerta). </w:t>
      </w:r>
      <w:r>
        <w:rPr>
          <w:b/>
        </w:rPr>
        <w:t>B18 b</w:t>
      </w:r>
      <w:r>
        <w:rPr/>
        <w:t xml:space="preserve"> — certificado X.509: autentica el servidor y habilita TLS. </w:t>
      </w:r>
      <w:r>
        <w:rPr>
          <w:b/>
        </w:rPr>
        <w:t>B19 b</w:t>
      </w:r>
      <w:r>
        <w:rPr/>
        <w:t xml:space="preserve"> — difusión la separan router/VLANs; el switch separa COLISIÓN. </w:t>
      </w:r>
      <w:r>
        <w:rPr>
          <w:b/>
        </w:rPr>
        <w:t>B20 b</w:t>
      </w:r>
      <w:r>
        <w:rPr/>
        <w:t xml:space="preserve"> — sector público → ENS; el 1112/2018 es accesibilidad y el RGPD protege datos: complementarios, no sustitutos.</w:t>
      </w:r>
    </w:p>
    <w:p>
      <w:pPr>
        <w:pStyle w:val="Heading1"/>
        <w:rPr/>
      </w:pPr>
      <w:bookmarkStart w:id="8" w:name="corrección-y-lectura-de-resultados"/>
      <w:r>
        <w:rPr/>
        <w:t>Corrección y lectura de resultados</w:t>
      </w:r>
      <w:bookmarkEnd w:id="8"/>
    </w:p>
    <w:p>
      <w:pPr>
        <w:pStyle w:val="Compact"/>
        <w:numPr>
          <w:ilvl w:val="0"/>
          <w:numId w:val="3"/>
        </w:numPr>
        <w:rPr/>
      </w:pPr>
      <w:r>
        <w:rPr>
          <w:b/>
        </w:rPr>
        <w:t>Primera parte:</w:t>
      </w:r>
      <w:r>
        <w:rPr/>
        <w:t xml:space="preserve"> neta = aciertos − fallos/3 (sobre 80). Equivalencia orientativa sobre 50: multiplica por 0,625. Necesitas ≥ 40/80 netas para «aprobar» esta parte (25/50) — pero tu objetivo de plan en el mes 7 es </w:t>
      </w:r>
      <w:r>
        <w:rPr>
          <w:b/>
        </w:rPr>
        <w:t>≥ 52 netas (65 %)</w:t>
      </w:r>
      <w:r>
        <w:rPr/>
        <w:t xml:space="preserve"> y en el mes 9, ≥ 60 (75 %).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Supuesto:</w:t>
      </w:r>
      <w:r>
        <w:rPr/>
        <w:t xml:space="preserve"> neta = 4·aciertos − 1,33·fallos (sobre 80 puntos brutos ≈ 50 escalados). Objetivo: </w:t>
      </w:r>
      <w:r>
        <w:rPr>
          <w:b/>
        </w:rPr>
        <w:t>≥ 56 puntos</w:t>
      </w:r>
      <w:r>
        <w:rPr/>
        <w:t xml:space="preserve"> (14 netas).</w:t>
      </w:r>
    </w:p>
    <w:p>
      <w:pPr>
        <w:pStyle w:val="Compact"/>
        <w:numPr>
          <w:ilvl w:val="0"/>
          <w:numId w:val="1"/>
        </w:numPr>
        <w:rPr/>
      </w:pPr>
      <w:r>
        <w:rPr/>
        <w:t>Desglosa los fallos por bloque en el cuaderno: esa distribución dicta tu mes 8 (segunda vuelta selectiva).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/>
        <w:t xml:space="preserve">Después de este simulacro, pasa a los </w:t>
      </w:r>
      <w:r>
        <w:rPr>
          <w:b/>
        </w:rPr>
        <w:t>exámenes oficiales del INAP</w:t>
      </w:r>
      <w:r>
        <w:rPr/>
        <w:t xml:space="preserve"> (uno por semana, en las mismas condiciones): son el patrón oro. Este simulacro te sirve de calibración previa y de banco de repesca en el mes 8 (repítelo barajado en la app).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2026-07-12T11:00:20Z</dcterms:created>
  <dc:creator/>
  <dc:description/>
  <dc:language>es</dc:language>
  <cp:lastModifiedBy/>
  <dcterms:modified xsi:type="dcterms:W3CDTF">2026-07-12T11:00:20Z</dcterms:modified>
  <cp:revision>0</cp:revision>
  <dc:subject/>
  <dc:title>Simulacro de Examen Completo — Oposición TAI (AGE)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Réplica del ejercicio único oficial · 80 preguntas + supuesto práctico a elegir (Bloque III o IV) · 120 minutos</vt:lpwstr>
  </property>
  <property fmtid="{D5CDD505-2E9C-101B-9397-08002B2CF9AE}" pid="4" name="toc">
    <vt:lpwstr>True</vt:lpwstr>
  </property>
  <property fmtid="{D5CDD505-2E9C-101B-9397-08002B2CF9AE}" pid="5" name="toc-depth">
    <vt:lpwstr>1</vt:lpwstr>
  </property>
</Properties>
</file>